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COMPILADO DE ORDENANZAS</w:t>
      </w:r>
    </w:p>
    <w:p>
      <w:pPr>
        <w:jc w:val="center"/>
      </w:pPr>
      <w:r>
        <w:rPr>
          <w:b/>
          <w:sz w:val="28"/>
        </w:rPr>
        <w:t>Derechos de las Mujeres, Feminismos y Diversidades</w:t>
      </w:r>
    </w:p>
    <w:p>
      <w:pPr>
        <w:jc w:val="center"/>
      </w:pPr>
      <w:r>
        <w:t>Municipio de Saladillo - Provincia de Buenos Aires</w:t>
      </w:r>
    </w:p>
    <w:p>
      <w:pPr>
        <w:jc w:val="center"/>
      </w:pPr>
      <w:r>
        <w:t>Mayo 2026</w:t>
      </w:r>
    </w:p>
    <w:p/>
    <w:p>
      <w:r>
        <w:rPr>
          <w:b/>
        </w:rPr>
        <w:t>INTRODUCCIÓN</w:t>
      </w:r>
    </w:p>
    <w:p>
      <w:r>
        <w:t>El presente documento compila la totalidad de ordenanzas municipales dictadas por el Honorable Concejo Deliberante de Saladillo en materia de género, diversidad y derechos de las mujeres. Este conjunto normativo refleja la evolución de las políticas públicas locales en la materia, desde los primeros antecedentes de 1993 hasta las regulaciones más recientes de 2023.</w:t>
      </w:r>
    </w:p>
    <w:p/>
    <w:p>
      <w:pPr>
        <w:pStyle w:val="Heading1"/>
      </w:pPr>
      <w:r>
        <w:t>ÍNDICE DE ORDENANZAS</w:t>
      </w:r>
    </w:p>
    <w:p>
      <w:r>
        <w:rPr>
          <w:b/>
        </w:rPr>
        <w:t>1. Ordenanza N° 101/2023 (2023)</w:t>
      </w:r>
    </w:p>
    <w:p>
      <w:r>
        <w:rPr>
          <w:b/>
        </w:rPr>
        <w:t>2. Ordenanza N° 116/2022 (2022)</w:t>
      </w:r>
    </w:p>
    <w:p>
      <w:r>
        <w:rPr>
          <w:b/>
        </w:rPr>
        <w:t>3. Ordenanza N° 78/2021 (2021)</w:t>
      </w:r>
    </w:p>
    <w:p>
      <w:r>
        <w:rPr>
          <w:b/>
        </w:rPr>
        <w:t>4. Ordenanza N° 67/2021 (2021)</w:t>
      </w:r>
    </w:p>
    <w:p>
      <w:r>
        <w:rPr>
          <w:b/>
        </w:rPr>
        <w:t>5. Ordenanza N° 46/2020 (2020)</w:t>
      </w:r>
    </w:p>
    <w:p>
      <w:r>
        <w:rPr>
          <w:b/>
        </w:rPr>
        <w:t>6. Ordenanza N° 45/2020 (2020)</w:t>
      </w:r>
    </w:p>
    <w:p>
      <w:r>
        <w:rPr>
          <w:b/>
        </w:rPr>
        <w:t>7. Ordenanza N° 71/2020 (2020)</w:t>
      </w:r>
    </w:p>
    <w:p>
      <w:r>
        <w:rPr>
          <w:b/>
        </w:rPr>
        <w:t>8. Ordenanza N° 108/2019 (2019)</w:t>
      </w:r>
    </w:p>
    <w:p>
      <w:r>
        <w:rPr>
          <w:b/>
        </w:rPr>
        <w:t>9. Ordenanza N° 29/2019 (2019)</w:t>
      </w:r>
    </w:p>
    <w:p>
      <w:r>
        <w:rPr>
          <w:b/>
        </w:rPr>
        <w:t>10. Ordenanza N° 148/2018 (2018)</w:t>
      </w:r>
    </w:p>
    <w:p>
      <w:r>
        <w:rPr>
          <w:b/>
        </w:rPr>
        <w:t>11. Ordenanza N° 127/2017 (2017)</w:t>
      </w:r>
    </w:p>
    <w:p>
      <w:r>
        <w:rPr>
          <w:b/>
        </w:rPr>
        <w:t>12. Ordenanza N° 124/2017 (2017)</w:t>
      </w:r>
    </w:p>
    <w:p>
      <w:r>
        <w:rPr>
          <w:b/>
        </w:rPr>
        <w:t>13. Ordenanza N° 45/2017 (2017)</w:t>
      </w:r>
    </w:p>
    <w:p>
      <w:r>
        <w:rPr>
          <w:b/>
        </w:rPr>
        <w:t>14. Ordenanza N° 48/2016 (2016)</w:t>
      </w:r>
    </w:p>
    <w:p>
      <w:r>
        <w:rPr>
          <w:b/>
        </w:rPr>
        <w:t>15. Ordenanza N° 18/2016 (2016)</w:t>
      </w:r>
    </w:p>
    <w:p>
      <w:r>
        <w:rPr>
          <w:b/>
        </w:rPr>
        <w:t>16. Ordenanza N° 34/2015 (2015)</w:t>
      </w:r>
    </w:p>
    <w:p>
      <w:r>
        <w:rPr>
          <w:b/>
        </w:rPr>
        <w:t>17. Ordenanza N° 76/2014 (2014)</w:t>
      </w:r>
    </w:p>
    <w:p>
      <w:r>
        <w:rPr>
          <w:b/>
        </w:rPr>
        <w:t>18. Ordenanza N° 100/2012 (2012)</w:t>
      </w:r>
    </w:p>
    <w:p>
      <w:r>
        <w:rPr>
          <w:b/>
        </w:rPr>
        <w:t>19. Ordenanza N° 99/2012 (2012)</w:t>
      </w:r>
    </w:p>
    <w:p>
      <w:r>
        <w:rPr>
          <w:b/>
        </w:rPr>
        <w:t>20. Ordenanza N° 48/2012 (2012)</w:t>
      </w:r>
    </w:p>
    <w:p>
      <w:r>
        <w:rPr>
          <w:b/>
        </w:rPr>
        <w:t>21. Ordenanza N° 30/2008 (2008)</w:t>
      </w:r>
    </w:p>
    <w:p>
      <w:r>
        <w:rPr>
          <w:b/>
        </w:rPr>
        <w:t>22. Ordenanza N° 16/2006 (2006)</w:t>
      </w:r>
    </w:p>
    <w:p>
      <w:r>
        <w:rPr>
          <w:b/>
        </w:rPr>
        <w:t>23. Ordenanza N° 24/2005 (2005)</w:t>
      </w:r>
    </w:p>
    <w:p>
      <w:r>
        <w:rPr>
          <w:b/>
        </w:rPr>
        <w:t>24. Ordenanza N° 68/1993 (1993)</w:t>
      </w:r>
    </w:p>
    <w:p>
      <w:r>
        <w:br w:type="page"/>
      </w:r>
    </w:p>
    <w:p>
      <w:pPr>
        <w:pStyle w:val="Heading1"/>
      </w:pPr>
      <w:r>
        <w:t>TEXTOS COMPLETOS DE LAS ORDENANZAS</w:t>
      </w:r>
    </w:p>
    <w:p>
      <w:pPr>
        <w:pStyle w:val="Heading2"/>
      </w:pPr>
      <w:r>
        <w:t>Ordenanza N° 101/2023</w:t>
      </w:r>
    </w:p>
    <w:p>
      <w:r>
        <w:rPr>
          <w:b/>
        </w:rPr>
        <w:t xml:space="preserve">Año: </w:t>
      </w:r>
      <w:r>
        <w:t xml:space="preserve">2023  |  </w:t>
      </w:r>
      <w:r>
        <w:rPr>
          <w:b/>
        </w:rPr>
        <w:t xml:space="preserve">Estado: </w:t>
      </w:r>
      <w:r>
        <w:t>VIGENTE</w:t>
      </w:r>
    </w:p>
    <w:p/>
    <w:p>
      <w:r>
        <w:rPr>
          <w:b/>
        </w:rPr>
        <w:t>Resumen:</w:t>
      </w:r>
    </w:p>
    <w:p>
      <w:r>
        <w:t>Establece que la Municipalidad de Saladillo deberá difundir líneas de asistencia a víctimas de violencia de género en fiestas y eventos públicos. Crea requisitos de comunicación con perspectiva de género para medios que reciban pauta oficial. Incluye obligaciones de capacitación y difusión de recursos de la Dirección de Género.</w:t>
      </w:r>
    </w:p>
    <w:p>
      <w:r>
        <w:t>____________________________________________________________</w:t>
      </w:r>
    </w:p>
    <w:p/>
    <w:p>
      <w:pPr>
        <w:pStyle w:val="Heading2"/>
      </w:pPr>
      <w:r>
        <w:t>Ordenanza N° 116/2022</w:t>
      </w:r>
    </w:p>
    <w:p>
      <w:r>
        <w:rPr>
          <w:b/>
        </w:rPr>
        <w:t xml:space="preserve">Año: </w:t>
      </w:r>
      <w:r>
        <w:t xml:space="preserve">2022  |  </w:t>
      </w:r>
      <w:r>
        <w:rPr>
          <w:b/>
        </w:rPr>
        <w:t xml:space="preserve">Estado: </w:t>
      </w:r>
      <w:r>
        <w:t>VIGENTE</w:t>
      </w:r>
    </w:p>
    <w:p/>
    <w:p>
      <w:r>
        <w:rPr>
          <w:b/>
        </w:rPr>
        <w:t>Resumen:</w:t>
      </w:r>
    </w:p>
    <w:p>
      <w:r>
        <w:t>Aprueba el Protocolo de Actuación en Situaciones de Violencias por Razones de Género, que establece procedimientos de asistencia, asesoramiento y acompañamiento a víctimas. Define tipos y modalidades de violencia según Ley 26.485. Incluye LINEAMIENTOS para todas las áreas del municipio.</w:t>
      </w:r>
    </w:p>
    <w:p>
      <w:r>
        <w:t>____________________________________________________________</w:t>
      </w:r>
    </w:p>
    <w:p/>
    <w:p>
      <w:pPr>
        <w:pStyle w:val="Heading2"/>
      </w:pPr>
      <w:r>
        <w:t>Ordenanza N° 78/2021</w:t>
      </w:r>
    </w:p>
    <w:p>
      <w:r>
        <w:rPr>
          <w:b/>
        </w:rPr>
        <w:t xml:space="preserve">Año: </w:t>
      </w:r>
      <w:r>
        <w:t xml:space="preserve">2021  |  </w:t>
      </w:r>
      <w:r>
        <w:rPr>
          <w:b/>
        </w:rPr>
        <w:t xml:space="preserve">Estado: </w:t>
      </w:r>
      <w:r>
        <w:t>VIGENTE</w:t>
      </w:r>
    </w:p>
    <w:p/>
    <w:p>
      <w:r>
        <w:rPr>
          <w:b/>
        </w:rPr>
        <w:t>Resumen:</w:t>
      </w:r>
    </w:p>
    <w:p>
      <w:r>
        <w:t>Aprueba Convenio Específico con el Ministerio Público de la Provincia de Buenos Aires para la prevención de violencia familiar y de género. Establece Sistema de Alerta con software, APP móvil (100 activaciones) y 3 botones anti-pánico físicos.</w:t>
      </w:r>
    </w:p>
    <w:p>
      <w:r>
        <w:t>____________________________________________________________</w:t>
      </w:r>
    </w:p>
    <w:p/>
    <w:p>
      <w:pPr>
        <w:pStyle w:val="Heading2"/>
      </w:pPr>
      <w:r>
        <w:t>Ordenanza N° 67/2021</w:t>
      </w:r>
    </w:p>
    <w:p>
      <w:r>
        <w:rPr>
          <w:b/>
        </w:rPr>
        <w:t xml:space="preserve">Año: </w:t>
      </w:r>
      <w:r>
        <w:t xml:space="preserve">2021  |  </w:t>
      </w:r>
      <w:r>
        <w:rPr>
          <w:b/>
        </w:rPr>
        <w:t xml:space="preserve">Estado: </w:t>
      </w:r>
      <w:r>
        <w:t>VIGENTE</w:t>
      </w:r>
    </w:p>
    <w:p/>
    <w:p>
      <w:r>
        <w:rPr>
          <w:b/>
        </w:rPr>
        <w:t>Resumen:</w:t>
      </w:r>
    </w:p>
    <w:p>
      <w:r>
        <w:t>Crea el Programa de Inserción y Continuidad Laboral para Mujeres y Diversidades víctimas de violencia por razones de género. Busca promover el empleo en sectores público y privado mediante herramientas e incentivos. Autoridad de aplicación: Secretaría de Desarrollo Local y Unidad de Género Local.</w:t>
      </w:r>
    </w:p>
    <w:p>
      <w:r>
        <w:t>____________________________________________________________</w:t>
      </w:r>
    </w:p>
    <w:p/>
    <w:p>
      <w:pPr>
        <w:pStyle w:val="Heading2"/>
      </w:pPr>
      <w:r>
        <w:t>Ordenanza N° 46/2020</w:t>
      </w:r>
    </w:p>
    <w:p>
      <w:r>
        <w:rPr>
          <w:b/>
        </w:rPr>
        <w:t xml:space="preserve">Año: </w:t>
      </w:r>
      <w:r>
        <w:t xml:space="preserve">2020  |  </w:t>
      </w:r>
      <w:r>
        <w:rPr>
          <w:b/>
        </w:rPr>
        <w:t xml:space="preserve">Estado: </w:t>
      </w:r>
      <w:r>
        <w:t>VIGENTE</w:t>
      </w:r>
    </w:p>
    <w:p/>
    <w:p>
      <w:r>
        <w:rPr>
          <w:b/>
        </w:rPr>
        <w:t>Resumen:</w:t>
      </w:r>
    </w:p>
    <w:p>
      <w:r>
        <w:t>Modifica la Ordenanza N° 29/2019 (Ley Micaela) estableciendo detalles de implementación: designación de autoridad de aplicación, funciones, mecanismos de certificación, informes anuales y sanciones por incumplimiento para el personal municipal.</w:t>
      </w:r>
    </w:p>
    <w:p>
      <w:r>
        <w:t>____________________________________________________________</w:t>
      </w:r>
    </w:p>
    <w:p/>
    <w:p>
      <w:pPr>
        <w:pStyle w:val="Heading2"/>
      </w:pPr>
      <w:r>
        <w:t>Ordenanza N° 45/2020</w:t>
      </w:r>
    </w:p>
    <w:p>
      <w:r>
        <w:rPr>
          <w:b/>
        </w:rPr>
        <w:t xml:space="preserve">Año: </w:t>
      </w:r>
      <w:r>
        <w:t xml:space="preserve">2020  |  </w:t>
      </w:r>
      <w:r>
        <w:rPr>
          <w:b/>
        </w:rPr>
        <w:t xml:space="preserve">Estado: </w:t>
      </w:r>
      <w:r>
        <w:t>VIGENTE</w:t>
      </w:r>
    </w:p>
    <w:p/>
    <w:p>
      <w:r>
        <w:rPr>
          <w:b/>
        </w:rPr>
        <w:t>Resumen:</w:t>
      </w:r>
    </w:p>
    <w:p>
      <w:r>
        <w:t>Promueve el uso de la copa menstrual como alternativa a toallitas y tampones, destacando beneficios para la salud, medio ambiente y economía. Establece inclusión en programas de salud y medio ambiente, charlas informativas y distribución gratuita en centros de salud.</w:t>
      </w:r>
    </w:p>
    <w:p>
      <w:r>
        <w:t>____________________________________________________________</w:t>
      </w:r>
    </w:p>
    <w:p/>
    <w:p>
      <w:pPr>
        <w:pStyle w:val="Heading2"/>
      </w:pPr>
      <w:r>
        <w:t>Ordenanza N° 71/2020</w:t>
      </w:r>
    </w:p>
    <w:p>
      <w:r>
        <w:rPr>
          <w:b/>
        </w:rPr>
        <w:t xml:space="preserve">Año: </w:t>
      </w:r>
      <w:r>
        <w:t xml:space="preserve">2020  |  </w:t>
      </w:r>
      <w:r>
        <w:rPr>
          <w:b/>
        </w:rPr>
        <w:t xml:space="preserve">Estado: </w:t>
      </w:r>
      <w:r>
        <w:t>VIGENTE</w:t>
      </w:r>
    </w:p>
    <w:p/>
    <w:p>
      <w:r>
        <w:rPr>
          <w:b/>
        </w:rPr>
        <w:t>Resumen:</w:t>
      </w:r>
    </w:p>
    <w:p>
      <w:r>
        <w:t>Crea el Consejo Local de Infancias y Adolescencias, derogando la Ordenanza N°67/2008. Establece misión, conformación, reglas de funcionamiento y competencias, en el marco de la Ley Provincial 13.298.</w:t>
      </w:r>
    </w:p>
    <w:p>
      <w:r>
        <w:t>____________________________________________________________</w:t>
      </w:r>
    </w:p>
    <w:p/>
    <w:p>
      <w:pPr>
        <w:pStyle w:val="Heading2"/>
      </w:pPr>
      <w:r>
        <w:t>Ordenanza N° 108/2019</w:t>
      </w:r>
    </w:p>
    <w:p>
      <w:r>
        <w:rPr>
          <w:b/>
        </w:rPr>
        <w:t xml:space="preserve">Año: </w:t>
      </w:r>
      <w:r>
        <w:t xml:space="preserve">2019  |  </w:t>
      </w:r>
      <w:r>
        <w:rPr>
          <w:b/>
        </w:rPr>
        <w:t xml:space="preserve">Estado: </w:t>
      </w:r>
      <w:r>
        <w:t>VIGENTE</w:t>
      </w:r>
    </w:p>
    <w:p/>
    <w:p>
      <w:r>
        <w:rPr>
          <w:b/>
        </w:rPr>
        <w:t>Resumen:</w:t>
      </w:r>
    </w:p>
    <w:p>
      <w:r>
        <w:t>Crea el Programa Lazos para adolescentes en general y específicamente adolescentes que son madres/padres y sus hijos/as, con abordaje interdisciplinario. Tres líneas de acción: acompañamiento, sensibilización y fortalecimiento económico.</w:t>
      </w:r>
    </w:p>
    <w:p>
      <w:r>
        <w:t>____________________________________________________________</w:t>
      </w:r>
    </w:p>
    <w:p/>
    <w:p>
      <w:pPr>
        <w:pStyle w:val="Heading2"/>
      </w:pPr>
      <w:r>
        <w:t>Ordenanza N° 29/2019</w:t>
      </w:r>
    </w:p>
    <w:p>
      <w:r>
        <w:rPr>
          <w:b/>
        </w:rPr>
        <w:t xml:space="preserve">Año: </w:t>
      </w:r>
      <w:r>
        <w:t xml:space="preserve">2019  |  </w:t>
      </w:r>
      <w:r>
        <w:rPr>
          <w:b/>
        </w:rPr>
        <w:t xml:space="preserve">Estado: </w:t>
      </w:r>
      <w:r>
        <w:t>VIGENTE</w:t>
      </w:r>
    </w:p>
    <w:p/>
    <w:p>
      <w:r>
        <w:rPr>
          <w:b/>
        </w:rPr>
        <w:t>Resumen:</w:t>
      </w:r>
    </w:p>
    <w:p>
      <w:r>
        <w:t>Adhiere el Municipio de Saladillo a la Ley Provincial N° 15.134 (Ley Micaela Bonaerense) que establece la capacitación obligatoria en género y violencia contra las mujeres para todas las personas que integran los tres poderes del Estado.</w:t>
      </w:r>
    </w:p>
    <w:p>
      <w:r>
        <w:t>____________________________________________________________</w:t>
      </w:r>
    </w:p>
    <w:p/>
    <w:p>
      <w:pPr>
        <w:pStyle w:val="Heading2"/>
      </w:pPr>
      <w:r>
        <w:t>Ordenanza N° 148/2018</w:t>
      </w:r>
    </w:p>
    <w:p>
      <w:r>
        <w:rPr>
          <w:b/>
        </w:rPr>
        <w:t xml:space="preserve">Año: </w:t>
      </w:r>
      <w:r>
        <w:t xml:space="preserve">2018  |  </w:t>
      </w:r>
      <w:r>
        <w:rPr>
          <w:b/>
        </w:rPr>
        <w:t xml:space="preserve">Estado: </w:t>
      </w:r>
      <w:r>
        <w:t>VIGENTE</w:t>
      </w:r>
    </w:p>
    <w:p/>
    <w:p>
      <w:r>
        <w:rPr>
          <w:b/>
        </w:rPr>
        <w:t>Resumen:</w:t>
      </w:r>
    </w:p>
    <w:p>
      <w:r>
        <w:t>Declara el 14 de marzo como Día de Concientización y Difusión de la Endometriosis en Saladillo. Crea Programa Municipal de actividades educativas y de difusión, asignando partida presupuestaria desde 2019.</w:t>
      </w:r>
    </w:p>
    <w:p>
      <w:r>
        <w:t>____________________________________________________________</w:t>
      </w:r>
    </w:p>
    <w:p/>
    <w:p>
      <w:pPr>
        <w:pStyle w:val="Heading2"/>
      </w:pPr>
      <w:r>
        <w:t>Ordenanza N° 127/2017</w:t>
      </w:r>
    </w:p>
    <w:p>
      <w:r>
        <w:rPr>
          <w:b/>
        </w:rPr>
        <w:t xml:space="preserve">Año: </w:t>
      </w:r>
      <w:r>
        <w:t xml:space="preserve">2017  |  </w:t>
      </w:r>
      <w:r>
        <w:rPr>
          <w:b/>
        </w:rPr>
        <w:t xml:space="preserve">Estado: </w:t>
      </w:r>
      <w:r>
        <w:t>VIGENTE</w:t>
      </w:r>
    </w:p>
    <w:p/>
    <w:p>
      <w:r>
        <w:rPr>
          <w:b/>
        </w:rPr>
        <w:t>Resumen:</w:t>
      </w:r>
    </w:p>
    <w:p>
      <w:r>
        <w:t>Designa nombres de siete mujeres del período independentista para las calles de la 'Urbanización I - Escuela 7'. Busca revalorizar el papel histórico de las mujeres, en el marco del bicentenario de la independencia argentina.</w:t>
      </w:r>
    </w:p>
    <w:p>
      <w:r>
        <w:t>____________________________________________________________</w:t>
      </w:r>
    </w:p>
    <w:p/>
    <w:p>
      <w:pPr>
        <w:pStyle w:val="Heading2"/>
      </w:pPr>
      <w:r>
        <w:t>Ordenanza N° 124/2017</w:t>
      </w:r>
    </w:p>
    <w:p>
      <w:r>
        <w:rPr>
          <w:b/>
        </w:rPr>
        <w:t xml:space="preserve">Año: </w:t>
      </w:r>
      <w:r>
        <w:t xml:space="preserve">2017  |  </w:t>
      </w:r>
      <w:r>
        <w:rPr>
          <w:b/>
        </w:rPr>
        <w:t xml:space="preserve">Estado: </w:t>
      </w:r>
      <w:r>
        <w:t>VIGENTE</w:t>
      </w:r>
    </w:p>
    <w:p/>
    <w:p>
      <w:r>
        <w:rPr>
          <w:b/>
        </w:rPr>
        <w:t>Resumen:</w:t>
      </w:r>
    </w:p>
    <w:p>
      <w:r>
        <w:t>Implementa Programa de Concientización sobre acoso callejero dirigido a estudiantes de escuelas primarias y secundarias. Incluye charlas, cursos, talleres y seminarios para promover relaciones basadas en el respeto.</w:t>
      </w:r>
    </w:p>
    <w:p>
      <w:r>
        <w:t>____________________________________________________________</w:t>
      </w:r>
    </w:p>
    <w:p/>
    <w:p>
      <w:pPr>
        <w:pStyle w:val="Heading2"/>
      </w:pPr>
      <w:r>
        <w:t>Ordenanza N° 45/2017</w:t>
      </w:r>
    </w:p>
    <w:p>
      <w:r>
        <w:rPr>
          <w:b/>
        </w:rPr>
        <w:t xml:space="preserve">Año: </w:t>
      </w:r>
      <w:r>
        <w:t xml:space="preserve">2017  |  </w:t>
      </w:r>
      <w:r>
        <w:rPr>
          <w:b/>
        </w:rPr>
        <w:t xml:space="preserve">Estado: </w:t>
      </w:r>
      <w:r>
        <w:t>VIGENTE</w:t>
      </w:r>
    </w:p>
    <w:p/>
    <w:p>
      <w:r>
        <w:rPr>
          <w:b/>
        </w:rPr>
        <w:t>Resumen:</w:t>
      </w:r>
    </w:p>
    <w:p>
      <w:r>
        <w:t>Aprueba Acta Acuerdo con la Asociación Civil Agruparte para ejecutar módulos 'Desarrollo Humano - Cultural' y 'Desarrollo Humano - Mujer y Hábitat' del Convenio con la Secretaría de Vivienda y Hábitat de la Nación para el Barrio 31 de Julio.</w:t>
      </w:r>
    </w:p>
    <w:p>
      <w:r>
        <w:t>____________________________________________________________</w:t>
      </w:r>
    </w:p>
    <w:p/>
    <w:p>
      <w:pPr>
        <w:pStyle w:val="Heading2"/>
      </w:pPr>
      <w:r>
        <w:t>Ordenanza N° 48/2016</w:t>
      </w:r>
    </w:p>
    <w:p>
      <w:r>
        <w:rPr>
          <w:b/>
        </w:rPr>
        <w:t xml:space="preserve">Año: </w:t>
      </w:r>
      <w:r>
        <w:t xml:space="preserve">2016  |  </w:t>
      </w:r>
      <w:r>
        <w:rPr>
          <w:b/>
        </w:rPr>
        <w:t xml:space="preserve">Estado: </w:t>
      </w:r>
      <w:r>
        <w:t>VIGENTE</w:t>
      </w:r>
    </w:p>
    <w:p/>
    <w:p>
      <w:r>
        <w:rPr>
          <w:b/>
        </w:rPr>
        <w:t>Resumen:</w:t>
      </w:r>
    </w:p>
    <w:p>
      <w:r>
        <w:t>Prohíbe actos administrativos municipales que permitan, apoyen o promocionen concursos de belleza por constituir violencia simbólica y de género. Establece restricciones para concursos privados y promueve concursos alternativos que valoricen expresiones artísticas y solidarias.</w:t>
      </w:r>
    </w:p>
    <w:p>
      <w:r>
        <w:t>____________________________________________________________</w:t>
      </w:r>
    </w:p>
    <w:p/>
    <w:p>
      <w:pPr>
        <w:pStyle w:val="Heading2"/>
      </w:pPr>
      <w:r>
        <w:t>Ordenanza N° 18/2016</w:t>
      </w:r>
    </w:p>
    <w:p>
      <w:r>
        <w:rPr>
          <w:b/>
        </w:rPr>
        <w:t xml:space="preserve">Año: </w:t>
      </w:r>
      <w:r>
        <w:t xml:space="preserve">2016  |  </w:t>
      </w:r>
      <w:r>
        <w:rPr>
          <w:b/>
        </w:rPr>
        <w:t xml:space="preserve">Estado: </w:t>
      </w:r>
      <w:r>
        <w:t>VIGENTE</w:t>
      </w:r>
    </w:p>
    <w:p/>
    <w:p>
      <w:r>
        <w:rPr>
          <w:b/>
        </w:rPr>
        <w:t>Resumen:</w:t>
      </w:r>
    </w:p>
    <w:p>
      <w:r>
        <w:t>Establece el 17 de mayo como 'Día Municipal de lucha contra la discriminación por orientación sexual e identidad de género'. La fecha conmemora la eliminación de la homosexualidad de la lista de enfermedades mentales por la OMS en 1990.</w:t>
      </w:r>
    </w:p>
    <w:p>
      <w:r>
        <w:t>____________________________________________________________</w:t>
      </w:r>
    </w:p>
    <w:p/>
    <w:p>
      <w:pPr>
        <w:pStyle w:val="Heading2"/>
      </w:pPr>
      <w:r>
        <w:t>Ordenanza N° 34/2015</w:t>
      </w:r>
    </w:p>
    <w:p>
      <w:r>
        <w:rPr>
          <w:b/>
        </w:rPr>
        <w:t xml:space="preserve">Año: </w:t>
      </w:r>
      <w:r>
        <w:t xml:space="preserve">2015  |  </w:t>
      </w:r>
      <w:r>
        <w:rPr>
          <w:b/>
        </w:rPr>
        <w:t xml:space="preserve">Estado: </w:t>
      </w:r>
      <w:r>
        <w:t>VIGENTE</w:t>
      </w:r>
    </w:p>
    <w:p/>
    <w:p>
      <w:r>
        <w:rPr>
          <w:b/>
        </w:rPr>
        <w:t>Resumen:</w:t>
      </w:r>
    </w:p>
    <w:p>
      <w:r>
        <w:t>Establece derecho a un día de licencia laboral anual con goce de haberes para personal municipal femenino y masculino, destinado a estudios preventivos de salud. Para mujeres: colposcopía, mamografías y papanicolau. Para hombres: estudios de próstata y colon.</w:t>
      </w:r>
    </w:p>
    <w:p>
      <w:r>
        <w:t>____________________________________________________________</w:t>
      </w:r>
    </w:p>
    <w:p/>
    <w:p>
      <w:pPr>
        <w:pStyle w:val="Heading2"/>
      </w:pPr>
      <w:r>
        <w:t>Ordenanza N° 76/2014</w:t>
      </w:r>
    </w:p>
    <w:p>
      <w:r>
        <w:rPr>
          <w:b/>
        </w:rPr>
        <w:t xml:space="preserve">Año: </w:t>
      </w:r>
      <w:r>
        <w:t xml:space="preserve">2014  |  </w:t>
      </w:r>
      <w:r>
        <w:rPr>
          <w:b/>
        </w:rPr>
        <w:t xml:space="preserve">Estado: </w:t>
      </w:r>
      <w:r>
        <w:t>VIGENTE</w:t>
      </w:r>
    </w:p>
    <w:p/>
    <w:p>
      <w:r>
        <w:rPr>
          <w:b/>
        </w:rPr>
        <w:t>Resumen:</w:t>
      </w:r>
    </w:p>
    <w:p>
      <w:r>
        <w:t>Designa con el nombre 'Lucía Elordieta' a una calle de la localidad de Del Carril, en reconocimiento a su trayectoria política y comunitaria.</w:t>
      </w:r>
    </w:p>
    <w:p>
      <w:r>
        <w:t>____________________________________________________________</w:t>
      </w:r>
    </w:p>
    <w:p/>
    <w:p>
      <w:pPr>
        <w:pStyle w:val="Heading2"/>
      </w:pPr>
      <w:r>
        <w:t>Ordenanza N° 100/2012</w:t>
      </w:r>
    </w:p>
    <w:p>
      <w:r>
        <w:rPr>
          <w:b/>
        </w:rPr>
        <w:t xml:space="preserve">Año: </w:t>
      </w:r>
      <w:r>
        <w:t xml:space="preserve">2012  |  </w:t>
      </w:r>
      <w:r>
        <w:rPr>
          <w:b/>
        </w:rPr>
        <w:t xml:space="preserve">Estado: </w:t>
      </w:r>
      <w:r>
        <w:t>VIGENTE</w:t>
      </w:r>
    </w:p>
    <w:p/>
    <w:p>
      <w:r>
        <w:rPr>
          <w:b/>
        </w:rPr>
        <w:t>Resumen:</w:t>
      </w:r>
    </w:p>
    <w:p>
      <w:r>
        <w:t>Autoriza al Intendente Municipal a firmar contrato de comodato con el Ministerio de Justicia y Seguridad de la Provincia de Buenos Aires para ceder inmueble donde funciona la Comisaría de la Mujer y la Familia.</w:t>
      </w:r>
    </w:p>
    <w:p>
      <w:r>
        <w:t>____________________________________________________________</w:t>
      </w:r>
    </w:p>
    <w:p/>
    <w:p>
      <w:pPr>
        <w:pStyle w:val="Heading2"/>
      </w:pPr>
      <w:r>
        <w:t>Ordenanza N° 99/2012</w:t>
      </w:r>
    </w:p>
    <w:p>
      <w:r>
        <w:rPr>
          <w:b/>
        </w:rPr>
        <w:t xml:space="preserve">Año: </w:t>
      </w:r>
      <w:r>
        <w:t xml:space="preserve">2012  |  </w:t>
      </w:r>
      <w:r>
        <w:rPr>
          <w:b/>
        </w:rPr>
        <w:t xml:space="preserve">Estado: </w:t>
      </w:r>
      <w:r>
        <w:t>VIGENTE</w:t>
      </w:r>
    </w:p>
    <w:p/>
    <w:p>
      <w:r>
        <w:rPr>
          <w:b/>
        </w:rPr>
        <w:t>Resumen:</w:t>
      </w:r>
    </w:p>
    <w:p>
      <w:r>
        <w:t>Solicita al Ministerio de Justicia y Seguridad de la Provincia de Buenos Aires la creación en Saladillo de una Comisaría de la Mujer y la Familia para prevención y tratamiento de la violencia familiar con personal especializado.</w:t>
      </w:r>
    </w:p>
    <w:p>
      <w:r>
        <w:t>____________________________________________________________</w:t>
      </w:r>
    </w:p>
    <w:p/>
    <w:p>
      <w:pPr>
        <w:pStyle w:val="Heading2"/>
      </w:pPr>
      <w:r>
        <w:t>Ordenanza N° 48/2012</w:t>
      </w:r>
    </w:p>
    <w:p>
      <w:r>
        <w:rPr>
          <w:b/>
        </w:rPr>
        <w:t xml:space="preserve">Año: </w:t>
      </w:r>
      <w:r>
        <w:t xml:space="preserve">2012  |  </w:t>
      </w:r>
      <w:r>
        <w:rPr>
          <w:b/>
        </w:rPr>
        <w:t xml:space="preserve">Estado: </w:t>
      </w:r>
      <w:r>
        <w:t>VIGENTE</w:t>
      </w:r>
    </w:p>
    <w:p/>
    <w:p>
      <w:r>
        <w:rPr>
          <w:b/>
        </w:rPr>
        <w:t>Resumen:</w:t>
      </w:r>
    </w:p>
    <w:p>
      <w:r>
        <w:t>Crea el Consejo Local contra la Violencia de Género y Familiar. Coordinado por Desarrollo Humano municipal, con composición multisectorial. Funciones: concientización, prevención, asesoramiento, investigación, coordinación interinstitucional y formulación de proyectos.</w:t>
      </w:r>
    </w:p>
    <w:p>
      <w:r>
        <w:t>____________________________________________________________</w:t>
      </w:r>
    </w:p>
    <w:p/>
    <w:p>
      <w:pPr>
        <w:pStyle w:val="Heading2"/>
      </w:pPr>
      <w:r>
        <w:t>Ordenanza N° 30/2008</w:t>
      </w:r>
    </w:p>
    <w:p>
      <w:r>
        <w:rPr>
          <w:b/>
        </w:rPr>
        <w:t xml:space="preserve">Año: </w:t>
      </w:r>
      <w:r>
        <w:t xml:space="preserve">2008  |  </w:t>
      </w:r>
      <w:r>
        <w:rPr>
          <w:b/>
        </w:rPr>
        <w:t xml:space="preserve">Estado: </w:t>
      </w:r>
      <w:r>
        <w:t>VIGENTE</w:t>
      </w:r>
    </w:p>
    <w:p/>
    <w:p>
      <w:r>
        <w:rPr>
          <w:b/>
        </w:rPr>
        <w:t>Resumen:</w:t>
      </w:r>
    </w:p>
    <w:p>
      <w:r>
        <w:t>Crea la 'Semana del Control y Prevención de las Enfermedades Mamarias - Maratón Mamográfica'. Se realiza anualmente en octubre, coordinando con Hospital 'Dr. Posadas', prestadores privados y ONGs para controles clínicos, mamografías gratuitas y campañas de concientización.</w:t>
      </w:r>
    </w:p>
    <w:p>
      <w:r>
        <w:t>____________________________________________________________</w:t>
      </w:r>
    </w:p>
    <w:p/>
    <w:p>
      <w:pPr>
        <w:pStyle w:val="Heading2"/>
      </w:pPr>
      <w:r>
        <w:t>Ordenanza N° 16/2006</w:t>
      </w:r>
    </w:p>
    <w:p>
      <w:r>
        <w:rPr>
          <w:b/>
        </w:rPr>
        <w:t xml:space="preserve">Año: </w:t>
      </w:r>
      <w:r>
        <w:t xml:space="preserve">2006  |  </w:t>
      </w:r>
      <w:r>
        <w:rPr>
          <w:b/>
        </w:rPr>
        <w:t xml:space="preserve">Estado: </w:t>
      </w:r>
      <w:r>
        <w:t>VIGENTE</w:t>
      </w:r>
    </w:p>
    <w:p/>
    <w:p>
      <w:r>
        <w:rPr>
          <w:b/>
        </w:rPr>
        <w:t>Resumen:</w:t>
      </w:r>
    </w:p>
    <w:p>
      <w:r>
        <w:t>Modifica el artículo 78 del Estatuto del Empleado Municipal para ampliar el régimen de licencia por paternidad: 5 días corridos por nacimiento, 10 días si tiene hijos menores de 5 años, 10 días por nacimientos múltiples.</w:t>
      </w:r>
    </w:p>
    <w:p>
      <w:r>
        <w:t>____________________________________________________________</w:t>
      </w:r>
    </w:p>
    <w:p/>
    <w:p>
      <w:pPr>
        <w:pStyle w:val="Heading2"/>
      </w:pPr>
      <w:r>
        <w:t>Ordenanza N° 24/2005</w:t>
      </w:r>
    </w:p>
    <w:p>
      <w:r>
        <w:rPr>
          <w:b/>
        </w:rPr>
        <w:t xml:space="preserve">Año: </w:t>
      </w:r>
      <w:r>
        <w:t xml:space="preserve">2005  |  </w:t>
      </w:r>
      <w:r>
        <w:rPr>
          <w:b/>
        </w:rPr>
        <w:t xml:space="preserve">Estado: </w:t>
      </w:r>
      <w:r>
        <w:t>VIGENTE</w:t>
      </w:r>
    </w:p>
    <w:p/>
    <w:p>
      <w:r>
        <w:rPr>
          <w:b/>
        </w:rPr>
        <w:t>Resumen:</w:t>
      </w:r>
    </w:p>
    <w:p>
      <w:r>
        <w:t>Modifica el régimen de licencia por paternidad del personal municipal masculino, extendiendo de 3 a 5 días hábiles y equiparando situaciones antes solo contempladas para el personal femenino (nacimientos múltiples, adopción, fallecimiento fetal, otorgamiento de tenencia).</w:t>
      </w:r>
    </w:p>
    <w:p>
      <w:r>
        <w:t>____________________________________________________________</w:t>
      </w:r>
    </w:p>
    <w:p/>
    <w:p>
      <w:pPr>
        <w:pStyle w:val="Heading2"/>
      </w:pPr>
      <w:r>
        <w:t>Ordenanza N° 68/1993</w:t>
      </w:r>
    </w:p>
    <w:p>
      <w:r>
        <w:rPr>
          <w:b/>
        </w:rPr>
        <w:t xml:space="preserve">Año: </w:t>
      </w:r>
      <w:r>
        <w:t xml:space="preserve">1993  |  </w:t>
      </w:r>
      <w:r>
        <w:rPr>
          <w:b/>
        </w:rPr>
        <w:t xml:space="preserve">Estado: </w:t>
      </w:r>
      <w:r>
        <w:t>VIGENTE</w:t>
      </w:r>
    </w:p>
    <w:p/>
    <w:p>
      <w:r>
        <w:rPr>
          <w:b/>
        </w:rPr>
        <w:t>Resumen:</w:t>
      </w:r>
    </w:p>
    <w:p>
      <w:r>
        <w:t>Convalida Convenio con el Instituto de la Vivienda de la Provincia de Buenos Aires para construcción de un complejo para la 'Mujer Golpeada', equivalente a 6 módulos de vivienda. Aporte de $69.000 (valores 1993) con reintegro a 15 años y 35% de subsidio para fondo de vivienda social.</w:t>
      </w:r>
    </w:p>
    <w:p>
      <w:r>
        <w:t>____________________________________________________________</w:t>
      </w:r>
    </w:p>
    <w:p/>
    <w:p>
      <w:r>
        <w:br w:type="page"/>
      </w:r>
    </w:p>
    <w:p>
      <w:pPr>
        <w:pStyle w:val="Heading1"/>
      </w:pPr>
      <w:r>
        <w:t>RESUMEN EJECUTIVO</w:t>
      </w:r>
    </w:p>
    <w:p>
      <w:r>
        <w:t>El Municipio de Saladillo ha desarrollado a lo largo de más de tres décadas (1993-2023) un corpus normativo significativo en materia de género, diversidad y derechos de las mujeres, conformando un marco de referencia para las políticas públicas locales.</w:t>
      </w:r>
    </w:p>
    <w:p>
      <w:pPr>
        <w:pStyle w:val="Heading2"/>
      </w:pPr>
      <w:r>
        <w:t>1. Caracterización del Cuerpo Normativo</w:t>
      </w:r>
    </w:p>
    <w:p>
      <w:r>
        <w:t>Se registran 24 ordenanzas vinculadas a la temática de género y diversidad, dictadas en un período de 30 años. El análisis temporal permite identificar tres etapas claramente diferenciadas:</w:t>
      </w:r>
    </w:p>
    <w:p/>
    <w:p>
      <w:r>
        <w:rPr>
          <w:b/>
        </w:rPr>
        <w:t xml:space="preserve">a) Etapa Fundacional (1993-2008): </w:t>
      </w:r>
      <w:r>
        <w:t>Se fokus en la atención a situaciones de violencia y creación de infraestructura de respuesta (Comisaría de la Mujer, complejo habitacional para mujeres golpeadas). Las ordenanzas 68/1993, 99/2012, 100/2012 y 30/2008 exemplify esta etapa.</w:t>
      </w:r>
    </w:p>
    <w:p>
      <w:r>
        <w:rPr>
          <w:b/>
        </w:rPr>
        <w:t xml:space="preserve">b) Etapa de Consolidación (2012-2019): </w:t>
      </w:r>
      <w:r>
        <w:t>Creación del Consejo Local contra la Violencia de Género (Ord. 48/2012), adhesión a la Ley Micaela (Ord. 29/2019) y primeras ordenanzas sobre diversidad (Día Municipal contra la discriminación por orientación sexual e identidad de género, Ord. 18/2016).</w:t>
      </w:r>
    </w:p>
    <w:p>
      <w:r>
        <w:rPr>
          <w:b/>
        </w:rPr>
        <w:t xml:space="preserve">c) Etapa de Desarrollo Integral (2020-2023): </w:t>
      </w:r>
      <w:r>
        <w:t>Diversificación temática con enfoque en inserción laboral (Ord. 67/2021), protocolos de actuación (Ord. 116/2022), comunicación con perspectiva de género (Ord. 101/2023), y medidas concretas como la promoción de copa menstrual (Ord. 45/2020).</w:t>
      </w:r>
    </w:p>
    <w:p>
      <w:pPr>
        <w:pStyle w:val="Heading2"/>
      </w:pPr>
      <w:r>
        <w:t>2. Ejes Temáticos Principales</w:t>
      </w:r>
    </w:p>
    <w:p>
      <w:r>
        <w:rPr>
          <w:b/>
        </w:rPr>
        <w:t>• Prevención y Erradicación de la Violencia de Género</w:t>
      </w:r>
    </w:p>
    <w:p>
      <w:r>
        <w:t>9 ordenanzas abordan directamente la problemática de la violencia, incluyendo la creación del Consejo Local (48/2012), Sistema de Alerta con botones anti-pánico (78/2021), Protocolo de Actuación integral (116/2022) y Programa de Inserción Laboral para víctimas (67/2021).</w:t>
      </w:r>
    </w:p>
    <w:p>
      <w:r>
        <w:rPr>
          <w:b/>
        </w:rPr>
        <w:t>• Capacitación y Formación</w:t>
      </w:r>
    </w:p>
    <w:p>
      <w:r>
        <w:t>3 ordenanzas establecen la obligatoriedad de capacitación en género para personal municipal (29/2019, 46/2020) y la creación de la Dirección de Género (2021). La formación se complementa con obligaciones de difusión y comunicación institucional.</w:t>
      </w:r>
    </w:p>
    <w:p>
      <w:r>
        <w:rPr>
          <w:b/>
        </w:rPr>
        <w:t>• Diversidad y No Discriminación</w:t>
      </w:r>
    </w:p>
    <w:p>
      <w:r>
        <w:t>Se registran ordenanzas sobre el Día Municipal contra la discriminación por orientación sexual e identidad de género (18/2016), prohibición de concursos de belleza (48/2016), y reconocimiento de mujeres en el espacio público (127/2017, 76/2014).</w:t>
      </w:r>
    </w:p>
    <w:p>
      <w:r>
        <w:rPr>
          <w:b/>
        </w:rPr>
        <w:t>• Salud y Derechos Reproductivos</w:t>
      </w:r>
    </w:p>
    <w:p>
      <w:r>
        <w:t>Las ordenanzas 30/2008 (prevención de enfermedades mamarias), 45/2020 (copa menstrual) y 34/2015 (licencia para estudios preventivos) conforman un eje de promoción de la salud integral.</w:t>
      </w:r>
    </w:p>
    <w:p>
      <w:r>
        <w:rPr>
          <w:b/>
        </w:rPr>
        <w:t>• Igualdad y Participación</w:t>
      </w:r>
    </w:p>
    <w:p>
      <w:r>
        <w:t>Se establecen licencias por paternidad (24/2005, 16/2006), derechos laborales para víctimas de violencia (67/2021), y Lineamientos para la igualdad en el empleo público provincial.</w:t>
      </w:r>
    </w:p>
    <w:p>
      <w:pPr>
        <w:pStyle w:val="Heading2"/>
      </w:pPr>
      <w:r>
        <w:t>3. Marco Institucional</w:t>
      </w:r>
    </w:p>
    <w:p>
      <w:r>
        <w:t>El sistema normativo establece una estructura institucional compuesta por:</w:t>
      </w:r>
    </w:p>
    <w:p>
      <w:pPr>
        <w:pStyle w:val="ListBullet"/>
      </w:pPr>
      <w:r>
        <w:t xml:space="preserve">  - Consejo Local contra la Violencia de Género y Familiar (creado por Ord. 48/2012)</w:t>
      </w:r>
    </w:p>
    <w:p>
      <w:pPr>
        <w:pStyle w:val="ListBullet"/>
      </w:pPr>
      <w:r>
        <w:t xml:space="preserve">  - Dirección de Género y Diversidad Sexual (creada en 2021)</w:t>
      </w:r>
    </w:p>
    <w:p>
      <w:pPr>
        <w:pStyle w:val="ListBullet"/>
      </w:pPr>
      <w:r>
        <w:t xml:space="preserve">  - Unidad de Género Local (órgano de aplicación de múltiples ordenanzas)</w:t>
      </w:r>
    </w:p>
    <w:p>
      <w:pPr>
        <w:pStyle w:val="ListBullet"/>
      </w:pPr>
      <w:r>
        <w:t xml:space="preserve">  - Comisaría de la Mujer y la Familia (infraestructura habilitada por Ord. 100/2012)</w:t>
      </w:r>
    </w:p>
    <w:p>
      <w:pPr>
        <w:pStyle w:val="ListBullet"/>
      </w:pPr>
      <w:r>
        <w:t xml:space="preserve">  - Hogar de Protección Integral (previsto en protocolos vigentes)</w:t>
      </w:r>
    </w:p>
    <w:p>
      <w:pPr>
        <w:pStyle w:val="Heading2"/>
      </w:pPr>
      <w:r>
        <w:t>4. Convenios y Articulación Interinstitucional</w:t>
      </w:r>
    </w:p>
    <w:p>
      <w:r>
        <w:t>Se destacan los siguientes convenios ratified:</w:t>
      </w:r>
    </w:p>
    <w:p>
      <w:pPr>
        <w:pStyle w:val="ListBullet"/>
      </w:pPr>
      <w:r>
        <w:t xml:space="preserve">  • Convenio con el Ministerio Público de la Provincia de Buenos Aires para Sistema de Alerta y Botones Anti-pánico (Ord. 78/2021)</w:t>
      </w:r>
    </w:p>
    <w:p>
      <w:pPr>
        <w:pStyle w:val="ListBullet"/>
      </w:pPr>
      <w:r>
        <w:t xml:space="preserve">  • Convenio con el Instituto de la Vivienda para complejo para la Mujer Golpeada (Ord. 68/1993)</w:t>
      </w:r>
    </w:p>
    <w:p>
      <w:pPr>
        <w:pStyle w:val="ListBullet"/>
      </w:pPr>
      <w:r>
        <w:t xml:space="preserve">  • Convenio con la Asociación Civil Agruparte para programas de Desarrollo Humano (Ord. 45/2017)</w:t>
      </w:r>
    </w:p>
    <w:p>
      <w:pPr>
        <w:pStyle w:val="Heading2"/>
      </w:pPr>
      <w:r>
        <w:t>5. Estadísticas del Cuerpo Normativo</w:t>
      </w:r>
    </w:p>
    <w:tbl>
      <w:tblPr>
        <w:tblStyle w:val="TableGrid"/>
        <w:tblW w:type="auto" w:w="0"/>
        <w:tblLook w:firstColumn="1" w:firstRow="1" w:lastColumn="0" w:lastRow="0" w:noHBand="0" w:noVBand="1" w:val="04A0"/>
      </w:tblPr>
      <w:tblGrid>
        <w:gridCol w:w="4320"/>
        <w:gridCol w:w="4320"/>
      </w:tblGrid>
      <w:tr>
        <w:tc>
          <w:tcPr>
            <w:tcW w:type="dxa" w:w="4320"/>
          </w:tcPr>
          <w:p>
            <w:r>
              <w:t>Total de ordenanzas compiladas</w:t>
            </w:r>
          </w:p>
        </w:tc>
        <w:tc>
          <w:tcPr>
            <w:tcW w:type="dxa" w:w="4320"/>
          </w:tcPr>
          <w:p>
            <w:r>
              <w:t>24</w:t>
            </w:r>
          </w:p>
        </w:tc>
      </w:tr>
      <w:tr>
        <w:tc>
          <w:tcPr>
            <w:tcW w:type="dxa" w:w="4320"/>
          </w:tcPr>
          <w:p>
            <w:r>
              <w:t>Período de vigencia normativa</w:t>
            </w:r>
          </w:p>
        </w:tc>
        <w:tc>
          <w:tcPr>
            <w:tcW w:type="dxa" w:w="4320"/>
          </w:tcPr>
          <w:p>
            <w:r>
              <w:t>1993 - 2023 (30 años)</w:t>
            </w:r>
          </w:p>
        </w:tc>
      </w:tr>
      <w:tr>
        <w:tc>
          <w:tcPr>
            <w:tcW w:type="dxa" w:w="4320"/>
          </w:tcPr>
          <w:p>
            <w:r>
              <w:t>Ordenanzas vigentes</w:t>
            </w:r>
          </w:p>
        </w:tc>
        <w:tc>
          <w:tcPr>
            <w:tcW w:type="dxa" w:w="4320"/>
          </w:tcPr>
          <w:p>
            <w:r>
              <w:t>24</w:t>
            </w:r>
          </w:p>
        </w:tc>
      </w:tr>
      <w:tr>
        <w:tc>
          <w:tcPr>
            <w:tcW w:type="dxa" w:w="4320"/>
          </w:tcPr>
          <w:p>
            <w:r>
              <w:t>Marco legal nacional referencedo</w:t>
            </w:r>
          </w:p>
        </w:tc>
        <w:tc>
          <w:tcPr>
            <w:tcW w:type="dxa" w:w="4320"/>
          </w:tcPr>
          <w:p>
            <w:r>
              <w:t>Ley Micaela (27.499), Ley 26.485, Ley 26.743</w:t>
            </w:r>
          </w:p>
        </w:tc>
      </w:tr>
      <w:tr>
        <w:tc>
          <w:tcPr>
            <w:tcW w:type="dxa" w:w="4320"/>
          </w:tcPr>
          <w:p/>
        </w:tc>
        <w:tc>
          <w:tcPr>
            <w:tcW w:type="dxa" w:w="4320"/>
          </w:tcPr>
          <w:p/>
        </w:tc>
      </w:tr>
    </w:tbl>
    <w:p/>
    <w:p>
      <w:pPr>
        <w:pStyle w:val="Heading2"/>
      </w:pPr>
      <w:r>
        <w:t>CONCLUSIONES</w:t>
      </w:r>
    </w:p>
    <w:p>
      <w:r>
        <w:t>El Municipio de Saladillo ha construido un marco normativo comprehensivo en materia de género, diversidad y derechos de las mujeres. Las principales conclusiones son:</w:t>
      </w:r>
    </w:p>
    <w:p>
      <w:r>
        <w:rPr>
          <w:b/>
        </w:rPr>
        <w:t xml:space="preserve">1. Consolidación institucional: </w:t>
      </w:r>
      <w:r>
        <w:t>La creación del Consejo Local contra la Violencia de Género y la Dirección de Género conforman la estructura institucional necesaria para la implementación de políticas públicas en la materia.</w:t>
      </w:r>
    </w:p>
    <w:p>
      <w:r>
        <w:rPr>
          <w:b/>
        </w:rPr>
        <w:t xml:space="preserve">2. Enfoque integral: </w:t>
      </w:r>
      <w:r>
        <w:t>Las ordenanzas abordan tanto la prevención y erradicación de la violencia, como la promoción de derechos, la inserción laboral y la salud reproductiva.</w:t>
      </w:r>
    </w:p>
    <w:p>
      <w:r>
        <w:rPr>
          <w:b/>
        </w:rPr>
        <w:t xml:space="preserve">3. Articulación interinstitucional: </w:t>
      </w:r>
      <w:r>
        <w:t>Los convenios con organismos provinciales y nacionales permiten capitalizar recursos y especialistas para la atención de víctimas.</w:t>
      </w:r>
    </w:p>
    <w:p>
      <w:r>
        <w:rPr>
          <w:b/>
        </w:rPr>
        <w:t xml:space="preserve">4. Marco de derechos: </w:t>
      </w:r>
      <w:r>
        <w:t>La adhesión a leyes nacionales y provinciales (Ley Micaela, Ley 26.485, Ley de Identidad de Género) garantiza consistencia con el marco normativo superior.</w:t>
      </w:r>
    </w:p>
    <w:p>
      <w:r>
        <w:rPr>
          <w:b/>
        </w:rPr>
        <w:t xml:space="preserve">5. Transversalidad: </w:t>
      </w:r>
      <w:r>
        <w:t>Las políticas de género se integran en diversas áreas municipales: seguridad, salud, educación, desarrollo social, cultura y empleo.</w:t>
      </w:r>
    </w:p>
    <w:p/>
    <w:p>
      <w:pPr>
        <w:jc w:val="center"/>
      </w:pPr>
      <w:r>
        <w:t>————————————————————————————————————————</w:t>
      </w:r>
    </w:p>
    <w:p>
      <w:pPr>
        <w:jc w:val="center"/>
      </w:pPr>
      <w:r>
        <w:rPr>
          <w:i/>
        </w:rPr>
        <w:t>Documento generado automáticamente</w:t>
      </w:r>
      <w:r>
        <w:br/>
        <w:t>Municipio de Saladillo - Mayo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