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668" w:rsidRDefault="00B75B79">
      <w:r>
        <w:fldChar w:fldCharType="begin"/>
      </w:r>
      <w:r>
        <w:instrText xml:space="preserve"> HYPERLINK "https://www.trabajadores.cu/20250806/incremento-parcial-de-pensiones-a-mas-de-15-millones-de-jubilados-y-video/" </w:instrText>
      </w:r>
      <w:r>
        <w:fldChar w:fldCharType="separate"/>
      </w:r>
      <w:r>
        <w:rPr>
          <w:rStyle w:val="Hyperlink"/>
        </w:rPr>
        <w:t>Incremento parcial de pensiones a más de 1,5 millones de jubilados (+ Gaceta Oficial y video) • Trabajadores</w:t>
      </w:r>
      <w:r>
        <w:fldChar w:fldCharType="end"/>
      </w:r>
    </w:p>
    <w:p w:rsidR="00B75B79" w:rsidRDefault="00B75B79">
      <w:r>
        <w:rPr>
          <w:noProof/>
          <w:lang w:eastAsia="es-ES"/>
        </w:rPr>
        <w:drawing>
          <wp:inline distT="0" distB="0" distL="0" distR="0">
            <wp:extent cx="5068007" cy="5944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15 21100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79" w:rsidRDefault="00B75B79"/>
    <w:p w:rsidR="00B75B79" w:rsidRDefault="00B75B79"/>
    <w:p w:rsidR="00B75B79" w:rsidRDefault="00B75B79"/>
    <w:p w:rsidR="00B75B79" w:rsidRDefault="00B75B79"/>
    <w:p w:rsidR="00B75B79" w:rsidRDefault="00B75B79"/>
    <w:p w:rsidR="00B75B79" w:rsidRDefault="00B75B79"/>
    <w:p w:rsidR="00B75B79" w:rsidRDefault="00B75B79"/>
    <w:p w:rsidR="00B75B79" w:rsidRDefault="00B75B79"/>
    <w:p w:rsidR="00B75B79" w:rsidRDefault="00B75B79" w:rsidP="00B75B79">
      <w:pPr>
        <w:pStyle w:val="Heading1"/>
        <w:shd w:val="clear" w:color="auto" w:fill="FFFFFF"/>
        <w:spacing w:before="0" w:beforeAutospacing="0" w:after="216" w:afterAutospacing="0"/>
        <w:rPr>
          <w:rStyle w:val="posted-on"/>
          <w:caps/>
          <w:color w:val="575760"/>
          <w:sz w:val="19"/>
          <w:szCs w:val="19"/>
        </w:rPr>
      </w:pPr>
      <w:r>
        <w:rPr>
          <w:rStyle w:val="posted-on"/>
          <w:caps/>
          <w:color w:val="575760"/>
          <w:sz w:val="19"/>
          <w:szCs w:val="19"/>
        </w:rPr>
        <w:lastRenderedPageBreak/>
        <w:t>18/02/2025</w:t>
      </w:r>
    </w:p>
    <w:p w:rsidR="00B75B79" w:rsidRDefault="00B75B79" w:rsidP="00B75B79">
      <w:pPr>
        <w:pStyle w:val="Heading1"/>
        <w:shd w:val="clear" w:color="auto" w:fill="FFFFFF"/>
        <w:spacing w:before="0" w:beforeAutospacing="0" w:after="216" w:afterAutospacing="0"/>
      </w:pPr>
      <w:hyperlink r:id="rId5" w:history="1">
        <w:r>
          <w:rPr>
            <w:rStyle w:val="Hyperlink"/>
          </w:rPr>
          <w:t>Tarifas de servicios de agua y alcantarillado en Cuba</w:t>
        </w:r>
      </w:hyperlink>
    </w:p>
    <w:p w:rsidR="00B75B79" w:rsidRDefault="00B75B79" w:rsidP="00B75B79">
      <w:pPr>
        <w:pStyle w:val="Heading5"/>
        <w:spacing w:before="450" w:after="300"/>
        <w:rPr>
          <w:rFonts w:ascii="Poppins" w:hAnsi="Poppins"/>
          <w:color w:val="222222"/>
          <w:sz w:val="23"/>
          <w:szCs w:val="23"/>
        </w:rPr>
      </w:pPr>
      <w:r>
        <w:rPr>
          <w:rFonts w:ascii="Poppins" w:hAnsi="Poppins"/>
          <w:color w:val="222222"/>
          <w:sz w:val="23"/>
          <w:szCs w:val="23"/>
        </w:rPr>
        <w:t>Publicado inicialmente el 11/12/2023</w:t>
      </w:r>
    </w:p>
    <w:p w:rsidR="00B75B79" w:rsidRDefault="00B75B79" w:rsidP="00B75B79">
      <w:pPr>
        <w:pStyle w:val="NormalWeb"/>
        <w:spacing w:before="264" w:beforeAutospacing="0" w:after="144" w:afterAutospacing="0"/>
      </w:pPr>
      <w:r>
        <w:t>Tarifas máximas en pesos cubanos para el </w:t>
      </w:r>
      <w:r>
        <w:rPr>
          <w:rStyle w:val="Strong"/>
        </w:rPr>
        <w:t>cobro de los servicios que prestan las entidades del sistema empresarial de Agua y Saneamiento</w:t>
      </w:r>
      <w:r>
        <w:t>, atendido por el Instituto Nacional de Recursos Hidráulicos en el sector doméstico.</w:t>
      </w:r>
    </w:p>
    <w:tbl>
      <w:tblPr>
        <w:tblW w:w="8640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394"/>
        <w:gridCol w:w="1568"/>
      </w:tblGrid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TARIFAS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ABASTO DE AGUA POR ACUEDUCTO</w:t>
            </w:r>
          </w:p>
        </w:tc>
      </w:tr>
      <w:tr w:rsidR="00B75B79" w:rsidTr="00650AA9">
        <w:trPr>
          <w:trHeight w:val="6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 xml:space="preserve">Tarifa para el Servicio de abasto de agua potable. Servicio No </w:t>
            </w:r>
            <w:proofErr w:type="spellStart"/>
            <w:r>
              <w:t>Metrado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mes / habitante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7.00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 xml:space="preserve">Tarifa para el servicio de abasto de agua potable. Servicio </w:t>
            </w:r>
            <w:proofErr w:type="spellStart"/>
            <w:r>
              <w:t>Metrado</w:t>
            </w:r>
            <w:proofErr w:type="spellEnd"/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Hasta 3,0 m³/ habitante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1.75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Más de 3,0 m³/ hasta 4,5 m³/ habitante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3.50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Más de 4,5 m³/ hasta 6,0 m³/ habitante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5.25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Más de 6,0 m³/ hasta 7,5 m³/ habitante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7.00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Más de 7,5 m³/ hasta 8,5 m³/ habitante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10.50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Más de 8,5 m³/ habitante /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21.00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 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lastRenderedPageBreak/>
              <w:t>ABASTO DE AGUA POTABLE EN EDIFICIOS MULTIFAMILIARES</w:t>
            </w:r>
          </w:p>
        </w:tc>
      </w:tr>
      <w:tr w:rsidR="00B75B79" w:rsidTr="00650AA9">
        <w:trPr>
          <w:trHeight w:val="909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 xml:space="preserve">En aquellos edificios multifamiliares que no sea posible su metraje individual por apartamentos se  aplica la tarifa del servicio No </w:t>
            </w:r>
            <w:proofErr w:type="spellStart"/>
            <w:r>
              <w:t>Metrado</w:t>
            </w:r>
            <w:proofErr w:type="spellEnd"/>
            <w:r>
              <w:t xml:space="preserve">, aun cuando tengan instalado un </w:t>
            </w:r>
            <w:proofErr w:type="spellStart"/>
            <w:r>
              <w:t>metrocontador</w:t>
            </w:r>
            <w:proofErr w:type="spellEnd"/>
            <w:r>
              <w:t xml:space="preserve"> en la entrada de la cisterna: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7.00 pesos por persona al mes.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 </w:t>
            </w:r>
          </w:p>
        </w:tc>
      </w:tr>
      <w:tr w:rsidR="00B75B79" w:rsidTr="00650AA9">
        <w:trPr>
          <w:trHeight w:val="695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ABASTO DE AGUA PARA PERSONAS NATURALES QUE REALIZAN ACTIVIDADES ECONÓMICAS (TCP) EN SU DOMICILIO</w:t>
            </w:r>
          </w:p>
        </w:tc>
      </w:tr>
      <w:tr w:rsidR="00B75B79" w:rsidTr="00650AA9">
        <w:trPr>
          <w:trHeight w:val="90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 xml:space="preserve">A las personas naturales que realizan actividades económicas vinculadas a otras formas de gestión no estatal debidamente autorizadas en su domicilio y reciban el servicio de agua por una única acometida, se les aplica la tarifa del servicio </w:t>
            </w:r>
            <w:proofErr w:type="spellStart"/>
            <w:r>
              <w:t>metrado</w:t>
            </w:r>
            <w:proofErr w:type="spellEnd"/>
            <w:r>
              <w:t xml:space="preserve"> bajo el siguiente principio de reparto: Tarifa sector doméstico + Tarifa sector productivo.</w:t>
            </w:r>
          </w:p>
        </w:tc>
      </w:tr>
      <w:tr w:rsidR="00B75B79" w:rsidTr="00650AA9">
        <w:trPr>
          <w:trHeight w:val="6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Hasta 6,0 m³/ habitante / mes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Tarifa aplicada al sector Doméstico</w:t>
            </w:r>
          </w:p>
        </w:tc>
      </w:tr>
      <w:tr w:rsidR="00B75B79" w:rsidTr="00650AA9">
        <w:trPr>
          <w:trHeight w:val="6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Más de 6,0 m³/ habitante / mes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Tarifa aplicada al sector Productivo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 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ABASTO DE AGUA CON CARROS CISTERNAS</w:t>
            </w:r>
          </w:p>
        </w:tc>
      </w:tr>
      <w:tr w:rsidR="00B75B79" w:rsidTr="00650AA9">
        <w:trPr>
          <w:trHeight w:val="89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El servicio de carros cisternas para el abasto de agua de forma eventual motivado por interrupciones imputables al suministrador es de carácter gratuito.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0.00</w:t>
            </w:r>
          </w:p>
        </w:tc>
      </w:tr>
      <w:tr w:rsidR="00B75B79" w:rsidTr="00650AA9">
        <w:trPr>
          <w:trHeight w:val="90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El servicio solicitado de carros cisternas para el abasto de agua de forma permanente o eventual por interrupciones o situaciones no imputables al suministrador.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20.00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lastRenderedPageBreak/>
              <w:t>Tarifa para el servicio de abasto de agua desalinizada o purificada.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7.00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 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ALCANTARILLADO. Servicio doméstico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Servicio de evacuación de aguas albañales por redes de alcantarillado.</w:t>
            </w:r>
          </w:p>
        </w:tc>
      </w:tr>
      <w:tr w:rsidR="00B75B79" w:rsidTr="00650AA9">
        <w:trPr>
          <w:trHeight w:val="69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Se establece en recargo porcentual sobre el importe de la facturación de servicio de abasto de agua.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30%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 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LIMPIEZA DE FOSA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viajes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280.00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 xml:space="preserve">La capacidad de un viaje de un carro </w:t>
            </w:r>
            <w:proofErr w:type="spellStart"/>
            <w:r>
              <w:t>limpiafosa</w:t>
            </w:r>
            <w:proofErr w:type="spellEnd"/>
            <w:r>
              <w:t xml:space="preserve"> es de hasta 6 m³.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 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rPr>
                <w:rStyle w:val="Strong"/>
              </w:rPr>
              <w:t>DESOBSTRUCCIÓN EN EL INTERIOR DE LA VIVIENDA</w:t>
            </w:r>
          </w:p>
        </w:tc>
      </w:tr>
      <w:tr w:rsidR="00B75B79" w:rsidTr="00650AA9">
        <w:trPr>
          <w:trHeight w:val="47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Desobstrucción mecanizada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metro lineal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27.00</w:t>
            </w:r>
          </w:p>
        </w:tc>
      </w:tr>
      <w:tr w:rsidR="00B75B79" w:rsidTr="00650AA9">
        <w:trPr>
          <w:trHeight w:val="46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Desobstrucción manual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215.00</w:t>
            </w:r>
          </w:p>
        </w:tc>
      </w:tr>
      <w:tr w:rsidR="00B75B79" w:rsidTr="00650AA9">
        <w:trPr>
          <w:trHeight w:val="9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proofErr w:type="spellStart"/>
            <w:r>
              <w:t>Escombreo</w:t>
            </w:r>
            <w:proofErr w:type="spellEnd"/>
            <w:r>
              <w:t xml:space="preserve"> mecanizado de fosa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viaje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79" w:rsidRDefault="00B75B79" w:rsidP="00650AA9">
            <w:pPr>
              <w:spacing w:after="360"/>
            </w:pPr>
            <w:r>
              <w:t>140.00</w:t>
            </w:r>
          </w:p>
        </w:tc>
      </w:tr>
    </w:tbl>
    <w:p w:rsidR="00B75B79" w:rsidRDefault="00B75B79" w:rsidP="00B75B79">
      <w:pPr>
        <w:spacing w:before="600" w:after="600"/>
      </w:pPr>
      <w:r>
        <w:pict>
          <v:rect id="_x0000_i1025" style="width:0;height:.75pt" o:hralign="center" o:hrstd="t" o:hrnoshade="t" o:hr="t" fillcolor="#295ca9" stroked="f"/>
        </w:pict>
      </w:r>
    </w:p>
    <w:p w:rsidR="00B75B79" w:rsidRDefault="00B75B79" w:rsidP="00B75B79">
      <w:pPr>
        <w:pStyle w:val="NormalWeb"/>
        <w:shd w:val="clear" w:color="auto" w:fill="FFFFFF"/>
        <w:spacing w:before="0" w:beforeAutospacing="0" w:after="150" w:afterAutospacing="0"/>
        <w:rPr>
          <w:rStyle w:val="Hyperlink"/>
        </w:rPr>
      </w:pPr>
      <w:hyperlink r:id="rId6" w:history="1">
        <w:r>
          <w:rPr>
            <w:rStyle w:val="Hyperlink"/>
          </w:rPr>
          <w:t>Unión Eléctrica de Cuba responde a inquietudes más frecuentes con respecto a la nueva tarifa del servicio › Tarea Ordenamiento › Granma - Órgano oficial del PCC</w:t>
        </w:r>
      </w:hyperlink>
    </w:p>
    <w:p w:rsidR="00B75B79" w:rsidRDefault="00B75B79" w:rsidP="00B75B79">
      <w:pPr>
        <w:pStyle w:val="NormalWeb"/>
        <w:shd w:val="clear" w:color="auto" w:fill="FFFFFF"/>
        <w:spacing w:before="0" w:beforeAutospacing="0" w:after="150" w:afterAutospacing="0"/>
        <w:rPr>
          <w:rFonts w:ascii="Helvetica" w:hAnsi="Helvetica"/>
          <w:color w:val="333333"/>
          <w:sz w:val="21"/>
          <w:szCs w:val="21"/>
        </w:rPr>
      </w:pPr>
    </w:p>
    <w:p w:rsidR="00B75B79" w:rsidRDefault="00B75B79">
      <w:bookmarkStart w:id="0" w:name="_GoBack"/>
      <w:r>
        <w:rPr>
          <w:noProof/>
          <w:lang w:eastAsia="es-ES"/>
        </w:rPr>
        <w:drawing>
          <wp:inline distT="0" distB="0" distL="0" distR="0">
            <wp:extent cx="5400040" cy="4406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15 22474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75B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49D"/>
    <w:rsid w:val="001903BB"/>
    <w:rsid w:val="0053049D"/>
    <w:rsid w:val="008A687F"/>
    <w:rsid w:val="00B7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0A389"/>
  <w15:chartTrackingRefBased/>
  <w15:docId w15:val="{D2764C9F-BBF9-472C-8F1E-5EE6F351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5B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B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B7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75B7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posted-on">
    <w:name w:val="posted-on"/>
    <w:basedOn w:val="DefaultParagraphFont"/>
    <w:rsid w:val="00B75B79"/>
  </w:style>
  <w:style w:type="character" w:customStyle="1" w:styleId="Heading5Char">
    <w:name w:val="Heading 5 Char"/>
    <w:basedOn w:val="DefaultParagraphFont"/>
    <w:link w:val="Heading5"/>
    <w:uiPriority w:val="9"/>
    <w:semiHidden/>
    <w:rsid w:val="00B75B7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75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B75B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ranma.cu/tarea-ordenamiento/2020-12-17/union-electrica-de-cuba-responde-inquietudes-mas-frecuentes-con-respecto-a-la-nueva-tarifa-electrica?page=2" TargetMode="External"/><Relationship Id="rId5" Type="http://schemas.openxmlformats.org/officeDocument/2006/relationships/hyperlink" Target="https://cubatramite.com/tarifas-de-servicios-de-agua-y-alcantarillado-en-cuba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515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Jesus Padron Perez</dc:creator>
  <cp:keywords/>
  <dc:description/>
  <cp:lastModifiedBy>Esteban Jesus Padron Perez</cp:lastModifiedBy>
  <cp:revision>2</cp:revision>
  <dcterms:created xsi:type="dcterms:W3CDTF">2025-12-16T07:03:00Z</dcterms:created>
  <dcterms:modified xsi:type="dcterms:W3CDTF">2025-12-16T07:06:00Z</dcterms:modified>
</cp:coreProperties>
</file>