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A365D"/>
        </w:rPr>
        <w:t>GMA — Blocker Register</w:t>
      </w:r>
    </w:p>
    <w:p>
      <w:r>
        <w:rPr>
          <w:b/>
        </w:rPr>
        <w:t>Les Grands Moulins d'Abidjan | Ivory Coast | Cash Management Transformation</w:t>
      </w:r>
    </w:p>
    <w:p>
      <w:r>
        <w:t>Prepared: March 15, 2026 | Source: GMA Current State PPT (59 slides) + Transaction Data Analysis</w:t>
      </w:r>
    </w:p>
    <w:p/>
    <w:p>
      <w:r>
        <w:rPr>
          <w:b/>
        </w:rPr>
        <w:t>Total Blockers: 16</w:t>
      </w:r>
      <w:r>
        <w:t xml:space="preserve">  |  Critical: 4  |  High: 5  |  Medium: 6  |  Low: 1</w:t>
      </w:r>
    </w:p>
    <w:p/>
    <w:tbl>
      <w:tblPr>
        <w:tblStyle w:val="TableGrid"/>
        <w:tblW w:type="auto" w:w="0"/>
        <w:jc w:val="center"/>
        <w:tblLook w:firstColumn="1" w:firstRow="1" w:lastColumn="0" w:lastRow="0" w:noHBand="0" w:noVBand="1" w:val="04A0"/>
      </w:tblPr>
      <w:tblGrid>
        <w:gridCol w:w="1682"/>
        <w:gridCol w:w="1682"/>
        <w:gridCol w:w="1682"/>
        <w:gridCol w:w="1682"/>
        <w:gridCol w:w="1682"/>
        <w:gridCol w:w="1682"/>
        <w:gridCol w:w="1682"/>
        <w:gridCol w:w="1682"/>
        <w:gridCol w:w="1682"/>
      </w:tblGrid>
      <w:tr>
        <w:tc>
          <w:tcPr>
            <w:tcW w:type="dxa" w:w="850"/>
            <w:shd w:fill="1a365d" w:val="clear"/>
          </w:tcPr>
          <w:p>
            <w:pPr>
              <w:spacing w:before="40" w:after="40"/>
            </w:pPr>
            <w:r/>
            <w:r>
              <w:rPr>
                <w:rFonts w:ascii="Calibri" w:hAnsi="Calibri"/>
                <w:b/>
                <w:color w:val="FFFFFF"/>
                <w:sz w:val="16"/>
              </w:rPr>
              <w:t>ID</w:t>
            </w:r>
          </w:p>
        </w:tc>
        <w:tc>
          <w:tcPr>
            <w:tcW w:type="dxa" w:w="1984"/>
            <w:shd w:fill="1a365d" w:val="clear"/>
          </w:tcPr>
          <w:p>
            <w:pPr>
              <w:spacing w:before="40" w:after="40"/>
            </w:pPr>
            <w:r/>
            <w:r>
              <w:rPr>
                <w:rFonts w:ascii="Calibri" w:hAnsi="Calibri"/>
                <w:b/>
                <w:color w:val="FFFFFF"/>
                <w:sz w:val="16"/>
              </w:rPr>
              <w:t>Blocker</w:t>
            </w:r>
          </w:p>
        </w:tc>
        <w:tc>
          <w:tcPr>
            <w:tcW w:type="dxa" w:w="1134"/>
            <w:shd w:fill="1a365d" w:val="clear"/>
          </w:tcPr>
          <w:p>
            <w:pPr>
              <w:spacing w:before="40" w:after="40"/>
            </w:pPr>
            <w:r/>
            <w:r>
              <w:rPr>
                <w:rFonts w:ascii="Calibri" w:hAnsi="Calibri"/>
                <w:b/>
                <w:color w:val="FFFFFF"/>
                <w:sz w:val="16"/>
              </w:rPr>
              <w:t>Category</w:t>
            </w:r>
          </w:p>
        </w:tc>
        <w:tc>
          <w:tcPr>
            <w:tcW w:type="dxa" w:w="1020"/>
            <w:shd w:fill="1a365d" w:val="clear"/>
          </w:tcPr>
          <w:p>
            <w:pPr>
              <w:spacing w:before="40" w:after="40"/>
            </w:pPr>
            <w:r/>
            <w:r>
              <w:rPr>
                <w:rFonts w:ascii="Calibri" w:hAnsi="Calibri"/>
                <w:b/>
                <w:color w:val="FFFFFF"/>
                <w:sz w:val="16"/>
              </w:rPr>
              <w:t>Severity</w:t>
            </w:r>
          </w:p>
        </w:tc>
        <w:tc>
          <w:tcPr>
            <w:tcW w:type="dxa" w:w="3118"/>
            <w:shd w:fill="1a365d" w:val="clear"/>
          </w:tcPr>
          <w:p>
            <w:pPr>
              <w:spacing w:before="40" w:after="40"/>
            </w:pPr>
            <w:r/>
            <w:r>
              <w:rPr>
                <w:rFonts w:ascii="Calibri" w:hAnsi="Calibri"/>
                <w:b/>
                <w:color w:val="FFFFFF"/>
                <w:sz w:val="16"/>
              </w:rPr>
              <w:t>Impact</w:t>
            </w:r>
          </w:p>
        </w:tc>
        <w:tc>
          <w:tcPr>
            <w:tcW w:type="dxa" w:w="3118"/>
            <w:shd w:fill="1a365d" w:val="clear"/>
          </w:tcPr>
          <w:p>
            <w:pPr>
              <w:spacing w:before="40" w:after="40"/>
            </w:pPr>
            <w:r/>
            <w:r>
              <w:rPr>
                <w:rFonts w:ascii="Calibri" w:hAnsi="Calibri"/>
                <w:b/>
                <w:color w:val="FFFFFF"/>
                <w:sz w:val="16"/>
              </w:rPr>
              <w:t>Mitigation / Action</w:t>
            </w:r>
          </w:p>
        </w:tc>
        <w:tc>
          <w:tcPr>
            <w:tcW w:type="dxa" w:w="1587"/>
            <w:shd w:fill="1a365d" w:val="clear"/>
          </w:tcPr>
          <w:p>
            <w:pPr>
              <w:spacing w:before="40" w:after="40"/>
            </w:pPr>
            <w:r/>
            <w:r>
              <w:rPr>
                <w:rFonts w:ascii="Calibri" w:hAnsi="Calibri"/>
                <w:b/>
                <w:color w:val="FFFFFF"/>
                <w:sz w:val="16"/>
              </w:rPr>
              <w:t>Owner</w:t>
            </w:r>
          </w:p>
        </w:tc>
        <w:tc>
          <w:tcPr>
            <w:tcW w:type="dxa" w:w="1020"/>
            <w:shd w:fill="1a365d" w:val="clear"/>
          </w:tcPr>
          <w:p>
            <w:pPr>
              <w:spacing w:before="40" w:after="40"/>
            </w:pPr>
            <w:r/>
            <w:r>
              <w:rPr>
                <w:rFonts w:ascii="Calibri" w:hAnsi="Calibri"/>
                <w:b/>
                <w:color w:val="FFFFFF"/>
                <w:sz w:val="16"/>
              </w:rPr>
              <w:t>Status</w:t>
            </w:r>
          </w:p>
        </w:tc>
        <w:tc>
          <w:tcPr>
            <w:tcW w:type="dxa" w:w="1304"/>
            <w:shd w:fill="1a365d" w:val="clear"/>
          </w:tcPr>
          <w:p>
            <w:pPr>
              <w:spacing w:before="40" w:after="40"/>
            </w:pPr>
            <w:r/>
            <w:r>
              <w:rPr>
                <w:rFonts w:ascii="Calibri" w:hAnsi="Calibri"/>
                <w:b/>
                <w:color w:val="FFFFFF"/>
                <w:sz w:val="16"/>
              </w:rPr>
              <w:t>Source</w:t>
            </w:r>
          </w:p>
        </w:tc>
      </w:tr>
      <w:tr>
        <w:tc>
          <w:tcPr>
            <w:tcW w:type="dxa" w:w="850"/>
            <w:shd w:fill="FFF5F5" w:val="clear"/>
          </w:tcPr>
          <w:p>
            <w:pPr>
              <w:spacing w:before="40" w:after="40"/>
            </w:pPr>
            <w:r/>
            <w:r>
              <w:rPr>
                <w:rFonts w:ascii="Calibri" w:hAnsi="Calibri"/>
                <w:b/>
                <w:sz w:val="16"/>
              </w:rPr>
              <w:t>BLK-01</w:t>
            </w:r>
          </w:p>
        </w:tc>
        <w:tc>
          <w:tcPr>
            <w:tcW w:type="dxa" w:w="1984"/>
            <w:shd w:fill="FFF5F5" w:val="clear"/>
          </w:tcPr>
          <w:p>
            <w:pPr>
              <w:spacing w:before="40" w:after="40"/>
            </w:pPr>
            <w:r/>
            <w:r>
              <w:rPr>
                <w:rFonts w:ascii="Calibri" w:hAnsi="Calibri"/>
                <w:b/>
                <w:sz w:val="16"/>
              </w:rPr>
              <w:t>BCEAO 50% Prepayment Cap</w:t>
            </w:r>
          </w:p>
        </w:tc>
        <w:tc>
          <w:tcPr>
            <w:tcW w:type="dxa" w:w="1134"/>
            <w:shd w:fill="FFF5F5" w:val="clear"/>
          </w:tcPr>
          <w:p>
            <w:pPr>
              <w:spacing w:before="40" w:after="40"/>
            </w:pPr>
            <w:r/>
            <w:r>
              <w:rPr>
                <w:rFonts w:ascii="Calibri" w:hAnsi="Calibri"/>
                <w:color w:val="2B6CB0"/>
                <w:sz w:val="16"/>
              </w:rPr>
              <w:t>Regulatory</w:t>
            </w:r>
          </w:p>
        </w:tc>
        <w:tc>
          <w:tcPr>
            <w:tcW w:type="dxa" w:w="1020"/>
            <w:shd w:fill="FFF5F5" w:val="clear"/>
          </w:tcPr>
          <w:p>
            <w:pPr>
              <w:spacing w:before="40" w:after="40"/>
            </w:pPr>
            <w:r/>
            <w:r>
              <w:rPr>
                <w:rFonts w:ascii="Calibri" w:hAnsi="Calibri"/>
                <w:b/>
                <w:color w:val="C53030"/>
                <w:sz w:val="16"/>
              </w:rPr>
              <w:t>CRITICAL</w:t>
            </w:r>
          </w:p>
        </w:tc>
        <w:tc>
          <w:tcPr>
            <w:tcW w:type="dxa" w:w="3118"/>
            <w:shd w:fill="FFF5F5" w:val="clear"/>
          </w:tcPr>
          <w:p>
            <w:pPr>
              <w:spacing w:before="40" w:after="40"/>
            </w:pPr>
            <w:r/>
            <w:r>
              <w:rPr>
                <w:rFonts w:ascii="Calibri" w:hAnsi="Calibri"/>
                <w:sz w:val="16"/>
              </w:rPr>
              <w:t>Advance payments for wheat imports cannot exceed 50% of invoice value (BCEAO Instruction 02.07.2025 RFE, Art. 6(f)). Maximum prepayment horizon is 6 months with 3-month grace period. Full compliance mandatory since January 2026. Directly limits the velocity of cash repatriation to Eurafrique/SOG via commodity prepayments — GMA's lowest-cost repatriation method (0.71%).</w:t>
            </w:r>
          </w:p>
        </w:tc>
        <w:tc>
          <w:tcPr>
            <w:tcW w:type="dxa" w:w="3118"/>
            <w:shd w:fill="FFF5F5" w:val="clear"/>
          </w:tcPr>
          <w:p>
            <w:pPr>
              <w:spacing w:before="40" w:after="40"/>
            </w:pPr>
            <w:r/>
            <w:r>
              <w:rPr>
                <w:rFonts w:ascii="Calibri" w:hAnsi="Calibri"/>
                <w:sz w:val="16"/>
              </w:rPr>
              <w:t>Maximize prepayment volumes within the 50% cap. Diversify repatriation via FX capex prepayments (also 0.71%) and intercompany loans (2–3% friction). Ensure all documentation (DPI, invoices, contracts) is prepared in advance to avoid batch delays.</w:t>
            </w:r>
          </w:p>
        </w:tc>
        <w:tc>
          <w:tcPr>
            <w:tcW w:type="dxa" w:w="1587"/>
            <w:shd w:fill="FFF5F5" w:val="clear"/>
          </w:tcPr>
          <w:p>
            <w:pPr>
              <w:spacing w:before="40" w:after="40"/>
            </w:pPr>
            <w:r/>
            <w:r>
              <w:rPr>
                <w:rFonts w:ascii="Calibri" w:hAnsi="Calibri"/>
                <w:sz w:val="16"/>
              </w:rPr>
              <w:t>Cyril Edorh / Corp Treasury</w:t>
            </w:r>
          </w:p>
        </w:tc>
        <w:tc>
          <w:tcPr>
            <w:tcW w:type="dxa" w:w="1020"/>
            <w:shd w:fill="FFF5F5" w:val="clear"/>
          </w:tcPr>
          <w:p>
            <w:pPr>
              <w:spacing w:before="40" w:after="40"/>
            </w:pPr>
            <w:r/>
            <w:r>
              <w:rPr>
                <w:rFonts w:ascii="Calibri" w:hAnsi="Calibri"/>
                <w:color w:val="C53030"/>
                <w:sz w:val="16"/>
              </w:rPr>
              <w:t>Open</w:t>
            </w:r>
          </w:p>
        </w:tc>
        <w:tc>
          <w:tcPr>
            <w:tcW w:type="dxa" w:w="1304"/>
            <w:shd w:fill="FFF5F5" w:val="clear"/>
          </w:tcPr>
          <w:p>
            <w:pPr>
              <w:spacing w:before="40" w:after="40"/>
            </w:pPr>
            <w:r/>
            <w:r>
              <w:rPr>
                <w:rFonts w:ascii="Calibri" w:hAnsi="Calibri"/>
                <w:color w:val="718096"/>
                <w:sz w:val="14"/>
              </w:rPr>
              <w:t>PPT Slide 22</w:t>
            </w:r>
          </w:p>
        </w:tc>
      </w:tr>
      <w:tr>
        <w:tc>
          <w:tcPr>
            <w:tcW w:type="dxa" w:w="850"/>
            <w:shd w:fill="FFF5F5" w:val="clear"/>
          </w:tcPr>
          <w:p>
            <w:pPr>
              <w:spacing w:before="40" w:after="40"/>
            </w:pPr>
            <w:r/>
            <w:r>
              <w:rPr>
                <w:rFonts w:ascii="Calibri" w:hAnsi="Calibri"/>
                <w:b/>
                <w:sz w:val="16"/>
              </w:rPr>
              <w:t>BLK-02</w:t>
            </w:r>
          </w:p>
        </w:tc>
        <w:tc>
          <w:tcPr>
            <w:tcW w:type="dxa" w:w="1984"/>
            <w:shd w:fill="FFF5F5" w:val="clear"/>
          </w:tcPr>
          <w:p>
            <w:pPr>
              <w:spacing w:before="40" w:after="40"/>
            </w:pPr>
            <w:r/>
            <w:r>
              <w:rPr>
                <w:rFonts w:ascii="Calibri" w:hAnsi="Calibri"/>
                <w:b/>
                <w:sz w:val="16"/>
              </w:rPr>
              <w:t>FX Batch Rejection Risk at BCEAO</w:t>
            </w:r>
          </w:p>
        </w:tc>
        <w:tc>
          <w:tcPr>
            <w:tcW w:type="dxa" w:w="1134"/>
            <w:shd w:fill="FFF5F5" w:val="clear"/>
          </w:tcPr>
          <w:p>
            <w:pPr>
              <w:spacing w:before="40" w:after="40"/>
            </w:pPr>
            <w:r/>
            <w:r>
              <w:rPr>
                <w:rFonts w:ascii="Calibri" w:hAnsi="Calibri"/>
                <w:color w:val="2B6CB0"/>
                <w:sz w:val="16"/>
              </w:rPr>
              <w:t>Regulatory</w:t>
            </w:r>
          </w:p>
        </w:tc>
        <w:tc>
          <w:tcPr>
            <w:tcW w:type="dxa" w:w="1020"/>
            <w:shd w:fill="FFF5F5" w:val="clear"/>
          </w:tcPr>
          <w:p>
            <w:pPr>
              <w:spacing w:before="40" w:after="40"/>
            </w:pPr>
            <w:r/>
            <w:r>
              <w:rPr>
                <w:rFonts w:ascii="Calibri" w:hAnsi="Calibri"/>
                <w:b/>
                <w:color w:val="C53030"/>
                <w:sz w:val="16"/>
              </w:rPr>
              <w:t>CRITICAL</w:t>
            </w:r>
          </w:p>
        </w:tc>
        <w:tc>
          <w:tcPr>
            <w:tcW w:type="dxa" w:w="3118"/>
            <w:shd w:fill="FFF5F5" w:val="clear"/>
          </w:tcPr>
          <w:p>
            <w:pPr>
              <w:spacing w:before="40" w:after="40"/>
            </w:pPr>
            <w:r/>
            <w:r>
              <w:rPr>
                <w:rFonts w:ascii="Calibri" w:hAnsi="Calibri"/>
                <w:sz w:val="16"/>
              </w:rPr>
              <w:t>If any single payment in a bank's submitted FX batch is incorrect, the entire batch is rejected by BCEAO. When central bank liquidity is tight, BCEAO applies stricter scrutiny and finds more reasons to reject batches. This can delay all FX payments by days.</w:t>
            </w:r>
          </w:p>
        </w:tc>
        <w:tc>
          <w:tcPr>
            <w:tcW w:type="dxa" w:w="3118"/>
            <w:shd w:fill="FFF5F5" w:val="clear"/>
          </w:tcPr>
          <w:p>
            <w:pPr>
              <w:spacing w:before="40" w:after="40"/>
            </w:pPr>
            <w:r/>
            <w:r>
              <w:rPr>
                <w:rFonts w:ascii="Calibri" w:hAnsi="Calibri"/>
                <w:sz w:val="16"/>
              </w:rPr>
              <w:t>Implement pre-submission validation checklist for all FX payment documentation. Separate high-value/time-sensitive payments into dedicated batches. Maintain relationships with multiple banks to diversify batch submission risk. Track BCEAO rejection rates by bank.</w:t>
            </w:r>
          </w:p>
        </w:tc>
        <w:tc>
          <w:tcPr>
            <w:tcW w:type="dxa" w:w="1587"/>
            <w:shd w:fill="FFF5F5" w:val="clear"/>
          </w:tcPr>
          <w:p>
            <w:pPr>
              <w:spacing w:before="40" w:after="40"/>
            </w:pPr>
            <w:r/>
            <w:r>
              <w:rPr>
                <w:rFonts w:ascii="Calibri" w:hAnsi="Calibri"/>
                <w:sz w:val="16"/>
              </w:rPr>
              <w:t>Cyril Edorh</w:t>
            </w:r>
          </w:p>
        </w:tc>
        <w:tc>
          <w:tcPr>
            <w:tcW w:type="dxa" w:w="1020"/>
            <w:shd w:fill="FFF5F5" w:val="clear"/>
          </w:tcPr>
          <w:p>
            <w:pPr>
              <w:spacing w:before="40" w:after="40"/>
            </w:pPr>
            <w:r/>
            <w:r>
              <w:rPr>
                <w:rFonts w:ascii="Calibri" w:hAnsi="Calibri"/>
                <w:color w:val="C53030"/>
                <w:sz w:val="16"/>
              </w:rPr>
              <w:t>Open</w:t>
            </w:r>
          </w:p>
        </w:tc>
        <w:tc>
          <w:tcPr>
            <w:tcW w:type="dxa" w:w="1304"/>
            <w:shd w:fill="FFF5F5" w:val="clear"/>
          </w:tcPr>
          <w:p>
            <w:pPr>
              <w:spacing w:before="40" w:after="40"/>
            </w:pPr>
            <w:r/>
            <w:r>
              <w:rPr>
                <w:rFonts w:ascii="Calibri" w:hAnsi="Calibri"/>
                <w:color w:val="718096"/>
                <w:sz w:val="14"/>
              </w:rPr>
              <w:t>PPT Slide 22 (Additional Comments)</w:t>
            </w:r>
          </w:p>
        </w:tc>
      </w:tr>
      <w:tr>
        <w:tc>
          <w:tcPr>
            <w:tcW w:type="dxa" w:w="850"/>
          </w:tcPr>
          <w:p>
            <w:pPr>
              <w:spacing w:before="40" w:after="40"/>
            </w:pPr>
            <w:r/>
            <w:r>
              <w:rPr>
                <w:rFonts w:ascii="Calibri" w:hAnsi="Calibri"/>
                <w:b/>
                <w:sz w:val="16"/>
              </w:rPr>
              <w:t>BLK-03</w:t>
            </w:r>
          </w:p>
        </w:tc>
        <w:tc>
          <w:tcPr>
            <w:tcW w:type="dxa" w:w="1984"/>
          </w:tcPr>
          <w:p>
            <w:pPr>
              <w:spacing w:before="40" w:after="40"/>
            </w:pPr>
            <w:r/>
            <w:r>
              <w:rPr>
                <w:rFonts w:ascii="Calibri" w:hAnsi="Calibri"/>
                <w:b/>
                <w:sz w:val="16"/>
              </w:rPr>
              <w:t>Règlement 06/2024 — New FX Controls</w:t>
            </w:r>
          </w:p>
        </w:tc>
        <w:tc>
          <w:tcPr>
            <w:tcW w:type="dxa" w:w="1134"/>
          </w:tcPr>
          <w:p>
            <w:pPr>
              <w:spacing w:before="40" w:after="40"/>
            </w:pPr>
            <w:r/>
            <w:r>
              <w:rPr>
                <w:rFonts w:ascii="Calibri" w:hAnsi="Calibri"/>
                <w:color w:val="2B6CB0"/>
                <w:sz w:val="16"/>
              </w:rPr>
              <w:t>Regulatory</w:t>
            </w:r>
          </w:p>
        </w:tc>
        <w:tc>
          <w:tcPr>
            <w:tcW w:type="dxa" w:w="1020"/>
          </w:tcPr>
          <w:p>
            <w:pPr>
              <w:spacing w:before="40" w:after="40"/>
            </w:pPr>
            <w:r/>
            <w:r>
              <w:rPr>
                <w:rFonts w:ascii="Calibri" w:hAnsi="Calibri"/>
                <w:b/>
                <w:color w:val="E53E3E"/>
                <w:sz w:val="16"/>
              </w:rPr>
              <w:t>HIGH</w:t>
            </w:r>
          </w:p>
        </w:tc>
        <w:tc>
          <w:tcPr>
            <w:tcW w:type="dxa" w:w="3118"/>
          </w:tcPr>
          <w:p>
            <w:pPr>
              <w:spacing w:before="40" w:after="40"/>
            </w:pPr>
            <w:r/>
            <w:r>
              <w:rPr>
                <w:rFonts w:ascii="Calibri" w:hAnsi="Calibri"/>
                <w:sz w:val="16"/>
              </w:rPr>
              <w:t>New WAEMU foreign exchange regulation (effective Dec 20, 2024) replaces 2010 rules. Mandatory domiciliation of large trade transactions, repatriation of export proceeds, prior authorization for large outbound investments. 12 implementing Instructions issued July 2025. Impact on GMA's wheat import payments and intercompany transfers not fully assessed.</w:t>
            </w:r>
          </w:p>
        </w:tc>
        <w:tc>
          <w:tcPr>
            <w:tcW w:type="dxa" w:w="3118"/>
          </w:tcPr>
          <w:p>
            <w:pPr>
              <w:spacing w:before="40" w:after="40"/>
            </w:pPr>
            <w:r/>
            <w:r>
              <w:rPr>
                <w:rFonts w:ascii="Calibri" w:hAnsi="Calibri"/>
                <w:sz w:val="16"/>
              </w:rPr>
              <w:t>Obtain and analyze all 12 implementing Instructions. Map each requirement to GMA's current payment flows. Identify any processes that need modification. Consult with local banks on their interpretation and compliance procedures.</w:t>
            </w:r>
          </w:p>
        </w:tc>
        <w:tc>
          <w:tcPr>
            <w:tcW w:type="dxa" w:w="1587"/>
          </w:tcPr>
          <w:p>
            <w:pPr>
              <w:spacing w:before="40" w:after="40"/>
            </w:pPr>
            <w:r/>
            <w:r>
              <w:rPr>
                <w:rFonts w:ascii="Calibri" w:hAnsi="Calibri"/>
                <w:sz w:val="16"/>
              </w:rPr>
              <w:t>Corp Treasury / Local Counsel</w:t>
            </w:r>
          </w:p>
        </w:tc>
        <w:tc>
          <w:tcPr>
            <w:tcW w:type="dxa" w:w="1020"/>
          </w:tcPr>
          <w:p>
            <w:pPr>
              <w:spacing w:before="40" w:after="40"/>
            </w:pPr>
            <w:r/>
            <w:r>
              <w:rPr>
                <w:rFonts w:ascii="Calibri" w:hAnsi="Calibri"/>
                <w:color w:val="C53030"/>
                <w:sz w:val="16"/>
              </w:rPr>
              <w:t>Open</w:t>
            </w:r>
          </w:p>
        </w:tc>
        <w:tc>
          <w:tcPr>
            <w:tcW w:type="dxa" w:w="1304"/>
          </w:tcPr>
          <w:p>
            <w:pPr>
              <w:spacing w:before="40" w:after="40"/>
            </w:pPr>
            <w:r/>
            <w:r>
              <w:rPr>
                <w:rFonts w:ascii="Calibri" w:hAnsi="Calibri"/>
                <w:color w:val="718096"/>
                <w:sz w:val="14"/>
              </w:rPr>
              <w:t>PPT Slides 45–46, Slide 8</w:t>
            </w:r>
          </w:p>
        </w:tc>
      </w:tr>
      <w:tr>
        <w:tc>
          <w:tcPr>
            <w:tcW w:type="dxa" w:w="850"/>
          </w:tcPr>
          <w:p>
            <w:pPr>
              <w:spacing w:before="40" w:after="40"/>
            </w:pPr>
            <w:r/>
            <w:r>
              <w:rPr>
                <w:rFonts w:ascii="Calibri" w:hAnsi="Calibri"/>
                <w:b/>
                <w:sz w:val="16"/>
              </w:rPr>
              <w:t>BLK-04</w:t>
            </w:r>
          </w:p>
        </w:tc>
        <w:tc>
          <w:tcPr>
            <w:tcW w:type="dxa" w:w="1984"/>
          </w:tcPr>
          <w:p>
            <w:pPr>
              <w:spacing w:before="40" w:after="40"/>
            </w:pPr>
            <w:r/>
            <w:r>
              <w:rPr>
                <w:rFonts w:ascii="Calibri" w:hAnsi="Calibri"/>
                <w:b/>
                <w:sz w:val="16"/>
              </w:rPr>
              <w:t>FCY Account Opening Requires MoF + BCEAO Approval</w:t>
            </w:r>
          </w:p>
        </w:tc>
        <w:tc>
          <w:tcPr>
            <w:tcW w:type="dxa" w:w="1134"/>
          </w:tcPr>
          <w:p>
            <w:pPr>
              <w:spacing w:before="40" w:after="40"/>
            </w:pPr>
            <w:r/>
            <w:r>
              <w:rPr>
                <w:rFonts w:ascii="Calibri" w:hAnsi="Calibri"/>
                <w:color w:val="2B6CB0"/>
                <w:sz w:val="16"/>
              </w:rPr>
              <w:t>Regulatory</w:t>
            </w:r>
          </w:p>
        </w:tc>
        <w:tc>
          <w:tcPr>
            <w:tcW w:type="dxa" w:w="1020"/>
          </w:tcPr>
          <w:p>
            <w:pPr>
              <w:spacing w:before="40" w:after="40"/>
            </w:pPr>
            <w:r/>
            <w:r>
              <w:rPr>
                <w:rFonts w:ascii="Calibri" w:hAnsi="Calibri"/>
                <w:b/>
                <w:color w:val="D69E2E"/>
                <w:sz w:val="16"/>
              </w:rPr>
              <w:t>MEDIUM</w:t>
            </w:r>
          </w:p>
        </w:tc>
        <w:tc>
          <w:tcPr>
            <w:tcW w:type="dxa" w:w="3118"/>
          </w:tcPr>
          <w:p>
            <w:pPr>
              <w:spacing w:before="40" w:after="40"/>
            </w:pPr>
            <w:r/>
            <w:r>
              <w:rPr>
                <w:rFonts w:ascii="Calibri" w:hAnsi="Calibri"/>
                <w:sz w:val="16"/>
              </w:rPr>
              <w:t>Opening foreign currency accounts is subject to explicit approval from both the Ministry of Finance and BCEAO. This could delay any future account restructuring that requires FCY accounts (e.g., EUR or USD accounts for direct settlement).</w:t>
            </w:r>
          </w:p>
        </w:tc>
        <w:tc>
          <w:tcPr>
            <w:tcW w:type="dxa" w:w="3118"/>
          </w:tcPr>
          <w:p>
            <w:pPr>
              <w:spacing w:before="40" w:after="40"/>
            </w:pPr>
            <w:r/>
            <w:r>
              <w:rPr>
                <w:rFonts w:ascii="Calibri" w:hAnsi="Calibri"/>
                <w:sz w:val="16"/>
              </w:rPr>
              <w:t>Assess whether FCY accounts are needed in target state. If yes, begin approval process early as it can take months. Document business justification per BCEAO requirements.</w:t>
            </w:r>
          </w:p>
        </w:tc>
        <w:tc>
          <w:tcPr>
            <w:tcW w:type="dxa" w:w="1587"/>
          </w:tcPr>
          <w:p>
            <w:pPr>
              <w:spacing w:before="40" w:after="40"/>
            </w:pPr>
            <w:r/>
            <w:r>
              <w:rPr>
                <w:rFonts w:ascii="Calibri" w:hAnsi="Calibri"/>
                <w:sz w:val="16"/>
              </w:rPr>
              <w:t>Corp Treasury</w:t>
            </w:r>
          </w:p>
        </w:tc>
        <w:tc>
          <w:tcPr>
            <w:tcW w:type="dxa" w:w="1020"/>
          </w:tcPr>
          <w:p>
            <w:pPr>
              <w:spacing w:before="40" w:after="40"/>
            </w:pPr>
            <w:r/>
            <w:r>
              <w:rPr>
                <w:rFonts w:ascii="Calibri" w:hAnsi="Calibri"/>
                <w:color w:val="2B6CB0"/>
                <w:sz w:val="16"/>
              </w:rPr>
              <w:t>Monitoring</w:t>
            </w:r>
          </w:p>
        </w:tc>
        <w:tc>
          <w:tcPr>
            <w:tcW w:type="dxa" w:w="1304"/>
          </w:tcPr>
          <w:p>
            <w:pPr>
              <w:spacing w:before="40" w:after="40"/>
            </w:pPr>
            <w:r/>
            <w:r>
              <w:rPr>
                <w:rFonts w:ascii="Calibri" w:hAnsi="Calibri"/>
                <w:color w:val="718096"/>
                <w:sz w:val="14"/>
              </w:rPr>
              <w:t>PPT Slide 44</w:t>
            </w:r>
          </w:p>
        </w:tc>
      </w:tr>
      <w:tr>
        <w:tc>
          <w:tcPr>
            <w:tcW w:type="dxa" w:w="850"/>
          </w:tcPr>
          <w:p>
            <w:pPr>
              <w:spacing w:before="40" w:after="40"/>
            </w:pPr>
            <w:r/>
            <w:r>
              <w:rPr>
                <w:rFonts w:ascii="Calibri" w:hAnsi="Calibri"/>
                <w:b/>
                <w:sz w:val="16"/>
              </w:rPr>
              <w:t>BLK-05</w:t>
            </w:r>
          </w:p>
        </w:tc>
        <w:tc>
          <w:tcPr>
            <w:tcW w:type="dxa" w:w="1984"/>
          </w:tcPr>
          <w:p>
            <w:pPr>
              <w:spacing w:before="40" w:after="40"/>
            </w:pPr>
            <w:r/>
            <w:r>
              <w:rPr>
                <w:rFonts w:ascii="Calibri" w:hAnsi="Calibri"/>
                <w:b/>
                <w:sz w:val="16"/>
              </w:rPr>
              <w:t>No PSD2-Equivalent — No Mandated Transfer Deadlines</w:t>
            </w:r>
          </w:p>
        </w:tc>
        <w:tc>
          <w:tcPr>
            <w:tcW w:type="dxa" w:w="1134"/>
          </w:tcPr>
          <w:p>
            <w:pPr>
              <w:spacing w:before="40" w:after="40"/>
            </w:pPr>
            <w:r/>
            <w:r>
              <w:rPr>
                <w:rFonts w:ascii="Calibri" w:hAnsi="Calibri"/>
                <w:color w:val="2B6CB0"/>
                <w:sz w:val="16"/>
              </w:rPr>
              <w:t>Regulatory</w:t>
            </w:r>
          </w:p>
        </w:tc>
        <w:tc>
          <w:tcPr>
            <w:tcW w:type="dxa" w:w="1020"/>
          </w:tcPr>
          <w:p>
            <w:pPr>
              <w:spacing w:before="40" w:after="40"/>
            </w:pPr>
            <w:r/>
            <w:r>
              <w:rPr>
                <w:rFonts w:ascii="Calibri" w:hAnsi="Calibri"/>
                <w:b/>
                <w:color w:val="D69E2E"/>
                <w:sz w:val="16"/>
              </w:rPr>
              <w:t>MEDIUM</w:t>
            </w:r>
          </w:p>
        </w:tc>
        <w:tc>
          <w:tcPr>
            <w:tcW w:type="dxa" w:w="3118"/>
          </w:tcPr>
          <w:p>
            <w:pPr>
              <w:spacing w:before="40" w:after="40"/>
            </w:pPr>
            <w:r/>
            <w:r>
              <w:rPr>
                <w:rFonts w:ascii="Calibri" w:hAnsi="Calibri"/>
                <w:sz w:val="16"/>
              </w:rPr>
              <w:t>WAEMU has no regulation mandating customer-level transfer execution deadlines (unlike EU PSD2). Banks are not legally required to credit customer accounts within any specific timeframe after interbank settlement. Customer credit timing depends entirely on individual bank processing and contractual SLAs.</w:t>
            </w:r>
          </w:p>
        </w:tc>
        <w:tc>
          <w:tcPr>
            <w:tcW w:type="dxa" w:w="3118"/>
          </w:tcPr>
          <w:p>
            <w:pPr>
              <w:spacing w:before="40" w:after="40"/>
            </w:pPr>
            <w:r/>
            <w:r>
              <w:rPr>
                <w:rFonts w:ascii="Calibri" w:hAnsi="Calibri"/>
                <w:sz w:val="16"/>
              </w:rPr>
              <w:t>Negotiate explicit SLAs with each bank for crediting timelines. Use STAR-UEMOA for time-sensitive payments (immediate settlement). Leverage PI-SPI for instant payments where available. Document actual observed crediting times per bank.</w:t>
            </w:r>
          </w:p>
        </w:tc>
        <w:tc>
          <w:tcPr>
            <w:tcW w:type="dxa" w:w="1587"/>
          </w:tcPr>
          <w:p>
            <w:pPr>
              <w:spacing w:before="40" w:after="40"/>
            </w:pPr>
            <w:r/>
            <w:r>
              <w:rPr>
                <w:rFonts w:ascii="Calibri" w:hAnsi="Calibri"/>
                <w:sz w:val="16"/>
              </w:rPr>
              <w:t>Corp Treasury</w:t>
            </w:r>
          </w:p>
        </w:tc>
        <w:tc>
          <w:tcPr>
            <w:tcW w:type="dxa" w:w="1020"/>
          </w:tcPr>
          <w:p>
            <w:pPr>
              <w:spacing w:before="40" w:after="40"/>
            </w:pPr>
            <w:r/>
            <w:r>
              <w:rPr>
                <w:rFonts w:ascii="Calibri" w:hAnsi="Calibri"/>
                <w:color w:val="2B6CB0"/>
                <w:sz w:val="16"/>
              </w:rPr>
              <w:t>Monitoring</w:t>
            </w:r>
          </w:p>
        </w:tc>
        <w:tc>
          <w:tcPr>
            <w:tcW w:type="dxa" w:w="1304"/>
          </w:tcPr>
          <w:p>
            <w:pPr>
              <w:spacing w:before="40" w:after="40"/>
            </w:pPr>
            <w:r/>
            <w:r>
              <w:rPr>
                <w:rFonts w:ascii="Calibri" w:hAnsi="Calibri"/>
                <w:color w:val="718096"/>
                <w:sz w:val="14"/>
              </w:rPr>
              <w:t>PPT Slide 15, Slide 53</w:t>
            </w:r>
          </w:p>
        </w:tc>
      </w:tr>
      <w:tr>
        <w:tc>
          <w:tcPr>
            <w:tcW w:type="dxa" w:w="850"/>
          </w:tcPr>
          <w:p>
            <w:pPr>
              <w:spacing w:before="40" w:after="40"/>
            </w:pPr>
            <w:r/>
            <w:r>
              <w:rPr>
                <w:rFonts w:ascii="Calibri" w:hAnsi="Calibri"/>
                <w:b/>
                <w:sz w:val="16"/>
              </w:rPr>
              <w:t>BLK-06</w:t>
            </w:r>
          </w:p>
        </w:tc>
        <w:tc>
          <w:tcPr>
            <w:tcW w:type="dxa" w:w="1984"/>
          </w:tcPr>
          <w:p>
            <w:pPr>
              <w:spacing w:before="40" w:after="40"/>
            </w:pPr>
            <w:r/>
            <w:r>
              <w:rPr>
                <w:rFonts w:ascii="Calibri" w:hAnsi="Calibri"/>
                <w:b/>
                <w:sz w:val="16"/>
              </w:rPr>
              <w:t>AFG Bank — No Online Banking Platform</w:t>
            </w:r>
          </w:p>
        </w:tc>
        <w:tc>
          <w:tcPr>
            <w:tcW w:type="dxa" w:w="1134"/>
          </w:tcPr>
          <w:p>
            <w:pPr>
              <w:spacing w:before="40" w:after="40"/>
            </w:pPr>
            <w:r/>
            <w:r>
              <w:rPr>
                <w:rFonts w:ascii="Calibri" w:hAnsi="Calibri"/>
                <w:color w:val="276749"/>
                <w:sz w:val="16"/>
              </w:rPr>
              <w:t>Banking</w:t>
            </w:r>
          </w:p>
        </w:tc>
        <w:tc>
          <w:tcPr>
            <w:tcW w:type="dxa" w:w="1020"/>
          </w:tcPr>
          <w:p>
            <w:pPr>
              <w:spacing w:before="40" w:after="40"/>
            </w:pPr>
            <w:r/>
            <w:r>
              <w:rPr>
                <w:rFonts w:ascii="Calibri" w:hAnsi="Calibri"/>
                <w:b/>
                <w:color w:val="E53E3E"/>
                <w:sz w:val="16"/>
              </w:rPr>
              <w:t>HIGH</w:t>
            </w:r>
          </w:p>
        </w:tc>
        <w:tc>
          <w:tcPr>
            <w:tcW w:type="dxa" w:w="3118"/>
          </w:tcPr>
          <w:p>
            <w:pPr>
              <w:spacing w:before="40" w:after="40"/>
            </w:pPr>
            <w:r/>
            <w:r>
              <w:rPr>
                <w:rFonts w:ascii="Calibri" w:hAnsi="Calibri"/>
                <w:sz w:val="16"/>
              </w:rPr>
              <w:t>AFG (which acquired Banque Populaire) does not have an online banking platform. It is currently being developed for their customers. This prevents electronic payment initiation, automated statement retrieval, and any file-based integration. AFG is retained for remote depot presence (connected to post offices).</w:t>
            </w:r>
          </w:p>
        </w:tc>
        <w:tc>
          <w:tcPr>
            <w:tcW w:type="dxa" w:w="3118"/>
          </w:tcPr>
          <w:p>
            <w:pPr>
              <w:spacing w:before="40" w:after="40"/>
            </w:pPr>
            <w:r/>
            <w:r>
              <w:rPr>
                <w:rFonts w:ascii="Calibri" w:hAnsi="Calibri"/>
                <w:sz w:val="16"/>
              </w:rPr>
              <w:t>Assess timeline for AFG online platform launch. In interim, maintain manual processes for AFG account. Evaluate whether remote collection can be migrated to PI-SPI or mobile money (Wave/Orange) as alternative to AFG physical presence.</w:t>
            </w:r>
          </w:p>
        </w:tc>
        <w:tc>
          <w:tcPr>
            <w:tcW w:type="dxa" w:w="1587"/>
          </w:tcPr>
          <w:p>
            <w:pPr>
              <w:spacing w:before="40" w:after="40"/>
            </w:pPr>
            <w:r/>
            <w:r>
              <w:rPr>
                <w:rFonts w:ascii="Calibri" w:hAnsi="Calibri"/>
                <w:sz w:val="16"/>
              </w:rPr>
              <w:t>Cyril Edorh</w:t>
            </w:r>
          </w:p>
        </w:tc>
        <w:tc>
          <w:tcPr>
            <w:tcW w:type="dxa" w:w="1020"/>
          </w:tcPr>
          <w:p>
            <w:pPr>
              <w:spacing w:before="40" w:after="40"/>
            </w:pPr>
            <w:r/>
            <w:r>
              <w:rPr>
                <w:rFonts w:ascii="Calibri" w:hAnsi="Calibri"/>
                <w:color w:val="C53030"/>
                <w:sz w:val="16"/>
              </w:rPr>
              <w:t>Open</w:t>
            </w:r>
          </w:p>
        </w:tc>
        <w:tc>
          <w:tcPr>
            <w:tcW w:type="dxa" w:w="1304"/>
          </w:tcPr>
          <w:p>
            <w:pPr>
              <w:spacing w:before="40" w:after="40"/>
            </w:pPr>
            <w:r/>
            <w:r>
              <w:rPr>
                <w:rFonts w:ascii="Calibri" w:hAnsi="Calibri"/>
                <w:color w:val="718096"/>
                <w:sz w:val="14"/>
              </w:rPr>
              <w:t>PPT Slide 28</w:t>
            </w:r>
          </w:p>
        </w:tc>
      </w:tr>
      <w:tr>
        <w:tc>
          <w:tcPr>
            <w:tcW w:type="dxa" w:w="850"/>
          </w:tcPr>
          <w:p>
            <w:pPr>
              <w:spacing w:before="40" w:after="40"/>
            </w:pPr>
            <w:r/>
            <w:r>
              <w:rPr>
                <w:rFonts w:ascii="Calibri" w:hAnsi="Calibri"/>
                <w:b/>
                <w:sz w:val="16"/>
              </w:rPr>
              <w:t>BLK-07</w:t>
            </w:r>
          </w:p>
        </w:tc>
        <w:tc>
          <w:tcPr>
            <w:tcW w:type="dxa" w:w="1984"/>
          </w:tcPr>
          <w:p>
            <w:pPr>
              <w:spacing w:before="40" w:after="40"/>
            </w:pPr>
            <w:r/>
            <w:r>
              <w:rPr>
                <w:rFonts w:ascii="Calibri" w:hAnsi="Calibri"/>
                <w:b/>
                <w:sz w:val="16"/>
              </w:rPr>
              <w:t>Citibank — Highest Cost Bank Being Elevated as Primary</w:t>
            </w:r>
          </w:p>
        </w:tc>
        <w:tc>
          <w:tcPr>
            <w:tcW w:type="dxa" w:w="1134"/>
          </w:tcPr>
          <w:p>
            <w:pPr>
              <w:spacing w:before="40" w:after="40"/>
            </w:pPr>
            <w:r/>
            <w:r>
              <w:rPr>
                <w:rFonts w:ascii="Calibri" w:hAnsi="Calibri"/>
                <w:color w:val="276749"/>
                <w:sz w:val="16"/>
              </w:rPr>
              <w:t>Banking</w:t>
            </w:r>
          </w:p>
        </w:tc>
        <w:tc>
          <w:tcPr>
            <w:tcW w:type="dxa" w:w="1020"/>
          </w:tcPr>
          <w:p>
            <w:pPr>
              <w:spacing w:before="40" w:after="40"/>
            </w:pPr>
            <w:r/>
            <w:r>
              <w:rPr>
                <w:rFonts w:ascii="Calibri" w:hAnsi="Calibri"/>
                <w:b/>
                <w:color w:val="E53E3E"/>
                <w:sz w:val="16"/>
              </w:rPr>
              <w:t>HIGH</w:t>
            </w:r>
          </w:p>
        </w:tc>
        <w:tc>
          <w:tcPr>
            <w:tcW w:type="dxa" w:w="3118"/>
          </w:tcPr>
          <w:p>
            <w:pPr>
              <w:spacing w:before="40" w:after="40"/>
            </w:pPr>
            <w:r/>
            <w:r>
              <w:rPr>
                <w:rFonts w:ascii="Calibri" w:hAnsi="Calibri"/>
                <w:sz w:val="16"/>
              </w:rPr>
              <w:t>CITI is the most expensive of all GMA banks, yet is being positioned as the primary account for excess cash sweeps and CIO product. CITI has not honored prepayment pricing when liquidity is tight. Transitioning flows to CITI requires maintaining wheat prepayment commitments to other banks to preserve their pricing.</w:t>
            </w:r>
          </w:p>
        </w:tc>
        <w:tc>
          <w:tcPr>
            <w:tcW w:type="dxa" w:w="3118"/>
          </w:tcPr>
          <w:p>
            <w:pPr>
              <w:spacing w:before="40" w:after="40"/>
            </w:pPr>
            <w:r/>
            <w:r>
              <w:rPr>
                <w:rFonts w:ascii="Calibri" w:hAnsi="Calibri"/>
                <w:sz w:val="16"/>
              </w:rPr>
              <w:t>Negotiate volume-based pricing with CITI tied to the CIO and sweep arrangement. Document pricing commitments to other banks for wheat flows. Conduct cost-benefit analysis: CIO savings vs higher per-transaction costs. Establish fallback if CITI pricing becomes uncompetitive.</w:t>
            </w:r>
          </w:p>
        </w:tc>
        <w:tc>
          <w:tcPr>
            <w:tcW w:type="dxa" w:w="1587"/>
          </w:tcPr>
          <w:p>
            <w:pPr>
              <w:spacing w:before="40" w:after="40"/>
            </w:pPr>
            <w:r/>
            <w:r>
              <w:rPr>
                <w:rFonts w:ascii="Calibri" w:hAnsi="Calibri"/>
                <w:sz w:val="16"/>
              </w:rPr>
              <w:t>Corp Treasury</w:t>
            </w:r>
          </w:p>
        </w:tc>
        <w:tc>
          <w:tcPr>
            <w:tcW w:type="dxa" w:w="1020"/>
          </w:tcPr>
          <w:p>
            <w:pPr>
              <w:spacing w:before="40" w:after="40"/>
            </w:pPr>
            <w:r/>
            <w:r>
              <w:rPr>
                <w:rFonts w:ascii="Calibri" w:hAnsi="Calibri"/>
                <w:color w:val="D69E2E"/>
                <w:sz w:val="16"/>
              </w:rPr>
              <w:t>In Progress</w:t>
            </w:r>
          </w:p>
        </w:tc>
        <w:tc>
          <w:tcPr>
            <w:tcW w:type="dxa" w:w="1304"/>
          </w:tcPr>
          <w:p>
            <w:pPr>
              <w:spacing w:before="40" w:after="40"/>
            </w:pPr>
            <w:r/>
            <w:r>
              <w:rPr>
                <w:rFonts w:ascii="Calibri" w:hAnsi="Calibri"/>
                <w:color w:val="718096"/>
                <w:sz w:val="14"/>
              </w:rPr>
              <w:t>PPT Slide 32</w:t>
            </w:r>
          </w:p>
        </w:tc>
      </w:tr>
      <w:tr>
        <w:tc>
          <w:tcPr>
            <w:tcW w:type="dxa" w:w="850"/>
          </w:tcPr>
          <w:p>
            <w:pPr>
              <w:spacing w:before="40" w:after="40"/>
            </w:pPr>
            <w:r/>
            <w:r>
              <w:rPr>
                <w:rFonts w:ascii="Calibri" w:hAnsi="Calibri"/>
                <w:b/>
                <w:sz w:val="16"/>
              </w:rPr>
              <w:t>BLK-08</w:t>
            </w:r>
          </w:p>
        </w:tc>
        <w:tc>
          <w:tcPr>
            <w:tcW w:type="dxa" w:w="1984"/>
          </w:tcPr>
          <w:p>
            <w:pPr>
              <w:spacing w:before="40" w:after="40"/>
            </w:pPr>
            <w:r/>
            <w:r>
              <w:rPr>
                <w:rFonts w:ascii="Calibri" w:hAnsi="Calibri"/>
                <w:b/>
                <w:sz w:val="16"/>
              </w:rPr>
              <w:t>Saisie — Court-Ordered Account Freezes</w:t>
            </w:r>
          </w:p>
        </w:tc>
        <w:tc>
          <w:tcPr>
            <w:tcW w:type="dxa" w:w="1134"/>
          </w:tcPr>
          <w:p>
            <w:pPr>
              <w:spacing w:before="40" w:after="40"/>
            </w:pPr>
            <w:r/>
            <w:r>
              <w:rPr>
                <w:rFonts w:ascii="Calibri" w:hAnsi="Calibri"/>
                <w:color w:val="276749"/>
                <w:sz w:val="16"/>
              </w:rPr>
              <w:t>Banking</w:t>
            </w:r>
          </w:p>
        </w:tc>
        <w:tc>
          <w:tcPr>
            <w:tcW w:type="dxa" w:w="1020"/>
          </w:tcPr>
          <w:p>
            <w:pPr>
              <w:spacing w:before="40" w:after="40"/>
            </w:pPr>
            <w:r/>
            <w:r>
              <w:rPr>
                <w:rFonts w:ascii="Calibri" w:hAnsi="Calibri"/>
                <w:b/>
                <w:color w:val="E53E3E"/>
                <w:sz w:val="16"/>
              </w:rPr>
              <w:t>HIGH</w:t>
            </w:r>
          </w:p>
        </w:tc>
        <w:tc>
          <w:tcPr>
            <w:tcW w:type="dxa" w:w="3118"/>
          </w:tcPr>
          <w:p>
            <w:pPr>
              <w:spacing w:before="40" w:after="40"/>
            </w:pPr>
            <w:r/>
            <w:r>
              <w:rPr>
                <w:rFonts w:ascii="Calibri" w:hAnsi="Calibri"/>
                <w:sz w:val="16"/>
              </w:rPr>
              <w:t>Courts can order banks to freeze GMA accounts or transactions (Saisie) when vendors bring disputes. Frozen amount scope unclear (disputed amount vs entire account balance). Has occurred at most banks except BOA. Can immobilize working capital without warning.</w:t>
            </w:r>
          </w:p>
        </w:tc>
        <w:tc>
          <w:tcPr>
            <w:tcW w:type="dxa" w:w="3118"/>
          </w:tcPr>
          <w:p>
            <w:pPr>
              <w:spacing w:before="40" w:after="40"/>
            </w:pPr>
            <w:r/>
            <w:r>
              <w:rPr>
                <w:rFonts w:ascii="Calibri" w:hAnsi="Calibri"/>
                <w:sz w:val="16"/>
              </w:rPr>
              <w:t>Clarify with legal counsel: is the freeze limited to the disputed amount or the entire account? Maintain sufficient liquidity across multiple banks to ensure operations continue if one account is frozen. Consider keeping higher balances at BOA (which has never been frozen). Document all vendor disputes proactively.</w:t>
            </w:r>
          </w:p>
        </w:tc>
        <w:tc>
          <w:tcPr>
            <w:tcW w:type="dxa" w:w="1587"/>
          </w:tcPr>
          <w:p>
            <w:pPr>
              <w:spacing w:before="40" w:after="40"/>
            </w:pPr>
            <w:r/>
            <w:r>
              <w:rPr>
                <w:rFonts w:ascii="Calibri" w:hAnsi="Calibri"/>
                <w:sz w:val="16"/>
              </w:rPr>
              <w:t>Cyril Edorh / Legal</w:t>
            </w:r>
          </w:p>
        </w:tc>
        <w:tc>
          <w:tcPr>
            <w:tcW w:type="dxa" w:w="1020"/>
          </w:tcPr>
          <w:p>
            <w:pPr>
              <w:spacing w:before="40" w:after="40"/>
            </w:pPr>
            <w:r/>
            <w:r>
              <w:rPr>
                <w:rFonts w:ascii="Calibri" w:hAnsi="Calibri"/>
                <w:color w:val="C53030"/>
                <w:sz w:val="16"/>
              </w:rPr>
              <w:t>Open</w:t>
            </w:r>
          </w:p>
        </w:tc>
        <w:tc>
          <w:tcPr>
            <w:tcW w:type="dxa" w:w="1304"/>
          </w:tcPr>
          <w:p>
            <w:pPr>
              <w:spacing w:before="40" w:after="40"/>
            </w:pPr>
            <w:r/>
            <w:r>
              <w:rPr>
                <w:rFonts w:ascii="Calibri" w:hAnsi="Calibri"/>
                <w:color w:val="718096"/>
                <w:sz w:val="14"/>
              </w:rPr>
              <w:t>PPT Slide 39, Slide 59</w:t>
            </w:r>
          </w:p>
        </w:tc>
      </w:tr>
      <w:tr>
        <w:tc>
          <w:tcPr>
            <w:tcW w:type="dxa" w:w="850"/>
          </w:tcPr>
          <w:p>
            <w:pPr>
              <w:spacing w:before="40" w:after="40"/>
            </w:pPr>
            <w:r/>
            <w:r>
              <w:rPr>
                <w:rFonts w:ascii="Calibri" w:hAnsi="Calibri"/>
                <w:b/>
                <w:sz w:val="16"/>
              </w:rPr>
              <w:t>BLK-09</w:t>
            </w:r>
          </w:p>
        </w:tc>
        <w:tc>
          <w:tcPr>
            <w:tcW w:type="dxa" w:w="1984"/>
          </w:tcPr>
          <w:p>
            <w:pPr>
              <w:spacing w:before="40" w:after="40"/>
            </w:pPr>
            <w:r/>
            <w:r>
              <w:rPr>
                <w:rFonts w:ascii="Calibri" w:hAnsi="Calibri"/>
                <w:b/>
                <w:sz w:val="16"/>
              </w:rPr>
              <w:t>MTN Mobile Money Account Inactive</w:t>
            </w:r>
          </w:p>
        </w:tc>
        <w:tc>
          <w:tcPr>
            <w:tcW w:type="dxa" w:w="1134"/>
          </w:tcPr>
          <w:p>
            <w:pPr>
              <w:spacing w:before="40" w:after="40"/>
            </w:pPr>
            <w:r/>
            <w:r>
              <w:rPr>
                <w:rFonts w:ascii="Calibri" w:hAnsi="Calibri"/>
                <w:color w:val="276749"/>
                <w:sz w:val="16"/>
              </w:rPr>
              <w:t>Banking</w:t>
            </w:r>
          </w:p>
        </w:tc>
        <w:tc>
          <w:tcPr>
            <w:tcW w:type="dxa" w:w="1020"/>
          </w:tcPr>
          <w:p>
            <w:pPr>
              <w:spacing w:before="40" w:after="40"/>
            </w:pPr>
            <w:r/>
            <w:r>
              <w:rPr>
                <w:rFonts w:ascii="Calibri" w:hAnsi="Calibri"/>
                <w:b/>
                <w:color w:val="D69E2E"/>
                <w:sz w:val="16"/>
              </w:rPr>
              <w:t>MEDIUM</w:t>
            </w:r>
          </w:p>
        </w:tc>
        <w:tc>
          <w:tcPr>
            <w:tcW w:type="dxa" w:w="3118"/>
          </w:tcPr>
          <w:p>
            <w:pPr>
              <w:spacing w:before="40" w:after="40"/>
            </w:pPr>
            <w:r/>
            <w:r>
              <w:rPr>
                <w:rFonts w:ascii="Calibri" w:hAnsi="Calibri"/>
                <w:sz w:val="16"/>
              </w:rPr>
              <w:t>MTN Mobile Money account (XOF 6151) stopped reporting in November 2024. MTN has only ~20% mobile money market share in Ivory Coast. Account is functionally dormant and needs to be closed and replaced.</w:t>
            </w:r>
          </w:p>
        </w:tc>
        <w:tc>
          <w:tcPr>
            <w:tcW w:type="dxa" w:w="3118"/>
          </w:tcPr>
          <w:p>
            <w:pPr>
              <w:spacing w:before="40" w:after="40"/>
            </w:pPr>
            <w:r/>
            <w:r>
              <w:rPr>
                <w:rFonts w:ascii="Calibri" w:hAnsi="Calibri"/>
                <w:sz w:val="16"/>
              </w:rPr>
              <w:t>Close MTN account. Evaluate Wave (~50% market share, American company) and Orange Money (market leader) as replacements. Cyril conducting audit. Consider PI-SPI integration as the long-term mobile collection channel instead of bilateral EMI relationship.</w:t>
            </w:r>
          </w:p>
        </w:tc>
        <w:tc>
          <w:tcPr>
            <w:tcW w:type="dxa" w:w="1587"/>
          </w:tcPr>
          <w:p>
            <w:pPr>
              <w:spacing w:before="40" w:after="40"/>
            </w:pPr>
            <w:r/>
            <w:r>
              <w:rPr>
                <w:rFonts w:ascii="Calibri" w:hAnsi="Calibri"/>
                <w:sz w:val="16"/>
              </w:rPr>
              <w:t>Cyril Edorh</w:t>
            </w:r>
          </w:p>
        </w:tc>
        <w:tc>
          <w:tcPr>
            <w:tcW w:type="dxa" w:w="1020"/>
          </w:tcPr>
          <w:p>
            <w:pPr>
              <w:spacing w:before="40" w:after="40"/>
            </w:pPr>
            <w:r/>
            <w:r>
              <w:rPr>
                <w:rFonts w:ascii="Calibri" w:hAnsi="Calibri"/>
                <w:color w:val="D69E2E"/>
                <w:sz w:val="16"/>
              </w:rPr>
              <w:t>In Progress</w:t>
            </w:r>
          </w:p>
        </w:tc>
        <w:tc>
          <w:tcPr>
            <w:tcW w:type="dxa" w:w="1304"/>
          </w:tcPr>
          <w:p>
            <w:pPr>
              <w:spacing w:before="40" w:after="40"/>
            </w:pPr>
            <w:r/>
            <w:r>
              <w:rPr>
                <w:rFonts w:ascii="Calibri" w:hAnsi="Calibri"/>
                <w:color w:val="718096"/>
                <w:sz w:val="14"/>
              </w:rPr>
              <w:t>PPT Slide 33</w:t>
            </w:r>
          </w:p>
        </w:tc>
      </w:tr>
      <w:tr>
        <w:tc>
          <w:tcPr>
            <w:tcW w:type="dxa" w:w="850"/>
          </w:tcPr>
          <w:p>
            <w:pPr>
              <w:spacing w:before="40" w:after="40"/>
            </w:pPr>
            <w:r/>
            <w:r>
              <w:rPr>
                <w:rFonts w:ascii="Calibri" w:hAnsi="Calibri"/>
                <w:b/>
                <w:sz w:val="16"/>
              </w:rPr>
              <w:t>BLK-10</w:t>
            </w:r>
          </w:p>
        </w:tc>
        <w:tc>
          <w:tcPr>
            <w:tcW w:type="dxa" w:w="1984"/>
          </w:tcPr>
          <w:p>
            <w:pPr>
              <w:spacing w:before="40" w:after="40"/>
            </w:pPr>
            <w:r/>
            <w:r>
              <w:rPr>
                <w:rFonts w:ascii="Calibri" w:hAnsi="Calibri"/>
                <w:b/>
                <w:sz w:val="16"/>
              </w:rPr>
              <w:t>Trapped BOA Bank Guarantee (LG12/795)</w:t>
            </w:r>
          </w:p>
        </w:tc>
        <w:tc>
          <w:tcPr>
            <w:tcW w:type="dxa" w:w="1134"/>
          </w:tcPr>
          <w:p>
            <w:pPr>
              <w:spacing w:before="40" w:after="40"/>
            </w:pPr>
            <w:r/>
            <w:r>
              <w:rPr>
                <w:rFonts w:ascii="Calibri" w:hAnsi="Calibri"/>
                <w:color w:val="276749"/>
                <w:sz w:val="16"/>
              </w:rPr>
              <w:t>Banking</w:t>
            </w:r>
          </w:p>
        </w:tc>
        <w:tc>
          <w:tcPr>
            <w:tcW w:type="dxa" w:w="1020"/>
          </w:tcPr>
          <w:p>
            <w:pPr>
              <w:spacing w:before="40" w:after="40"/>
            </w:pPr>
            <w:r/>
            <w:r>
              <w:rPr>
                <w:rFonts w:ascii="Calibri" w:hAnsi="Calibri"/>
                <w:b/>
                <w:color w:val="A0AEC0"/>
                <w:sz w:val="16"/>
              </w:rPr>
              <w:t>LOW</w:t>
            </w:r>
          </w:p>
        </w:tc>
        <w:tc>
          <w:tcPr>
            <w:tcW w:type="dxa" w:w="3118"/>
          </w:tcPr>
          <w:p>
            <w:pPr>
              <w:spacing w:before="40" w:after="40"/>
            </w:pPr>
            <w:r/>
            <w:r>
              <w:rPr>
                <w:rFonts w:ascii="Calibri" w:hAnsi="Calibri"/>
                <w:sz w:val="16"/>
              </w:rPr>
              <w:t>Bank guarantee LG12/795 issued by BOA for Port of Abidjan land (XOF 78.9M / $140K) expired in 2015 but BOA requires a release letter from the Port to remove it from their books. Port only provided a letter saying they don't recognize the guarantee — insufficient for the bank. Actions underway but unresolved for years.</w:t>
            </w:r>
          </w:p>
        </w:tc>
        <w:tc>
          <w:tcPr>
            <w:tcW w:type="dxa" w:w="3118"/>
          </w:tcPr>
          <w:p>
            <w:pPr>
              <w:spacing w:before="40" w:after="40"/>
            </w:pPr>
            <w:r/>
            <w:r>
              <w:rPr>
                <w:rFonts w:ascii="Calibri" w:hAnsi="Calibri"/>
                <w:sz w:val="16"/>
              </w:rPr>
              <w:t>Escalate via legal counsel to obtain formal release letter from Port authority. If release cannot be obtained, explore whether BOA can write off the guarantee with the Port's non-recognition letter plus a legal opinion.</w:t>
            </w:r>
          </w:p>
        </w:tc>
        <w:tc>
          <w:tcPr>
            <w:tcW w:type="dxa" w:w="1587"/>
          </w:tcPr>
          <w:p>
            <w:pPr>
              <w:spacing w:before="40" w:after="40"/>
            </w:pPr>
            <w:r/>
            <w:r>
              <w:rPr>
                <w:rFonts w:ascii="Calibri" w:hAnsi="Calibri"/>
                <w:sz w:val="16"/>
              </w:rPr>
              <w:t>Cyril Edorh / Legal</w:t>
            </w:r>
          </w:p>
        </w:tc>
        <w:tc>
          <w:tcPr>
            <w:tcW w:type="dxa" w:w="1020"/>
          </w:tcPr>
          <w:p>
            <w:pPr>
              <w:spacing w:before="40" w:after="40"/>
            </w:pPr>
            <w:r/>
            <w:r>
              <w:rPr>
                <w:rFonts w:ascii="Calibri" w:hAnsi="Calibri"/>
                <w:color w:val="D69E2E"/>
                <w:sz w:val="16"/>
              </w:rPr>
              <w:t>In Progress</w:t>
            </w:r>
          </w:p>
        </w:tc>
        <w:tc>
          <w:tcPr>
            <w:tcW w:type="dxa" w:w="1304"/>
          </w:tcPr>
          <w:p>
            <w:pPr>
              <w:spacing w:before="40" w:after="40"/>
            </w:pPr>
            <w:r/>
            <w:r>
              <w:rPr>
                <w:rFonts w:ascii="Calibri" w:hAnsi="Calibri"/>
                <w:color w:val="718096"/>
                <w:sz w:val="14"/>
              </w:rPr>
              <w:t>PPT Slide 48</w:t>
            </w:r>
          </w:p>
        </w:tc>
      </w:tr>
      <w:tr>
        <w:tc>
          <w:tcPr>
            <w:tcW w:type="dxa" w:w="850"/>
            <w:shd w:fill="FFF5F5" w:val="clear"/>
          </w:tcPr>
          <w:p>
            <w:pPr>
              <w:spacing w:before="40" w:after="40"/>
            </w:pPr>
            <w:r/>
            <w:r>
              <w:rPr>
                <w:rFonts w:ascii="Calibri" w:hAnsi="Calibri"/>
                <w:b/>
                <w:sz w:val="16"/>
              </w:rPr>
              <w:t>BLK-11</w:t>
            </w:r>
          </w:p>
        </w:tc>
        <w:tc>
          <w:tcPr>
            <w:tcW w:type="dxa" w:w="1984"/>
            <w:shd w:fill="FFF5F5" w:val="clear"/>
          </w:tcPr>
          <w:p>
            <w:pPr>
              <w:spacing w:before="40" w:after="40"/>
            </w:pPr>
            <w:r/>
            <w:r>
              <w:rPr>
                <w:rFonts w:ascii="Calibri" w:hAnsi="Calibri"/>
                <w:b/>
                <w:sz w:val="16"/>
              </w:rPr>
              <w:t>Cash-Intensive Depot Collection Model</w:t>
            </w:r>
          </w:p>
        </w:tc>
        <w:tc>
          <w:tcPr>
            <w:tcW w:type="dxa" w:w="1134"/>
            <w:shd w:fill="FFF5F5" w:val="clear"/>
          </w:tcPr>
          <w:p>
            <w:pPr>
              <w:spacing w:before="40" w:after="40"/>
            </w:pPr>
            <w:r/>
            <w:r>
              <w:rPr>
                <w:rFonts w:ascii="Calibri" w:hAnsi="Calibri"/>
                <w:color w:val="B7791F"/>
                <w:sz w:val="16"/>
              </w:rPr>
              <w:t>Operational</w:t>
            </w:r>
          </w:p>
        </w:tc>
        <w:tc>
          <w:tcPr>
            <w:tcW w:type="dxa" w:w="1020"/>
            <w:shd w:fill="FFF5F5" w:val="clear"/>
          </w:tcPr>
          <w:p>
            <w:pPr>
              <w:spacing w:before="40" w:after="40"/>
            </w:pPr>
            <w:r/>
            <w:r>
              <w:rPr>
                <w:rFonts w:ascii="Calibri" w:hAnsi="Calibri"/>
                <w:b/>
                <w:color w:val="C53030"/>
                <w:sz w:val="16"/>
              </w:rPr>
              <w:t>CRITICAL</w:t>
            </w:r>
          </w:p>
        </w:tc>
        <w:tc>
          <w:tcPr>
            <w:tcW w:type="dxa" w:w="3118"/>
            <w:shd w:fill="FFF5F5" w:val="clear"/>
          </w:tcPr>
          <w:p>
            <w:pPr>
              <w:spacing w:before="40" w:after="40"/>
            </w:pPr>
            <w:r/>
            <w:r>
              <w:rPr>
                <w:rFonts w:ascii="Calibri" w:hAnsi="Calibri"/>
                <w:sz w:val="16"/>
              </w:rPr>
              <w:t>17+ depots collect cash and paper-based instruments (checks, bills of exchange). Each depot has a cash threshold — when reached, cash must be physically transported to the nearest bank. This is GMA's #1 pain point (Slide 52). Creates security risk, float delay, reconciliation complexity, and limits to how quickly GMA can deploy collected cash.</w:t>
            </w:r>
          </w:p>
        </w:tc>
        <w:tc>
          <w:tcPr>
            <w:tcW w:type="dxa" w:w="3118"/>
            <w:shd w:fill="FFF5F5" w:val="clear"/>
          </w:tcPr>
          <w:p>
            <w:pPr>
              <w:spacing w:before="40" w:after="40"/>
            </w:pPr>
            <w:r/>
            <w:r>
              <w:rPr>
                <w:rFonts w:ascii="Calibri" w:hAnsi="Calibri"/>
                <w:sz w:val="16"/>
              </w:rPr>
              <w:t>Pilot PI-SPI QR code / alias-based payment acceptance at high-volume depots. Evaluate Wave/Orange Money integration for remote depots. Target: reduce cash and paper collection by 50%+ over 24 months. Requires customer education and incentive program.</w:t>
            </w:r>
          </w:p>
        </w:tc>
        <w:tc>
          <w:tcPr>
            <w:tcW w:type="dxa" w:w="1587"/>
            <w:shd w:fill="FFF5F5" w:val="clear"/>
          </w:tcPr>
          <w:p>
            <w:pPr>
              <w:spacing w:before="40" w:after="40"/>
            </w:pPr>
            <w:r/>
            <w:r>
              <w:rPr>
                <w:rFonts w:ascii="Calibri" w:hAnsi="Calibri"/>
                <w:sz w:val="16"/>
              </w:rPr>
              <w:t>Cyril Edorh / Commercial Team</w:t>
            </w:r>
          </w:p>
        </w:tc>
        <w:tc>
          <w:tcPr>
            <w:tcW w:type="dxa" w:w="1020"/>
            <w:shd w:fill="FFF5F5" w:val="clear"/>
          </w:tcPr>
          <w:p>
            <w:pPr>
              <w:spacing w:before="40" w:after="40"/>
            </w:pPr>
            <w:r/>
            <w:r>
              <w:rPr>
                <w:rFonts w:ascii="Calibri" w:hAnsi="Calibri"/>
                <w:color w:val="C53030"/>
                <w:sz w:val="16"/>
              </w:rPr>
              <w:t>Open</w:t>
            </w:r>
          </w:p>
        </w:tc>
        <w:tc>
          <w:tcPr>
            <w:tcW w:type="dxa" w:w="1304"/>
            <w:shd w:fill="FFF5F5" w:val="clear"/>
          </w:tcPr>
          <w:p>
            <w:pPr>
              <w:spacing w:before="40" w:after="40"/>
            </w:pPr>
            <w:r/>
            <w:r>
              <w:rPr>
                <w:rFonts w:ascii="Calibri" w:hAnsi="Calibri"/>
                <w:color w:val="718096"/>
                <w:sz w:val="14"/>
              </w:rPr>
              <w:t>PPT Slides 39, 52</w:t>
            </w:r>
          </w:p>
        </w:tc>
      </w:tr>
      <w:tr>
        <w:tc>
          <w:tcPr>
            <w:tcW w:type="dxa" w:w="850"/>
          </w:tcPr>
          <w:p>
            <w:pPr>
              <w:spacing w:before="40" w:after="40"/>
            </w:pPr>
            <w:r/>
            <w:r>
              <w:rPr>
                <w:rFonts w:ascii="Calibri" w:hAnsi="Calibri"/>
                <w:b/>
                <w:sz w:val="16"/>
              </w:rPr>
              <w:t>BLK-12</w:t>
            </w:r>
          </w:p>
        </w:tc>
        <w:tc>
          <w:tcPr>
            <w:tcW w:type="dxa" w:w="1984"/>
          </w:tcPr>
          <w:p>
            <w:pPr>
              <w:spacing w:before="40" w:after="40"/>
            </w:pPr>
            <w:r/>
            <w:r>
              <w:rPr>
                <w:rFonts w:ascii="Calibri" w:hAnsi="Calibri"/>
                <w:b/>
                <w:sz w:val="16"/>
              </w:rPr>
              <w:t>Check Processing Inefficiency</w:t>
            </w:r>
          </w:p>
        </w:tc>
        <w:tc>
          <w:tcPr>
            <w:tcW w:type="dxa" w:w="1134"/>
          </w:tcPr>
          <w:p>
            <w:pPr>
              <w:spacing w:before="40" w:after="40"/>
            </w:pPr>
            <w:r/>
            <w:r>
              <w:rPr>
                <w:rFonts w:ascii="Calibri" w:hAnsi="Calibri"/>
                <w:color w:val="B7791F"/>
                <w:sz w:val="16"/>
              </w:rPr>
              <w:t>Operational</w:t>
            </w:r>
          </w:p>
        </w:tc>
        <w:tc>
          <w:tcPr>
            <w:tcW w:type="dxa" w:w="1020"/>
          </w:tcPr>
          <w:p>
            <w:pPr>
              <w:spacing w:before="40" w:after="40"/>
            </w:pPr>
            <w:r/>
            <w:r>
              <w:rPr>
                <w:rFonts w:ascii="Calibri" w:hAnsi="Calibri"/>
                <w:b/>
                <w:color w:val="D69E2E"/>
                <w:sz w:val="16"/>
              </w:rPr>
              <w:t>MEDIUM</w:t>
            </w:r>
          </w:p>
        </w:tc>
        <w:tc>
          <w:tcPr>
            <w:tcW w:type="dxa" w:w="3118"/>
          </w:tcPr>
          <w:p>
            <w:pPr>
              <w:spacing w:before="40" w:after="40"/>
            </w:pPr>
            <w:r/>
            <w:r>
              <w:rPr>
                <w:rFonts w:ascii="Calibri" w:hAnsi="Calibri"/>
                <w:sz w:val="16"/>
              </w:rPr>
              <w:t>Future-dated checks stored in safe, manually reviewed daily by Joelle, endorsed and taken to bank on maturity date. Each bank visit takes at least 2 hours. Banks sometimes reject valid checks to collect unpaid-check fees. Declining volume but still operational burden.</w:t>
            </w:r>
          </w:p>
        </w:tc>
        <w:tc>
          <w:tcPr>
            <w:tcW w:type="dxa" w:w="3118"/>
          </w:tcPr>
          <w:p>
            <w:pPr>
              <w:spacing w:before="40" w:after="40"/>
            </w:pPr>
            <w:r/>
            <w:r>
              <w:rPr>
                <w:rFonts w:ascii="Calibri" w:hAnsi="Calibri"/>
                <w:sz w:val="16"/>
              </w:rPr>
              <w:t>Track check volume trend (declining). Encourage customers to migrate to electronic payment methods (wire, PI-SPI). Negotiate with banks on check rejection practices. Consider consolidating check deposits to fewer banks to reduce visit frequency.</w:t>
            </w:r>
          </w:p>
        </w:tc>
        <w:tc>
          <w:tcPr>
            <w:tcW w:type="dxa" w:w="1587"/>
          </w:tcPr>
          <w:p>
            <w:pPr>
              <w:spacing w:before="40" w:after="40"/>
            </w:pPr>
            <w:r/>
            <w:r>
              <w:rPr>
                <w:rFonts w:ascii="Calibri" w:hAnsi="Calibri"/>
                <w:sz w:val="16"/>
              </w:rPr>
              <w:t>Joelle / Cyril Edorh</w:t>
            </w:r>
          </w:p>
        </w:tc>
        <w:tc>
          <w:tcPr>
            <w:tcW w:type="dxa" w:w="1020"/>
          </w:tcPr>
          <w:p>
            <w:pPr>
              <w:spacing w:before="40" w:after="40"/>
            </w:pPr>
            <w:r/>
            <w:r>
              <w:rPr>
                <w:rFonts w:ascii="Calibri" w:hAnsi="Calibri"/>
                <w:color w:val="2B6CB0"/>
                <w:sz w:val="16"/>
              </w:rPr>
              <w:t>Monitoring</w:t>
            </w:r>
          </w:p>
        </w:tc>
        <w:tc>
          <w:tcPr>
            <w:tcW w:type="dxa" w:w="1304"/>
          </w:tcPr>
          <w:p>
            <w:pPr>
              <w:spacing w:before="40" w:after="40"/>
            </w:pPr>
            <w:r/>
            <w:r>
              <w:rPr>
                <w:rFonts w:ascii="Calibri" w:hAnsi="Calibri"/>
                <w:color w:val="718096"/>
                <w:sz w:val="14"/>
              </w:rPr>
              <w:t>PPT Slide 41</w:t>
            </w:r>
          </w:p>
        </w:tc>
      </w:tr>
      <w:tr>
        <w:tc>
          <w:tcPr>
            <w:tcW w:type="dxa" w:w="850"/>
          </w:tcPr>
          <w:p>
            <w:pPr>
              <w:spacing w:before="40" w:after="40"/>
            </w:pPr>
            <w:r/>
            <w:r>
              <w:rPr>
                <w:rFonts w:ascii="Calibri" w:hAnsi="Calibri"/>
                <w:b/>
                <w:sz w:val="16"/>
              </w:rPr>
              <w:t>BLK-13</w:t>
            </w:r>
          </w:p>
        </w:tc>
        <w:tc>
          <w:tcPr>
            <w:tcW w:type="dxa" w:w="1984"/>
          </w:tcPr>
          <w:p>
            <w:pPr>
              <w:spacing w:before="40" w:after="40"/>
            </w:pPr>
            <w:r/>
            <w:r>
              <w:rPr>
                <w:rFonts w:ascii="Calibri" w:hAnsi="Calibri"/>
                <w:b/>
                <w:sz w:val="16"/>
              </w:rPr>
              <w:t>PI-SPI Adoption Still Early Stage</w:t>
            </w:r>
          </w:p>
        </w:tc>
        <w:tc>
          <w:tcPr>
            <w:tcW w:type="dxa" w:w="1134"/>
          </w:tcPr>
          <w:p>
            <w:pPr>
              <w:spacing w:before="40" w:after="40"/>
            </w:pPr>
            <w:r/>
            <w:r>
              <w:rPr>
                <w:rFonts w:ascii="Calibri" w:hAnsi="Calibri"/>
                <w:color w:val="6B46C1"/>
                <w:sz w:val="16"/>
              </w:rPr>
              <w:t>Technology</w:t>
            </w:r>
          </w:p>
        </w:tc>
        <w:tc>
          <w:tcPr>
            <w:tcW w:type="dxa" w:w="1020"/>
          </w:tcPr>
          <w:p>
            <w:pPr>
              <w:spacing w:before="40" w:after="40"/>
            </w:pPr>
            <w:r/>
            <w:r>
              <w:rPr>
                <w:rFonts w:ascii="Calibri" w:hAnsi="Calibri"/>
                <w:b/>
                <w:color w:val="E53E3E"/>
                <w:sz w:val="16"/>
              </w:rPr>
              <w:t>HIGH</w:t>
            </w:r>
          </w:p>
        </w:tc>
        <w:tc>
          <w:tcPr>
            <w:tcW w:type="dxa" w:w="3118"/>
          </w:tcPr>
          <w:p>
            <w:pPr>
              <w:spacing w:before="40" w:after="40"/>
            </w:pPr>
            <w:r/>
            <w:r>
              <w:rPr>
                <w:rFonts w:ascii="Calibri" w:hAnsi="Calibri"/>
                <w:sz w:val="16"/>
              </w:rPr>
              <w:t>Only 15 Ivorian institutions on PI-SPI as of Feb 2026. Only ~221,000 customers registered a PI-SPI alias (Jan 2026). SocGen not yet on platform. PI-SPI is a single centralized hub — BCEAO outage cascades across all participants. GMA cannot fully rely on PI-SPI for collection modernization or payroll consolidation until adoption matures.</w:t>
            </w:r>
          </w:p>
        </w:tc>
        <w:tc>
          <w:tcPr>
            <w:tcW w:type="dxa" w:w="3118"/>
          </w:tcPr>
          <w:p>
            <w:pPr>
              <w:spacing w:before="40" w:after="40"/>
            </w:pPr>
            <w:r/>
            <w:r>
              <w:rPr>
                <w:rFonts w:ascii="Calibri" w:hAnsi="Calibri"/>
                <w:sz w:val="16"/>
              </w:rPr>
              <w:t>Monitor PI-SPI participant list and adoption metrics. Begin with use cases where counterparties are already on PI-SPI (SIB, BOA). Maintain fallback payment channels. Pilot payroll consolidation with SIB/BOA employees first. Track SocGen onboarding timeline.</w:t>
            </w:r>
          </w:p>
        </w:tc>
        <w:tc>
          <w:tcPr>
            <w:tcW w:type="dxa" w:w="1587"/>
          </w:tcPr>
          <w:p>
            <w:pPr>
              <w:spacing w:before="40" w:after="40"/>
            </w:pPr>
            <w:r/>
            <w:r>
              <w:rPr>
                <w:rFonts w:ascii="Calibri" w:hAnsi="Calibri"/>
                <w:sz w:val="16"/>
              </w:rPr>
              <w:t>Corp Treasury</w:t>
            </w:r>
          </w:p>
        </w:tc>
        <w:tc>
          <w:tcPr>
            <w:tcW w:type="dxa" w:w="1020"/>
          </w:tcPr>
          <w:p>
            <w:pPr>
              <w:spacing w:before="40" w:after="40"/>
            </w:pPr>
            <w:r/>
            <w:r>
              <w:rPr>
                <w:rFonts w:ascii="Calibri" w:hAnsi="Calibri"/>
                <w:color w:val="2B6CB0"/>
                <w:sz w:val="16"/>
              </w:rPr>
              <w:t>Monitoring</w:t>
            </w:r>
          </w:p>
        </w:tc>
        <w:tc>
          <w:tcPr>
            <w:tcW w:type="dxa" w:w="1304"/>
          </w:tcPr>
          <w:p>
            <w:pPr>
              <w:spacing w:before="40" w:after="40"/>
            </w:pPr>
            <w:r/>
            <w:r>
              <w:rPr>
                <w:rFonts w:ascii="Calibri" w:hAnsi="Calibri"/>
                <w:color w:val="718096"/>
                <w:sz w:val="14"/>
              </w:rPr>
              <w:t>PPT Slides 40, 54, Slide 13 (Risk Register)</w:t>
            </w:r>
          </w:p>
        </w:tc>
      </w:tr>
      <w:tr>
        <w:tc>
          <w:tcPr>
            <w:tcW w:type="dxa" w:w="850"/>
            <w:shd w:fill="FFF5F5" w:val="clear"/>
          </w:tcPr>
          <w:p>
            <w:pPr>
              <w:spacing w:before="40" w:after="40"/>
            </w:pPr>
            <w:r/>
            <w:r>
              <w:rPr>
                <w:rFonts w:ascii="Calibri" w:hAnsi="Calibri"/>
                <w:b/>
                <w:sz w:val="16"/>
              </w:rPr>
              <w:t>BLK-14</w:t>
            </w:r>
          </w:p>
        </w:tc>
        <w:tc>
          <w:tcPr>
            <w:tcW w:type="dxa" w:w="1984"/>
            <w:shd w:fill="FFF5F5" w:val="clear"/>
          </w:tcPr>
          <w:p>
            <w:pPr>
              <w:spacing w:before="40" w:after="40"/>
            </w:pPr>
            <w:r/>
            <w:r>
              <w:rPr>
                <w:rFonts w:ascii="Calibri" w:hAnsi="Calibri"/>
                <w:b/>
                <w:sz w:val="16"/>
              </w:rPr>
              <w:t>No IT2 / IREC Readiness Assessment</w:t>
            </w:r>
          </w:p>
        </w:tc>
        <w:tc>
          <w:tcPr>
            <w:tcW w:type="dxa" w:w="1134"/>
            <w:shd w:fill="FFF5F5" w:val="clear"/>
          </w:tcPr>
          <w:p>
            <w:pPr>
              <w:spacing w:before="40" w:after="40"/>
            </w:pPr>
            <w:r/>
            <w:r>
              <w:rPr>
                <w:rFonts w:ascii="Calibri" w:hAnsi="Calibri"/>
                <w:color w:val="6B46C1"/>
                <w:sz w:val="16"/>
              </w:rPr>
              <w:t>Technology</w:t>
            </w:r>
          </w:p>
        </w:tc>
        <w:tc>
          <w:tcPr>
            <w:tcW w:type="dxa" w:w="1020"/>
            <w:shd w:fill="FFF5F5" w:val="clear"/>
          </w:tcPr>
          <w:p>
            <w:pPr>
              <w:spacing w:before="40" w:after="40"/>
            </w:pPr>
            <w:r/>
            <w:r>
              <w:rPr>
                <w:rFonts w:ascii="Calibri" w:hAnsi="Calibri"/>
                <w:b/>
                <w:color w:val="C53030"/>
                <w:sz w:val="16"/>
              </w:rPr>
              <w:t>CRITICAL</w:t>
            </w:r>
          </w:p>
        </w:tc>
        <w:tc>
          <w:tcPr>
            <w:tcW w:type="dxa" w:w="3118"/>
            <w:shd w:fill="FFF5F5" w:val="clear"/>
          </w:tcPr>
          <w:p>
            <w:pPr>
              <w:spacing w:before="40" w:after="40"/>
            </w:pPr>
            <w:r/>
            <w:r>
              <w:rPr>
                <w:rFonts w:ascii="Calibri" w:hAnsi="Calibri"/>
                <w:sz w:val="16"/>
              </w:rPr>
              <w:t>ION IT2 TMS and BofA IREC bank connectivity have not been assessed for GMA. No configuration plan, no file format mapping, no integration architecture defined. This is a prerequisite for D.05 (Target Design) and D.07 (Technology Strategy). Without it, implementation planning (D.08) cannot begin.</w:t>
            </w:r>
          </w:p>
        </w:tc>
        <w:tc>
          <w:tcPr>
            <w:tcW w:type="dxa" w:w="3118"/>
            <w:shd w:fill="FFF5F5" w:val="clear"/>
          </w:tcPr>
          <w:p>
            <w:pPr>
              <w:spacing w:before="40" w:after="40"/>
            </w:pPr>
            <w:r/>
            <w:r>
              <w:rPr>
                <w:rFonts w:ascii="Calibri" w:hAnsi="Calibri"/>
                <w:sz w:val="16"/>
              </w:rPr>
              <w:t>Conduct IT2 readiness assessment: entity structure, account mapping, deal types, payment workflows, accounting integration. Assess IREC availability in Ivory Coast. Define bank connectivity strategy per bank (SWIFT, H2H, API, manual). Map current bank file formats.</w:t>
            </w:r>
          </w:p>
        </w:tc>
        <w:tc>
          <w:tcPr>
            <w:tcW w:type="dxa" w:w="1587"/>
            <w:shd w:fill="FFF5F5" w:val="clear"/>
          </w:tcPr>
          <w:p>
            <w:pPr>
              <w:spacing w:before="40" w:after="40"/>
            </w:pPr>
            <w:r/>
            <w:r>
              <w:rPr>
                <w:rFonts w:ascii="Calibri" w:hAnsi="Calibri"/>
                <w:sz w:val="16"/>
              </w:rPr>
              <w:t>Corp Treasury / IT</w:t>
            </w:r>
          </w:p>
        </w:tc>
        <w:tc>
          <w:tcPr>
            <w:tcW w:type="dxa" w:w="1020"/>
            <w:shd w:fill="FFF5F5" w:val="clear"/>
          </w:tcPr>
          <w:p>
            <w:pPr>
              <w:spacing w:before="40" w:after="40"/>
            </w:pPr>
            <w:r/>
            <w:r>
              <w:rPr>
                <w:rFonts w:ascii="Calibri" w:hAnsi="Calibri"/>
                <w:color w:val="C53030"/>
                <w:sz w:val="16"/>
              </w:rPr>
              <w:t>Open</w:t>
            </w:r>
          </w:p>
        </w:tc>
        <w:tc>
          <w:tcPr>
            <w:tcW w:type="dxa" w:w="1304"/>
            <w:shd w:fill="FFF5F5" w:val="clear"/>
          </w:tcPr>
          <w:p>
            <w:pPr>
              <w:spacing w:before="40" w:after="40"/>
            </w:pPr>
            <w:r/>
            <w:r>
              <w:rPr>
                <w:rFonts w:ascii="Calibri" w:hAnsi="Calibri"/>
                <w:color w:val="718096"/>
                <w:sz w:val="14"/>
              </w:rPr>
              <w:t>Gap Analysis D.04, D.07</w:t>
            </w:r>
          </w:p>
        </w:tc>
      </w:tr>
      <w:tr>
        <w:tc>
          <w:tcPr>
            <w:tcW w:type="dxa" w:w="850"/>
          </w:tcPr>
          <w:p>
            <w:pPr>
              <w:spacing w:before="40" w:after="40"/>
            </w:pPr>
            <w:r/>
            <w:r>
              <w:rPr>
                <w:rFonts w:ascii="Calibri" w:hAnsi="Calibri"/>
                <w:b/>
                <w:sz w:val="16"/>
              </w:rPr>
              <w:t>BLK-15</w:t>
            </w:r>
          </w:p>
        </w:tc>
        <w:tc>
          <w:tcPr>
            <w:tcW w:type="dxa" w:w="1984"/>
          </w:tcPr>
          <w:p>
            <w:pPr>
              <w:spacing w:before="40" w:after="40"/>
            </w:pPr>
            <w:r/>
            <w:r>
              <w:rPr>
                <w:rFonts w:ascii="Calibri" w:hAnsi="Calibri"/>
                <w:b/>
                <w:sz w:val="16"/>
              </w:rPr>
              <w:t>Dividend Repatriation — 15% WHT and Annual Window</w:t>
            </w:r>
          </w:p>
        </w:tc>
        <w:tc>
          <w:tcPr>
            <w:tcW w:type="dxa" w:w="1134"/>
          </w:tcPr>
          <w:p>
            <w:pPr>
              <w:spacing w:before="40" w:after="40"/>
            </w:pPr>
            <w:r/>
            <w:r>
              <w:rPr>
                <w:rFonts w:ascii="Calibri" w:hAnsi="Calibri"/>
                <w:color w:val="974B00"/>
                <w:sz w:val="16"/>
              </w:rPr>
              <w:t>Legal / Tax</w:t>
            </w:r>
          </w:p>
        </w:tc>
        <w:tc>
          <w:tcPr>
            <w:tcW w:type="dxa" w:w="1020"/>
          </w:tcPr>
          <w:p>
            <w:pPr>
              <w:spacing w:before="40" w:after="40"/>
            </w:pPr>
            <w:r/>
            <w:r>
              <w:rPr>
                <w:rFonts w:ascii="Calibri" w:hAnsi="Calibri"/>
                <w:b/>
                <w:color w:val="D69E2E"/>
                <w:sz w:val="16"/>
              </w:rPr>
              <w:t>MEDIUM</w:t>
            </w:r>
          </w:p>
        </w:tc>
        <w:tc>
          <w:tcPr>
            <w:tcW w:type="dxa" w:w="3118"/>
          </w:tcPr>
          <w:p>
            <w:pPr>
              <w:spacing w:before="40" w:after="40"/>
            </w:pPr>
            <w:r/>
            <w:r>
              <w:rPr>
                <w:rFonts w:ascii="Calibri" w:hAnsi="Calibri"/>
                <w:sz w:val="16"/>
              </w:rPr>
              <w:t>Dividend payment is the most expensive repatriation method (15% permanent withholding tax). GMA has only one opportunity per year to declare a dividend, with strict deadlines (must complete by September 30). This limits repatriation flexibility and creates a high tax cost for cash extraction.</w:t>
            </w:r>
          </w:p>
        </w:tc>
        <w:tc>
          <w:tcPr>
            <w:tcW w:type="dxa" w:w="3118"/>
          </w:tcPr>
          <w:p>
            <w:pPr>
              <w:spacing w:before="40" w:after="40"/>
            </w:pPr>
            <w:r/>
            <w:r>
              <w:rPr>
                <w:rFonts w:ascii="Calibri" w:hAnsi="Calibri"/>
                <w:sz w:val="16"/>
              </w:rPr>
              <w:t>Maximize lower-cost repatriation methods (commodity prepayments, FX capex) before resorting to dividends. Evaluate intercompany loan structures for interim liquidity. Investigate whether treaty relief applies (France-CI tax treaty). Ensure dividend declaration timeline is tracked and met annually.</w:t>
            </w:r>
          </w:p>
        </w:tc>
        <w:tc>
          <w:tcPr>
            <w:tcW w:type="dxa" w:w="1587"/>
          </w:tcPr>
          <w:p>
            <w:pPr>
              <w:spacing w:before="40" w:after="40"/>
            </w:pPr>
            <w:r/>
            <w:r>
              <w:rPr>
                <w:rFonts w:ascii="Calibri" w:hAnsi="Calibri"/>
                <w:sz w:val="16"/>
              </w:rPr>
              <w:t>Corp Treasury / Tax</w:t>
            </w:r>
          </w:p>
        </w:tc>
        <w:tc>
          <w:tcPr>
            <w:tcW w:type="dxa" w:w="1020"/>
          </w:tcPr>
          <w:p>
            <w:pPr>
              <w:spacing w:before="40" w:after="40"/>
            </w:pPr>
            <w:r/>
            <w:r>
              <w:rPr>
                <w:rFonts w:ascii="Calibri" w:hAnsi="Calibri"/>
                <w:color w:val="2B6CB0"/>
                <w:sz w:val="16"/>
              </w:rPr>
              <w:t>Monitoring</w:t>
            </w:r>
          </w:p>
        </w:tc>
        <w:tc>
          <w:tcPr>
            <w:tcW w:type="dxa" w:w="1304"/>
          </w:tcPr>
          <w:p>
            <w:pPr>
              <w:spacing w:before="40" w:after="40"/>
            </w:pPr>
            <w:r/>
            <w:r>
              <w:rPr>
                <w:rFonts w:ascii="Calibri" w:hAnsi="Calibri"/>
                <w:color w:val="718096"/>
                <w:sz w:val="14"/>
              </w:rPr>
              <w:t>PPT Slide 22</w:t>
            </w:r>
          </w:p>
        </w:tc>
      </w:tr>
      <w:tr>
        <w:tc>
          <w:tcPr>
            <w:tcW w:type="dxa" w:w="850"/>
          </w:tcPr>
          <w:p>
            <w:pPr>
              <w:spacing w:before="40" w:after="40"/>
            </w:pPr>
            <w:r/>
            <w:r>
              <w:rPr>
                <w:rFonts w:ascii="Calibri" w:hAnsi="Calibri"/>
                <w:b/>
                <w:sz w:val="16"/>
              </w:rPr>
              <w:t>BLK-16</w:t>
            </w:r>
          </w:p>
        </w:tc>
        <w:tc>
          <w:tcPr>
            <w:tcW w:type="dxa" w:w="1984"/>
          </w:tcPr>
          <w:p>
            <w:pPr>
              <w:spacing w:before="40" w:after="40"/>
            </w:pPr>
            <w:r/>
            <w:r>
              <w:rPr>
                <w:rFonts w:ascii="Calibri" w:hAnsi="Calibri"/>
                <w:b/>
                <w:sz w:val="16"/>
              </w:rPr>
              <w:t>Intercompany Loan Transfer Pricing Risk</w:t>
            </w:r>
          </w:p>
        </w:tc>
        <w:tc>
          <w:tcPr>
            <w:tcW w:type="dxa" w:w="1134"/>
          </w:tcPr>
          <w:p>
            <w:pPr>
              <w:spacing w:before="40" w:after="40"/>
            </w:pPr>
            <w:r/>
            <w:r>
              <w:rPr>
                <w:rFonts w:ascii="Calibri" w:hAnsi="Calibri"/>
                <w:color w:val="974B00"/>
                <w:sz w:val="16"/>
              </w:rPr>
              <w:t>Legal / Tax</w:t>
            </w:r>
          </w:p>
        </w:tc>
        <w:tc>
          <w:tcPr>
            <w:tcW w:type="dxa" w:w="1020"/>
          </w:tcPr>
          <w:p>
            <w:pPr>
              <w:spacing w:before="40" w:after="40"/>
            </w:pPr>
            <w:r/>
            <w:r>
              <w:rPr>
                <w:rFonts w:ascii="Calibri" w:hAnsi="Calibri"/>
                <w:b/>
                <w:color w:val="D69E2E"/>
                <w:sz w:val="16"/>
              </w:rPr>
              <w:t>MEDIUM</w:t>
            </w:r>
          </w:p>
        </w:tc>
        <w:tc>
          <w:tcPr>
            <w:tcW w:type="dxa" w:w="3118"/>
          </w:tcPr>
          <w:p>
            <w:pPr>
              <w:spacing w:before="40" w:after="40"/>
            </w:pPr>
            <w:r/>
            <w:r>
              <w:rPr>
                <w:rFonts w:ascii="Calibri" w:hAnsi="Calibri"/>
                <w:sz w:val="16"/>
              </w:rPr>
              <w:t>Intercompany loans between WAEMU entities carry 2–3% annual tax friction (non-deductible tax on interest income). If outstanding too long, transfer pricing concerns arise under OHADA rules. Requires MoF declaration, registration fee, and board authorization.</w:t>
            </w:r>
          </w:p>
        </w:tc>
        <w:tc>
          <w:tcPr>
            <w:tcW w:type="dxa" w:w="3118"/>
          </w:tcPr>
          <w:p>
            <w:pPr>
              <w:spacing w:before="40" w:after="40"/>
            </w:pPr>
            <w:r/>
            <w:r>
              <w:rPr>
                <w:rFonts w:ascii="Calibri" w:hAnsi="Calibri"/>
                <w:sz w:val="16"/>
              </w:rPr>
              <w:t>Establish clear loan terms with arm's-length interest rates. Set maximum duration limits. Ensure timely MoF declarations. Document business purpose. Review OHADA transfer pricing rules with local counsel.</w:t>
            </w:r>
          </w:p>
        </w:tc>
        <w:tc>
          <w:tcPr>
            <w:tcW w:type="dxa" w:w="1587"/>
          </w:tcPr>
          <w:p>
            <w:pPr>
              <w:spacing w:before="40" w:after="40"/>
            </w:pPr>
            <w:r/>
            <w:r>
              <w:rPr>
                <w:rFonts w:ascii="Calibri" w:hAnsi="Calibri"/>
                <w:sz w:val="16"/>
              </w:rPr>
              <w:t>Corp Treasury / Legal</w:t>
            </w:r>
          </w:p>
        </w:tc>
        <w:tc>
          <w:tcPr>
            <w:tcW w:type="dxa" w:w="1020"/>
          </w:tcPr>
          <w:p>
            <w:pPr>
              <w:spacing w:before="40" w:after="40"/>
            </w:pPr>
            <w:r/>
            <w:r>
              <w:rPr>
                <w:rFonts w:ascii="Calibri" w:hAnsi="Calibri"/>
                <w:color w:val="2B6CB0"/>
                <w:sz w:val="16"/>
              </w:rPr>
              <w:t>Monitoring</w:t>
            </w:r>
          </w:p>
        </w:tc>
        <w:tc>
          <w:tcPr>
            <w:tcW w:type="dxa" w:w="1304"/>
          </w:tcPr>
          <w:p>
            <w:pPr>
              <w:spacing w:before="40" w:after="40"/>
            </w:pPr>
            <w:r/>
            <w:r>
              <w:rPr>
                <w:rFonts w:ascii="Calibri" w:hAnsi="Calibri"/>
                <w:color w:val="718096"/>
                <w:sz w:val="14"/>
              </w:rPr>
              <w:t>PPT Slide 22</w:t>
            </w:r>
          </w:p>
        </w:tc>
      </w:tr>
    </w:tbl>
    <w:p/>
    <w:p>
      <w:pPr>
        <w:pStyle w:val="Heading2"/>
      </w:pPr>
      <w:r>
        <w:t>Severity Definitions</w:t>
      </w:r>
    </w:p>
    <w:tbl>
      <w:tblPr>
        <w:tblStyle w:val="TableGrid"/>
        <w:tblW w:type="auto" w:w="0"/>
        <w:tblLook w:firstColumn="1" w:firstRow="1" w:lastColumn="0" w:lastRow="0" w:noHBand="0" w:noVBand="1" w:val="04A0"/>
      </w:tblPr>
      <w:tblGrid>
        <w:gridCol w:w="7569"/>
        <w:gridCol w:w="7569"/>
      </w:tblGrid>
      <w:tr>
        <w:tc>
          <w:tcPr>
            <w:tcW w:type="dxa" w:w="7569"/>
            <w:shd w:fill="1a365d" w:val="clear"/>
          </w:tcPr>
          <w:p>
            <w:pPr>
              <w:spacing w:before="40" w:after="40"/>
            </w:pPr>
            <w:r>
              <w:rPr>
                <w:color w:val="FFFFFF"/>
              </w:rPr>
            </w:r>
            <w:r>
              <w:rPr>
                <w:rFonts w:ascii="Calibri" w:hAnsi="Calibri"/>
                <w:b/>
                <w:sz w:val="18"/>
              </w:rPr>
              <w:t>Severity</w:t>
            </w:r>
          </w:p>
        </w:tc>
        <w:tc>
          <w:tcPr>
            <w:tcW w:type="dxa" w:w="7569"/>
            <w:shd w:fill="1a365d" w:val="clear"/>
          </w:tcPr>
          <w:p>
            <w:pPr>
              <w:spacing w:before="40" w:after="40"/>
            </w:pPr>
            <w:r>
              <w:rPr>
                <w:color w:val="FFFFFF"/>
              </w:rPr>
            </w:r>
            <w:r>
              <w:rPr>
                <w:rFonts w:ascii="Calibri" w:hAnsi="Calibri"/>
                <w:b/>
                <w:sz w:val="18"/>
              </w:rPr>
              <w:t>Definition</w:t>
            </w:r>
          </w:p>
        </w:tc>
      </w:tr>
      <w:tr>
        <w:tc>
          <w:tcPr>
            <w:tcW w:type="dxa" w:w="7569"/>
          </w:tcPr>
          <w:p>
            <w:pPr>
              <w:spacing w:before="40" w:after="40"/>
            </w:pPr>
            <w:r/>
            <w:r>
              <w:rPr>
                <w:rFonts w:ascii="Calibri" w:hAnsi="Calibri"/>
                <w:b/>
                <w:color w:val="C53030"/>
                <w:sz w:val="18"/>
              </w:rPr>
              <w:t>CRITICAL</w:t>
            </w:r>
          </w:p>
        </w:tc>
        <w:tc>
          <w:tcPr>
            <w:tcW w:type="dxa" w:w="7569"/>
          </w:tcPr>
          <w:p>
            <w:pPr>
              <w:spacing w:before="40" w:after="40"/>
            </w:pPr>
            <w:r/>
            <w:r>
              <w:rPr>
                <w:rFonts w:ascii="Calibri" w:hAnsi="Calibri"/>
                <w:sz w:val="18"/>
              </w:rPr>
              <w:t>Blocks implementation or creates unacceptable risk. Must be resolved before proceeding to target state design.</w:t>
            </w:r>
          </w:p>
        </w:tc>
      </w:tr>
      <w:tr>
        <w:tc>
          <w:tcPr>
            <w:tcW w:type="dxa" w:w="7569"/>
          </w:tcPr>
          <w:p>
            <w:pPr>
              <w:spacing w:before="40" w:after="40"/>
            </w:pPr>
            <w:r/>
            <w:r>
              <w:rPr>
                <w:rFonts w:ascii="Calibri" w:hAnsi="Calibri"/>
                <w:b/>
                <w:color w:val="E53E3E"/>
                <w:sz w:val="18"/>
              </w:rPr>
              <w:t>HIGH</w:t>
            </w:r>
          </w:p>
        </w:tc>
        <w:tc>
          <w:tcPr>
            <w:tcW w:type="dxa" w:w="7569"/>
          </w:tcPr>
          <w:p>
            <w:pPr>
              <w:spacing w:before="40" w:after="40"/>
            </w:pPr>
            <w:r/>
            <w:r>
              <w:rPr>
                <w:rFonts w:ascii="Calibri" w:hAnsi="Calibri"/>
                <w:sz w:val="18"/>
              </w:rPr>
              <w:t>Significant constraint that limits design options or creates material delay risk. Requires active mitigation.</w:t>
            </w:r>
          </w:p>
        </w:tc>
      </w:tr>
      <w:tr>
        <w:tc>
          <w:tcPr>
            <w:tcW w:type="dxa" w:w="7569"/>
          </w:tcPr>
          <w:p>
            <w:pPr>
              <w:spacing w:before="40" w:after="40"/>
            </w:pPr>
            <w:r/>
            <w:r>
              <w:rPr>
                <w:rFonts w:ascii="Calibri" w:hAnsi="Calibri"/>
                <w:b/>
                <w:color w:val="D69E2E"/>
                <w:sz w:val="18"/>
              </w:rPr>
              <w:t>MEDIUM</w:t>
            </w:r>
          </w:p>
        </w:tc>
        <w:tc>
          <w:tcPr>
            <w:tcW w:type="dxa" w:w="7569"/>
          </w:tcPr>
          <w:p>
            <w:pPr>
              <w:spacing w:before="40" w:after="40"/>
            </w:pPr>
            <w:r/>
            <w:r>
              <w:rPr>
                <w:rFonts w:ascii="Calibri" w:hAnsi="Calibri"/>
                <w:sz w:val="18"/>
              </w:rPr>
              <w:t>Notable constraint that needs to be managed but does not block progress. Monitor and plan around.</w:t>
            </w:r>
          </w:p>
        </w:tc>
      </w:tr>
      <w:tr>
        <w:tc>
          <w:tcPr>
            <w:tcW w:type="dxa" w:w="7569"/>
          </w:tcPr>
          <w:p>
            <w:pPr>
              <w:spacing w:before="40" w:after="40"/>
            </w:pPr>
            <w:r/>
            <w:r>
              <w:rPr>
                <w:rFonts w:ascii="Calibri" w:hAnsi="Calibri"/>
                <w:b/>
                <w:color w:val="A0AEC0"/>
                <w:sz w:val="18"/>
              </w:rPr>
              <w:t>LOW</w:t>
            </w:r>
          </w:p>
        </w:tc>
        <w:tc>
          <w:tcPr>
            <w:tcW w:type="dxa" w:w="7569"/>
          </w:tcPr>
          <w:p>
            <w:pPr>
              <w:spacing w:before="40" w:after="40"/>
            </w:pPr>
            <w:r/>
            <w:r>
              <w:rPr>
                <w:rFonts w:ascii="Calibri" w:hAnsi="Calibri"/>
                <w:sz w:val="18"/>
              </w:rPr>
              <w:t>Minor issue or legacy item. Address opportunistically.</w:t>
            </w:r>
          </w:p>
        </w:tc>
      </w:tr>
    </w:tbl>
    <w:sectPr w:rsidR="00FC693F" w:rsidRPr="0006063C" w:rsidSect="00034616">
      <w:pgSz w:w="16838" w:h="11906"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