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Adriana Lynn Hughes, PharmD, RPh, CPh</w:t>
      </w:r>
    </w:p>
    <w:p>
      <w:pPr>
        <w:spacing w:after="30"/>
        <w:jc w:val="center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Tampa Bay, FL  |  (727) 267-8937  |  adrianalhughes@gmail.com  |  adrianahughes.com</w:t>
      </w:r>
    </w:p>
    <w:p>
      <w:pPr>
        <w:pBdr>
          <w:bottom w:val="single" w:color="1B3A6B" w:sz="6" w:space="1"/>
        </w:pBdr>
        <w:spacing w:after="60" w:before="60"/>
      </w:pPr>
    </w:p>
    <w:p>
      <w:pPr>
        <w:pBdr>
          <w:bottom w:val="single" w:color="1B3A6B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Clinical pharmacist with 5+ years in managed care and health plan partnerships, with a demonstrated record of driving policy change at the PBM level through payer collaboration and advocacy. Proven record of building relationships across 7 major health plans, designing outcomes-based formulary programs, and translating clinical complexity into client-facing solutions. Deep GLP-1 utilization management expertise with a track record of driving change at the policy and practice level.</w:t>
      </w:r>
    </w:p>
    <w:p>
      <w:pPr>
        <w:pBdr>
          <w:bottom w:val="single" w:color="1B3A6B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CORE COMPETENCIES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Utilization Management  |  Formulary Education  |  GLP-1 Strategy  |  Prior Authorization Approvals  |  Relationship Building  |  Advocacy  |  Health Outcomes Analysis  |  Clinical Outcomes  |  Member Retention  |  Total Cost of Care  |  Evidence-Based Recommendations  |  Patient Education  |  Health Plans  |  Clinical Decision Support  |  Medication Management  |  Clinical Protocols  |  Insurance Authorizations  |  Formulary Management  |  Editorial Writing</w:t>
      </w:r>
    </w:p>
    <w:p>
      <w:pPr>
        <w:pBdr>
          <w:bottom w:val="single" w:color="1B3A6B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PROFESSIONAL EXPERIENCE</w:t>
      </w:r>
    </w:p>
    <w:p>
      <w:pPr>
        <w:tabs>
          <w:tab w:val="right" w:pos="9360"/>
        </w:tabs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Pharmacy Clinical Manager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March 2023 to Present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Guidewell | Sanitas Medical Centers  |  Remote + Field, FL</w:t>
      </w:r>
    </w:p>
    <w:p>
      <w:pPr>
        <w:spacing w:after="20"/>
        <w:ind w:left="240" w:hanging="240"/>
      </w:pPr>
      <w:r>
        <w:rPr>
          <w:rFonts w:ascii="Calibri" w:cs="Calibri" w:eastAsia="Calibri" w:hAnsi="Calibri"/>
          <w:color w:val="1B3A6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Developed GLP-1 patient education materials approved by both the payer and practice marketing teams, deployed across 60+ clinics. Incorporated direct-to-consumer cost navigation resources for patients facing access barriers. Strategy was adopted as CMO-signed standard policy across a 500,000+ member population.</w:t>
      </w:r>
    </w:p>
    <w:p>
      <w:pPr>
        <w:spacing w:after="20"/>
        <w:ind w:left="240" w:hanging="240"/>
      </w:pPr>
      <w:r>
        <w:rPr>
          <w:rFonts w:ascii="Calibri" w:cs="Calibri" w:eastAsia="Calibri" w:hAnsi="Calibri"/>
          <w:color w:val="1B3A6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Identified patients on non-therapeutic GLP-1 doses prescribed for extended periods of time; presented manufacturer clinical evidence to Florida Blue pharmacy team, advocating for members to advance to therapeutically effective doses, a change that was accepted and adopted into coverage policy.</w:t>
      </w:r>
    </w:p>
    <w:p>
      <w:pPr>
        <w:spacing w:after="20"/>
        <w:ind w:left="240" w:hanging="240"/>
      </w:pPr>
      <w:r>
        <w:rPr>
          <w:rFonts w:ascii="Calibri" w:cs="Calibri" w:eastAsia="Calibri" w:hAnsi="Calibri"/>
          <w:color w:val="1B3A6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Negotiated contractual prescribing reduction target from 15% to 5% to preserve clinical outcomes and avoid downstream medical costs; exceeded target, delivering $2M in drug cost savings.</w:t>
      </w:r>
    </w:p>
    <w:p>
      <w:pPr>
        <w:spacing w:after="20"/>
        <w:ind w:left="240" w:hanging="240"/>
      </w:pPr>
      <w:r>
        <w:rPr>
          <w:rFonts w:ascii="Calibri" w:cs="Calibri" w:eastAsia="Calibri" w:hAnsi="Calibri"/>
          <w:color w:val="1B3A6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Developed proactive polypharmacy intervention program validating $236,152 in combined savings (Oct 2023 to Mar 2024) across 40 provider interventions, representing 56% of the total opportunity; identified that the remaining 44% required a structural solution and advocated upstream to embed the fix at the prior authorization level, creating prevention before prescriptions are filled.</w:t>
      </w:r>
    </w:p>
    <w:p>
      <w:pPr>
        <w:spacing w:after="20"/>
        <w:ind w:left="240" w:hanging="240"/>
      </w:pPr>
      <w:r>
        <w:rPr>
          <w:rFonts w:ascii="Calibri" w:cs="Calibri" w:eastAsia="Calibri" w:hAnsi="Calibri"/>
          <w:color w:val="1B3A6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Submitted clinical findings on GLP-1/DPP-4 duplication to the American Diabetes Association; the 2026 ADA Standards of Care now include a statement addressing this duplication.</w:t>
      </w:r>
    </w:p>
    <w:p>
      <w:pPr>
        <w:spacing w:after="20"/>
        <w:ind w:left="240" w:hanging="240"/>
      </w:pPr>
      <w:r>
        <w:rPr>
          <w:rFonts w:ascii="Calibri" w:cs="Calibri" w:eastAsia="Calibri" w:hAnsi="Calibri"/>
          <w:color w:val="1B3A6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Maintained active monthly relationships with pharmacy teams across 7 major health plans including Florida Blue and UnitedHealthcare; led formulary education, PA redesign, and payer strategy discussions incorporating downstream medical cost offsets.</w:t>
      </w:r>
    </w:p>
    <w:p>
      <w:pPr>
        <w:spacing w:after="20"/>
        <w:ind w:left="240" w:hanging="240"/>
      </w:pPr>
      <w:r>
        <w:rPr>
          <w:rFonts w:ascii="Calibri" w:cs="Calibri" w:eastAsia="Calibri" w:hAnsi="Calibri"/>
          <w:color w:val="1B3A6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Built ChoiceRx, a live AI-powered formulary application deployed across Sanitas supporting 4 formularies and 2 health plan partners with real-time clinical decision support at the point of care.</w:t>
      </w:r>
    </w:p>
    <w:p>
      <w:pPr>
        <w:tabs>
          <w:tab w:val="right" w:pos="9360"/>
        </w:tabs>
        <w:spacing w:after="2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Clinical Pharmacist Program Manager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Dec 2020 to Mar 2023</w:t>
      </w:r>
    </w:p>
    <w:p>
      <w:pPr>
        <w:spacing w:after="60"/>
      </w:pPr>
      <w:r>
        <w:rPr>
          <w:rFonts w:ascii="Georgia" w:cs="Georgia" w:eastAsia="Georgia" w:hAnsi="Georgia"/>
          <w:i/>
          <w:iCs/>
          <w:color w:val="555555"/>
          <w:sz w:val="18"/>
          <w:szCs w:val="18"/>
        </w:rPr>
        <w:t xml:space="preserve">Reliance Healthcare | USF Health Taneja College of Pharmacy  |  Hillsborough &amp; Polk Counties, FL</w:t>
      </w:r>
    </w:p>
    <w:p>
      <w:pPr>
        <w:spacing w:after="20"/>
        <w:ind w:left="240" w:hanging="240"/>
      </w:pPr>
      <w:r>
        <w:rPr>
          <w:rFonts w:ascii="Calibri" w:cs="Calibri" w:eastAsia="Calibri" w:hAnsi="Calibri"/>
          <w:color w:val="1B3A6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Architected and launched a comprehensive pharmacy program across 4 clinics as part of a $1M partnership; developed collaborative practice agreements with CMO and Co-CEO enabling pharmacist-driven medication management including prescribing, initiating, and modifying treatment plans.</w:t>
      </w:r>
    </w:p>
    <w:p>
      <w:pPr>
        <w:spacing w:after="20"/>
        <w:ind w:left="240" w:hanging="240"/>
      </w:pPr>
      <w:r>
        <w:rPr>
          <w:rFonts w:ascii="Calibri" w:cs="Calibri" w:eastAsia="Calibri" w:hAnsi="Calibri"/>
          <w:color w:val="1B3A6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Built and maintained payer relationships with Humana, Devoted Health, CarePlus, Freedom Health, Optimum Health, and Simply Healthcare; conducted monthly touchpoints on practice performance, formulary adherence, and HEDIS/Stars quality metrics.</w:t>
      </w:r>
    </w:p>
    <w:p>
      <w:pPr>
        <w:spacing w:after="20"/>
        <w:ind w:left="240" w:hanging="240"/>
      </w:pPr>
      <w:r>
        <w:rPr>
          <w:rFonts w:ascii="Calibri" w:cs="Calibri" w:eastAsia="Calibri" w:hAnsi="Calibri"/>
          <w:color w:val="1B3A6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Independently negotiated and contracted OutcomesMTM, bringing USF faculty and students to deliver MTM services to Reliance patients, creating a new clinical service line and revenue stream.</w:t>
      </w:r>
    </w:p>
    <w:p>
      <w:pPr>
        <w:spacing w:after="20"/>
        <w:ind w:left="240" w:hanging="240"/>
      </w:pPr>
      <w:r>
        <w:rPr>
          <w:rFonts w:ascii="Calibri" w:cs="Calibri" w:eastAsia="Calibri" w:hAnsi="Calibri"/>
          <w:color w:val="1B3A6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Delivered formulary and benefit design education to providers and clinical staff; performed patient assessments, lifestyle counseling, and drug therapy modifications under collaborative practice authority.</w:t>
      </w:r>
    </w:p>
    <w:p>
      <w:pPr>
        <w:pBdr>
          <w:bottom w:val="single" w:color="1B3A6B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b/>
          <w:bCs/>
          <w:color w:val="1a1a1a"/>
          <w:sz w:val="18"/>
          <w:szCs w:val="18"/>
        </w:rPr>
        <w:t xml:space="preserve">Doctor of Pharmacy (PharmD), </w:t>
      </w:r>
      <w:r>
        <w:rPr>
          <w:rFonts w:ascii="Calibri" w:cs="Calibri" w:eastAsia="Calibri" w:hAnsi="Calibri"/>
          <w:color w:val="1a1a1a"/>
          <w:sz w:val="18"/>
          <w:szCs w:val="18"/>
        </w:rPr>
        <w:t xml:space="preserve">Summa Cum Laude  |  University of South Florida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May 2019</w:t>
      </w:r>
    </w:p>
    <w:p>
      <w:pPr>
        <w:spacing w:after="40"/>
      </w:pPr>
      <w:r>
        <w:rPr>
          <w:rFonts w:ascii="Georgia" w:cs="Georgia" w:eastAsia="Georgia" w:hAnsi="Georgia"/>
          <w:i/>
          <w:iCs/>
          <w:color w:val="555555"/>
          <w:sz w:val="17"/>
          <w:szCs w:val="17"/>
        </w:rPr>
        <w:t xml:space="preserve">Concentration: Pharmacy and Health Education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color w:val="1a1a1a"/>
          <w:sz w:val="18"/>
          <w:szCs w:val="18"/>
        </w:rPr>
        <w:t xml:space="preserve">Bachelor of Science, Biology  |  University of Florida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	May 2015</w:t>
      </w:r>
    </w:p>
    <w:p>
      <w:pPr>
        <w:pBdr>
          <w:bottom w:val="single" w:color="1B3A6B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LICENSURE &amp; CERTIFICATIONS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Registered Pharmacist, FL #59317  |  Consultant Pharmacist, FL #9030  |  Pharmacy Revenue Cycle Certificate, ASHP (2024)  |  Collaborative Practice Certification, UF (2021)</w:t>
      </w:r>
    </w:p>
    <w:p>
      <w:pPr>
        <w:pBdr>
          <w:bottom w:val="single" w:color="1B3A6B" w:sz="4" w:space="1"/>
        </w:pBdr>
        <w:spacing w:after="40" w:before="100"/>
      </w:pPr>
      <w:r>
        <w:rPr>
          <w:rFonts w:ascii="Calibri" w:cs="Calibri" w:eastAsia="Calibri" w:hAnsi="Calibri"/>
          <w:b/>
          <w:bCs/>
          <w:color w:val="1B3A6B"/>
          <w:sz w:val="20"/>
          <w:szCs w:val="20"/>
        </w:rPr>
        <w:t xml:space="preserve">SELECTED PUBLICATIONS</w:t>
      </w:r>
    </w:p>
    <w:p>
      <w:pPr>
        <w:spacing w:after="2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Multiple editorial articles in </w:t>
      </w:r>
      <w:r>
        <w:rPr>
          <w:rFonts w:ascii="Calibri" w:cs="Calibri" w:eastAsia="Calibri" w:hAnsi="Calibri"/>
          <w:i/>
          <w:iCs/>
          <w:color w:val="1a1a1a"/>
          <w:sz w:val="17"/>
          <w:szCs w:val="17"/>
        </w:rPr>
        <w:t xml:space="preserve">Pharmacy Times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, 2016 to 2019.</w:t>
      </w:r>
    </w:p>
    <w:p>
      <w:pPr>
        <w:spacing w:after="2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Ad Hoc Peer Reviewer, </w:t>
      </w:r>
      <w:r>
        <w:rPr>
          <w:rFonts w:ascii="Calibri" w:cs="Calibri" w:eastAsia="Calibri" w:hAnsi="Calibri"/>
          <w:i/>
          <w:iCs/>
          <w:color w:val="1a1a1a"/>
          <w:sz w:val="17"/>
          <w:szCs w:val="17"/>
        </w:rPr>
        <w:t xml:space="preserve">Hospital Pharmacy</w:t>
      </w:r>
      <w:r>
        <w:rPr>
          <w:rFonts w:ascii="Calibri" w:cs="Calibri" w:eastAsia="Calibri" w:hAnsi="Calibri"/>
          <w:color w:val="1a1a1a"/>
          <w:sz w:val="17"/>
          <w:szCs w:val="17"/>
        </w:rPr>
        <w:t xml:space="preserve">.</w:t>
      </w:r>
    </w:p>
    <w:p>
      <w:pPr>
        <w:spacing w:after="20"/>
      </w:pPr>
      <w:r>
        <w:rPr>
          <w:rFonts w:ascii="Calibri" w:cs="Calibri" w:eastAsia="Calibri" w:hAnsi="Calibri"/>
          <w:color w:val="1a1a1a"/>
          <w:sz w:val="17"/>
          <w:szCs w:val="17"/>
        </w:rPr>
        <w:t xml:space="preserve">Cited as clinical reference in doctoral dissertation on medication reconciliation, Dr. Sharon L. Konrad, DNP.</w:t>
      </w:r>
    </w:p>
    <w:sectPr>
      <w:pgSz w:w="12240" w:h="15840" w:orient="portrait"/>
      <w:pgMar w:top="500" w:right="800" w:bottom="5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2026-05-26T23:49:03.319Z</dcterms:created>
  <dcterms:modified xsi:type="dcterms:W3CDTF">2026-05-26T23:49:03.320Z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