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Normativa Extendida y Rigurosa de Seguridad en Comunicaciones IngeNova</w:t>
      </w:r>
    </w:p>
    <w:p>
      <w:pPr>
        <w:pStyle w:val="Heading1"/>
      </w:pPr>
      <w:r>
        <w:t>1. Política de Redundancia de Fibra Óptica (Diversidad de Rutas)</w:t>
      </w:r>
    </w:p>
    <w:p>
      <w:r>
        <w:t>Es mandato crítico que todo edificio del datacenter cuente con al menos dos acometidas de fibra óptica separadas y 100% aisladas. Estas acometidas deben entrar por puntos geográficamente y físicamente opuestos del recinto (por ejemplo, entrada Norte y entrada Sur). Las cámaras de registro exteriores deben contar con una separación de seguridad de al menos 50 metros y usar canalizaciones diferentes. Cualquier trazado que comparta conducto o túnel con otra operadora por más de 10 metros se considera un Single Point of Failure (SPOF) inaceptable.</w:t>
      </w:r>
    </w:p>
    <w:p>
      <w:pPr>
        <w:pStyle w:val="Heading1"/>
      </w:pPr>
      <w:r>
        <w:t>2. Cifrado Estricto del Tráfico Management (OOBM)</w:t>
      </w:r>
    </w:p>
    <w:p>
      <w:r>
        <w:t>El tráfico de gestión interna o Out-of-Band Management (OOBM) debe viajar por una VLAN estática e independiente de la de producción (VLAN 99 o superior). Cualquier acceso de los ingenieros NOC debe estar fuertemente cifrado mediante túneles IPsec de alta entropía y protocolos de encapsulado como SSH v2 con encriptación RSA 2048 o superior. Se deniega de forma explícita toda interconexión remota basada en texto plano (Telnet, FTP original o HTTP clásico) para la gestión del equipamiento activo como firewalls o switches Core.</w:t>
      </w:r>
    </w:p>
    <w:p>
      <w:pPr>
        <w:pStyle w:val="Heading1"/>
      </w:pPr>
      <w:r>
        <w:t>3. Defensa en Profundidad y Mitigación de DDoS</w:t>
      </w:r>
    </w:p>
    <w:p>
      <w:r>
        <w:t>Para salvaguardar la resiliencia en red pública, debe desplegarse un sistema integral de mitigación frente a ataques de Denegación de Servicio Distribuido (DDoS). Este appliance perimetral tendrá capacidad de deep packet inspection con filtrado en capa 4 (TCP/UDP) y capa 7 (HTTP/HTTPS/DNS). El umbral de absorción endógeno (mitigación on-premise) será de al menos 100 Gbps, procediendo, si el tráfico malicioso lo supera, con el enrutamiento automático Anycast hacia los scrubbers de cloud para limpieza masiva a nivel ISP.</w:t>
      </w:r>
    </w:p>
    <w:p>
      <w:pPr>
        <w:pStyle w:val="Heading1"/>
      </w:pPr>
      <w:r>
        <w:t>4. Seguridad y Política de Segmentación Punteada en Meet-Me-Room (MMR)</w:t>
      </w:r>
    </w:p>
    <w:p>
      <w:r>
        <w:t>En lo respectivo a la Meet-Me-Room, lugar físico donde convergen operadores telco y los enlaces a los clientes, deberá prohibirse cualquier empalme o fusión descontrolado. Toda conexión será tipo Cross-Connect mediante puentes ópticos pasivos controlados exclusivamente por staff de IngeNova y registrados en el inventario DCIM con la etiqueta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