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93B"/>
          <w:sz w:val="40"/>
          <w:szCs w:val="40"/>
        </w:rPr>
        <w:t xml:space="preserve">KNUST Programme Cut-Off Points</w:t>
      </w:r>
    </w:p>
    <w:p>
      <w:pPr>
        <w:spacing w:after="60"/>
      </w:pPr>
      <w:r>
        <w:rPr>
          <w:i/>
          <w:iCs/>
          <w:color w:val="475569"/>
          <w:sz w:val="24"/>
          <w:szCs w:val="24"/>
        </w:rPr>
        <w:t xml:space="preserve">Science, Engineering &amp; Health Sciences — 2025/2026 Admissions</w:t>
      </w:r>
    </w:p>
    <w:p>
      <w:pPr>
        <w:pBdr>
          <w:bottom w:val="single" w:color="7C3AED" w:sz="6" w:space="8"/>
        </w:pBdr>
        <w:spacing w:after="300"/>
      </w:pPr>
      <w:r>
        <w:rPr>
          <w:b/>
          <w:bCs/>
          <w:color w:val="7C3AED"/>
          <w:sz w:val="20"/>
          <w:szCs w:val="20"/>
        </w:rPr>
        <w:t xml:space="preserve">Extracted for Atlas — Adaptive Learning &amp; Programme Recommendation System</w:t>
      </w:r>
    </w:p>
    <w:p>
      <w:pPr>
        <w:spacing w:after="320"/>
      </w:pPr>
      <w:r>
        <w:rPr>
          <w:color w:val="334155"/>
          <w:sz w:val="20"/>
          <w:szCs w:val="20"/>
        </w:rPr>
        <w:t xml:space="preserve">This document lists KNUST undergraduate programmes falling under the Science, Engineering, and Health Sciences fields, extracted from the 2025/2026 admissions cut-off points. Business, Arts, Law, Social Science, Education, Built Environment, Agriculture, Technology (non-engineering), Diploma, Distance, and Evening programmes have been excluded. Duplicate campus listings (e.g. Obuasi Campus variants) have been consolidated, keeping the Main Campus entry where one exists.</w:t>
      </w:r>
    </w:p>
    <w:p>
      <w:pPr>
        <w:pStyle w:val="Heading1"/>
        <w:pBdr>
          <w:bottom w:val="single" w:color="DC2626" w:sz="4" w:space="4"/>
        </w:pBdr>
        <w:spacing w:after="120" w:before="200"/>
      </w:pPr>
      <w:r>
        <w:rPr>
          <w:b/>
          <w:bCs/>
          <w:color w:val="DC2626"/>
          <w:sz w:val="28"/>
          <w:szCs w:val="28"/>
        </w:rPr>
        <w:t xml:space="preserve">Health Sciences</w:t>
      </w:r>
      <w:r>
        <w:rPr>
          <w:i/>
          <w:iCs/>
          <w:color w:val="64748B"/>
          <w:sz w:val="20"/>
          <w:szCs w:val="20"/>
        </w:rPr>
        <w:t xml:space="preserve">  (14 programmes)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5200"/>
        <w:gridCol w:w="1400"/>
        <w:gridCol w:w="1600"/>
        <w:gridCol w:w="1300"/>
      </w:tblGrid>
      <w:tr>
        <w:trPr>
          <w:tblHeader/>
        </w:trPr>
        <w:tc>
          <w:tcPr>
            <w:tcW w:type="dxa" w:w="52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14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Cut-Off</w:t>
            </w:r>
          </w:p>
        </w:tc>
        <w:tc>
          <w:tcPr>
            <w:tcW w:type="dxa" w:w="16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  <w:tc>
          <w:tcPr>
            <w:tcW w:type="dxa" w:w="13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Human Biology (Medicine)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of Pharmacy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MBChB Medicine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Physician Assistantship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Dental Surgery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Nursing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Medical Laboratory Sciences (Obuasi Campus)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DVM Veterinary Medicine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Medical Imaging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Medical Laboratory Technology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Physiotherapy and Sports Science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Herbal Medicine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Midwifery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Disability and Rehabilitation Studies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563EB" w:sz="4" w:space="4"/>
        </w:pBdr>
        <w:spacing w:after="120" w:before="200"/>
      </w:pPr>
      <w:r>
        <w:rPr>
          <w:b/>
          <w:bCs/>
          <w:color w:val="2563EB"/>
          <w:sz w:val="28"/>
          <w:szCs w:val="28"/>
        </w:rPr>
        <w:t xml:space="preserve">Engineering</w:t>
      </w:r>
      <w:r>
        <w:rPr>
          <w:i/>
          <w:iCs/>
          <w:color w:val="64748B"/>
          <w:sz w:val="20"/>
          <w:szCs w:val="20"/>
        </w:rPr>
        <w:t xml:space="preserve">  (16 programmes)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5200"/>
        <w:gridCol w:w="1400"/>
        <w:gridCol w:w="1600"/>
        <w:gridCol w:w="1300"/>
      </w:tblGrid>
      <w:tr>
        <w:trPr>
          <w:tblHeader/>
        </w:trPr>
        <w:tc>
          <w:tcPr>
            <w:tcW w:type="dxa" w:w="52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14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Cut-Off</w:t>
            </w:r>
          </w:p>
        </w:tc>
        <w:tc>
          <w:tcPr>
            <w:tcW w:type="dxa" w:w="16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  <w:tc>
          <w:tcPr>
            <w:tcW w:type="dxa" w:w="13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Biomedical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Electrical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Aerospace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Computer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Chemical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Civil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Mechanical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Petroleum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Telecommunication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Automobile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Geological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Geomatic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Marine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Industrial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Materials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Metallurgical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6A34A" w:sz="4" w:space="4"/>
        </w:pBdr>
        <w:spacing w:after="120" w:before="200"/>
      </w:pPr>
      <w:r>
        <w:rPr>
          <w:b/>
          <w:bCs/>
          <w:color w:val="16A34A"/>
          <w:sz w:val="28"/>
          <w:szCs w:val="28"/>
        </w:rPr>
        <w:t xml:space="preserve">Science</w:t>
      </w:r>
      <w:r>
        <w:rPr>
          <w:i/>
          <w:iCs/>
          <w:color w:val="64748B"/>
          <w:sz w:val="20"/>
          <w:szCs w:val="20"/>
        </w:rPr>
        <w:t xml:space="preserve">  (17 programmes)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5200"/>
        <w:gridCol w:w="1400"/>
        <w:gridCol w:w="1600"/>
        <w:gridCol w:w="1300"/>
      </w:tblGrid>
      <w:tr>
        <w:trPr>
          <w:tblHeader/>
        </w:trPr>
        <w:tc>
          <w:tcPr>
            <w:tcW w:type="dxa" w:w="52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14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Cut-Off</w:t>
            </w:r>
          </w:p>
        </w:tc>
        <w:tc>
          <w:tcPr>
            <w:tcW w:type="dxa" w:w="16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  <w:tc>
          <w:tcPr>
            <w:tcW w:type="dxa" w:w="1300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Optometry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Land Economy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Petrochemical Engineering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Biochemistry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Actuarial Science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Computer Science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Food Science and Technology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Agricultural Engineering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Chemistry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Statistics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Environmental Science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Biological Sciences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Mathematics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Agricultural Biotechnology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Meteorology and Climate Science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Physics</w:t>
            </w:r>
          </w:p>
        </w:tc>
        <w:tc>
          <w:tcPr>
            <w:tcW w:type="dxa" w:w="14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Sport and Exercise Science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</w:tr>
    </w:tbl>
    <w:p>
      <w:pPr>
        <w:spacing w:after="240"/>
      </w:pPr>
    </w:p>
    <w:p>
      <w:pPr>
        <w:spacing w:before="200"/>
      </w:pPr>
      <w:r>
        <w:rPr>
          <w:i/>
          <w:iCs/>
          <w:color w:val="94A3B8"/>
          <w:sz w:val="16"/>
          <w:szCs w:val="16"/>
        </w:rPr>
        <w:t xml:space="preserve">Source: KNUST admissions cut-off aggregates, 2025/2026 cycle. Cut-off points reflect recent admission cycles and may shift slightly year to year based on applicant volume. Lower cut-off values indicate higher competitiveness.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2026-07-20T13:14:45.235Z</dcterms:created>
  <dcterms:modified xsi:type="dcterms:W3CDTF">2026-07-20T13:14:45.246Z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