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avitabile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(e.g. Cuni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(asner)</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WorldClim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National Commission of Biodiversity (CONABIO) GeoPortal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Lorey’s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correctTaxo function in</w:t>
      </w:r>
      <w:r w:rsidR="00AF5B8C">
        <w:t xml:space="preserve"> R package BIOMASS (</w:t>
      </w:r>
      <w:r w:rsidR="00F66BB2" w:rsidRPr="00D70173">
        <w:t>Réjou‐Méchain</w:t>
      </w:r>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Chave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except for Chave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BIOMASS::getWoodDensity</w:t>
      </w:r>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r w:rsidR="00B23B61">
        <w:t>AGBmonteCarlo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Chave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A22A11"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r w:rsidR="003B3E22">
        <w:rPr>
          <w:i/>
          <w:iCs/>
        </w:rPr>
        <w:t>i</w:t>
      </w:r>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r w:rsidR="004628C2" w:rsidRPr="004628C2">
        <w:rPr>
          <w:i/>
          <w:iCs/>
        </w:rPr>
        <w:t>H</w:t>
      </w:r>
      <w:r w:rsidR="004628C2">
        <w:t xml:space="preserve"> at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from Wor</w:t>
      </w:r>
      <w:r w:rsidR="00A42F66">
        <w:rPr>
          <w:rStyle w:val="textlayer--absolute"/>
          <w:rFonts w:cstheme="minorHAnsi"/>
        </w:rPr>
        <w:t xml:space="preserve">ldClim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nbclust)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(Velasco-Murguía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r w:rsidR="008E6906" w:rsidRPr="008E6906">
        <w:rPr>
          <w:i/>
          <w:iCs/>
        </w:rPr>
        <w:t>minSS</w:t>
      </w:r>
      <w:r w:rsidR="008E6906">
        <w:t xml:space="preserve"> is the minimum possible </w:t>
      </w:r>
      <w:r w:rsidR="00696FD0" w:rsidRPr="00296D9D">
        <w:rPr>
          <w:i/>
          <w:iCs/>
        </w:rPr>
        <w:t>SS</w:t>
      </w:r>
      <w:r w:rsidR="008E6906">
        <w:t xml:space="preserve"> value present in a site and </w:t>
      </w:r>
      <w:r w:rsidR="008E6906" w:rsidRPr="008E6906">
        <w:rPr>
          <w:i/>
          <w:iCs/>
        </w:rPr>
        <w:t>maxSS</w:t>
      </w:r>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r w:rsidR="008E6906" w:rsidRPr="008E6906">
        <w:rPr>
          <w:i/>
          <w:iCs/>
        </w:rPr>
        <w:t>minSS</w:t>
      </w:r>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r w:rsidR="008E6906" w:rsidRPr="008E6906">
        <w:rPr>
          <w:i/>
          <w:iCs/>
        </w:rPr>
        <w:t>maxSS</w:t>
      </w:r>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FC20BA" w:rsidRPr="00542864">
        <w:rPr>
          <w:highlight w:val="yellow"/>
        </w:rPr>
        <w:t>XPerfectoXVandermeerXEtc</w:t>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r w:rsidR="00A40048">
        <w:rPr>
          <w:rStyle w:val="textlayer--absolute"/>
          <w:rFonts w:cstheme="minorHAnsi"/>
        </w:rPr>
        <w:t>Jardel-Pelaez, et al., 2014</w:t>
      </w:r>
      <w:r w:rsidR="00521D5D">
        <w:rPr>
          <w:rStyle w:val="textlayer--absolute"/>
          <w:rFonts w:cstheme="minorHAnsi"/>
        </w:rPr>
        <w:t>; Scatena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(asner), in others, </w:t>
      </w:r>
      <w:r w:rsidR="003E71B7">
        <w:t xml:space="preserve">basal area and </w:t>
      </w:r>
      <w:r w:rsidR="0086797F">
        <w:t>the density of very large trees play</w:t>
      </w:r>
      <w:r w:rsidR="006A2513">
        <w:t xml:space="preserve"> </w:t>
      </w:r>
      <w:r w:rsidR="0086797F">
        <w:t>a larger role in explaining AGB distribution (cuni).</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Cuni-Sanchez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55D51979" w:rsidR="00530B74" w:rsidRDefault="00530B74" w:rsidP="00530B74">
      <w:r>
        <w:t>To understand the relationship between AGB and tree diversity in TMCF, we performed a series of nonparametric regression analys</w:t>
      </w:r>
      <w:r w:rsidR="00855752">
        <w:t>e</w:t>
      </w:r>
      <w:r>
        <w:t xml:space="preserve">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w:t>
      </w:r>
      <w:r w:rsidR="00BC1BA6">
        <w:t>p</w:t>
      </w:r>
      <w:r w:rsidR="000C1737">
        <w:t xml:space="preserve">lots (n= 160) </w:t>
      </w:r>
      <w:r w:rsidR="00BC1BA6">
        <w:t xml:space="preserve">and sites (n = 40) </w:t>
      </w:r>
      <w:r>
        <w:t xml:space="preserve">fitting </w:t>
      </w:r>
      <w:r w:rsidR="00B53E7F">
        <w:t>loess</w:t>
      </w:r>
      <w:r>
        <w:t xml:space="preserve"> curves.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to Tredennick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7E96EAF0" w14:textId="7E6EAACA" w:rsidR="00D311D0" w:rsidRDefault="00F30F93" w:rsidP="00F30F93">
      <w:r>
        <w:t xml:space="preserve">We found a total of 148 tree species in the region, being </w:t>
      </w:r>
      <w:r w:rsidRPr="00620EF1">
        <w:rPr>
          <w:i/>
          <w:iCs/>
        </w:rPr>
        <w:t>Quercus</w:t>
      </w:r>
      <w:r>
        <w:t xml:space="preserve">, </w:t>
      </w:r>
      <w:r w:rsidRPr="00620EF1">
        <w:rPr>
          <w:i/>
          <w:iCs/>
        </w:rPr>
        <w:t>Saurauia</w:t>
      </w:r>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0.3 (</w:t>
      </w:r>
      <w:r w:rsidRPr="00666CEE">
        <w:rPr>
          <w:highlight w:val="cyan"/>
        </w:rPr>
        <w:t>Figure S2</w:t>
      </w:r>
      <w:r>
        <w:t xml:space="preserve">). We addressed this issue using nonparametric regressions, where linearity is not assumed. Using Shannon diversity index (H) and species richness (S), we found that </w:t>
      </w:r>
      <w:r w:rsidR="00B54EE7">
        <w:t xml:space="preserve">at site level H </w:t>
      </w:r>
      <w:r w:rsidR="00E547BC">
        <w:t xml:space="preserve">is very variable and does not have a clear relationship with AGB. </w:t>
      </w:r>
      <w:r w:rsidR="00B54EE7">
        <w:t>S</w:t>
      </w:r>
      <w:r w:rsidR="00E547BC">
        <w:t>, on the other hand,</w:t>
      </w:r>
      <w:r>
        <w:t xml:space="preserve"> increases with AGB until sites reach approximately 200 Mg ha</w:t>
      </w:r>
      <w:r w:rsidRPr="00560246">
        <w:rPr>
          <w:vertAlign w:val="superscript"/>
        </w:rPr>
        <w:t>-1</w:t>
      </w:r>
      <w:r>
        <w:rPr>
          <w:vertAlign w:val="superscript"/>
        </w:rPr>
        <w:t xml:space="preserve"> </w:t>
      </w:r>
      <w:r w:rsidR="00E547BC">
        <w:t>and then decreases at higher AGB values (</w:t>
      </w:r>
      <w:r w:rsidR="00B54EE7" w:rsidRPr="00726034">
        <w:rPr>
          <w:highlight w:val="cyan"/>
        </w:rPr>
        <w:t>Figure</w:t>
      </w:r>
      <w:r w:rsidRPr="00726034">
        <w:rPr>
          <w:highlight w:val="cyan"/>
        </w:rPr>
        <w:t xml:space="preserve"> </w:t>
      </w:r>
      <w:r w:rsidR="00726034">
        <w:rPr>
          <w:highlight w:val="cyan"/>
        </w:rPr>
        <w:t>5</w:t>
      </w:r>
      <w:r w:rsidR="00B54EE7" w:rsidRPr="00726034">
        <w:rPr>
          <w:highlight w:val="cyan"/>
        </w:rPr>
        <w:t xml:space="preserve">a and </w:t>
      </w:r>
      <w:r w:rsidR="00726034">
        <w:rPr>
          <w:highlight w:val="cyan"/>
        </w:rPr>
        <w:t>5</w:t>
      </w:r>
      <w:r w:rsidRPr="00726034">
        <w:rPr>
          <w:highlight w:val="cyan"/>
        </w:rPr>
        <w:t>b</w:t>
      </w:r>
      <w:r w:rsidRPr="002353C5">
        <w:t>)</w:t>
      </w:r>
      <w:r>
        <w:t xml:space="preserve">. </w:t>
      </w:r>
      <w:r w:rsidR="001C0375">
        <w:t>Thus, s</w:t>
      </w:r>
      <w:r>
        <w:t>ites with more than 200 Mg ha</w:t>
      </w:r>
      <w:r w:rsidRPr="00560246">
        <w:rPr>
          <w:vertAlign w:val="superscript"/>
        </w:rPr>
        <w:t>-1</w:t>
      </w:r>
      <w:r>
        <w:t xml:space="preserve"> tend to show </w:t>
      </w:r>
      <w:r w:rsidR="001C0375">
        <w:t>lower tree diversity</w:t>
      </w:r>
      <w:r>
        <w:t xml:space="preserve">. This probably occurs in forests where large dominant trees </w:t>
      </w:r>
      <w:r>
        <w:rPr>
          <w:rFonts w:cstheme="minorHAnsi"/>
        </w:rPr>
        <w:t>─</w:t>
      </w:r>
      <w:r>
        <w:t>which are the main contributors to total AGB</w:t>
      </w:r>
      <w:r>
        <w:rPr>
          <w:rFonts w:cstheme="minorHAnsi"/>
        </w:rPr>
        <w:t xml:space="preserve">─ </w:t>
      </w:r>
      <w:r>
        <w:t>are more abundant, decreasing evenness and diversity in a site.</w:t>
      </w:r>
    </w:p>
    <w:p w14:paraId="15EB5959" w14:textId="17DF701E" w:rsidR="00F30F93" w:rsidRDefault="00F30F93" w:rsidP="00D311D0">
      <w:pPr>
        <w:ind w:firstLine="720"/>
      </w:pPr>
      <w:r>
        <w:t xml:space="preserve">When we analyzed the relationship between AGB and tree diversity at plot level, we found a </w:t>
      </w:r>
      <w:r w:rsidR="001C0375">
        <w:t xml:space="preserve">clearer relationship between H and AGB, and a </w:t>
      </w:r>
      <w:r>
        <w:t xml:space="preserve">similar trend than </w:t>
      </w:r>
      <w:r w:rsidR="001C0375">
        <w:t xml:space="preserve">S </w:t>
      </w:r>
      <w:r>
        <w:t>at site level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In both cases, tree diversity increases until reaching a point (at about 200 Mg ha-1) where diversity tends to decrease at higher AGB values. Th</w:t>
      </w:r>
      <w:r w:rsidR="00D311D0">
        <w:t xml:space="preserve">e analysis at plot level also </w:t>
      </w:r>
      <w:r w:rsidR="001C0375">
        <w:t xml:space="preserve">shows a trend between </w:t>
      </w:r>
      <w:r w:rsidR="00D311D0">
        <w:t>AGB and tree diversity over different successional stages. Tree</w:t>
      </w:r>
      <w:r>
        <w:t xml:space="preserve"> diversity increases </w:t>
      </w:r>
      <w:r w:rsidR="00D311D0">
        <w:t>in plots going from young fallows to young forests, but it</w:t>
      </w:r>
      <w:r>
        <w:t xml:space="preserve"> slightly decreases in mature forests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03320923"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 xml:space="preserve">large amounts of AGB-comparable to those found in lowland tropical forests-have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0338C9">
        <w:t>However, tropical montane forests are less well-known and more difficult to study using remote sensing techniques</w:t>
      </w:r>
      <w:r w:rsidR="001F1ECC">
        <w:t xml:space="preserve"> (Refs)</w:t>
      </w:r>
      <w:r w:rsidR="000338C9">
        <w:t>.</w:t>
      </w:r>
      <w:r w:rsidR="001F1ECC">
        <w:t xml:space="preserve"> Besides the variability imposed by the rugged terrain of tropical mountains, </w:t>
      </w:r>
      <w:r w:rsidR="004921C3">
        <w:t xml:space="preserve">AGB is highly </w:t>
      </w:r>
      <w:r w:rsidR="00752CDF">
        <w:t>influenced</w:t>
      </w:r>
      <w:r w:rsidR="004921C3">
        <w:t xml:space="preserve"> by land use</w:t>
      </w:r>
      <w:r w:rsidR="009A7289">
        <w:t xml:space="preserve"> </w:t>
      </w:r>
      <w:r w:rsidR="009A7289">
        <w:fldChar w:fldCharType="begin" w:fldLock="1"/>
      </w:r>
      <w:r w:rsidR="009A7289">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rsidR="009A7289">
        <w:fldChar w:fldCharType="separate"/>
      </w:r>
      <w:r w:rsidR="009A7289" w:rsidRPr="009A7289">
        <w:rPr>
          <w:noProof/>
        </w:rPr>
        <w:t>(Cartus et al., 2014)</w:t>
      </w:r>
      <w:r w:rsidR="009A7289">
        <w:fldChar w:fldCharType="end"/>
      </w:r>
      <w:r w:rsidR="004921C3">
        <w:t xml:space="preserve">. </w:t>
      </w:r>
      <w:r w:rsidR="00E97970">
        <w:t>In Mexico, TMCF cover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 xml:space="preserve">in </w:t>
      </w:r>
      <w:r w:rsidR="000405C7">
        <w:t>these forests</w:t>
      </w:r>
      <w:r w:rsidR="000405C7">
        <w:t xml:space="preserve"> (refs).</w:t>
      </w:r>
      <w:r w:rsidR="00E97970">
        <w:t xml:space="preserve"> </w:t>
      </w:r>
      <w:r w:rsidR="001F4B95">
        <w:t xml:space="preserve">Here, </w:t>
      </w:r>
      <w:r w:rsidR="009A7289">
        <w:t xml:space="preserve">using the Mexican Forest Inventory (2009-2014),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143A5C">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5F584D67" w14:textId="2B2C728F" w:rsidR="009B3484" w:rsidRPr="00F526A5" w:rsidRDefault="009B3484">
      <w:r>
        <w:tab/>
      </w:r>
      <w:r w:rsidR="00990D49">
        <w:t xml:space="preserve">The studied sites </w:t>
      </w:r>
      <w:r w:rsidR="00AE59CA">
        <w:t>are heterogeneous landscapes where forest patches are interspersed with agricultural and grazing lands</w:t>
      </w:r>
      <w:r w:rsidR="00305E64">
        <w:t xml:space="preserve">, as commonly found in tropical forests (Refs). </w:t>
      </w:r>
      <w:r w:rsidR="00AE59CA">
        <w:t xml:space="preserve">Thus, sites show a variety of landscape compositions from those dominated by mature forest to those mostly covered by young fallows and agricultural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 xml:space="preserve">within the range found by Spracklen and Righelto () for </w:t>
      </w:r>
      <w:r w:rsidR="00EA56E2">
        <w:t>TMCF and being</w:t>
      </w:r>
      <w:r w:rsidR="009A7289">
        <w:t xml:space="preserve"> </w:t>
      </w:r>
      <w:r w:rsidR="00A74D97">
        <w:t xml:space="preserve">in line with Santoro et al’s (2021) and Avitabile et al’s </w:t>
      </w:r>
      <w:r w:rsidR="00BE7D15">
        <w:t xml:space="preserve">(2012) </w:t>
      </w:r>
      <w:r w:rsidR="00A74D97">
        <w:t xml:space="preserve">estimates for the region, but lower than </w:t>
      </w:r>
      <w:r w:rsidR="005024C4">
        <w:t xml:space="preserve">those in </w:t>
      </w:r>
      <w:r w:rsidR="00A74D97">
        <w:t xml:space="preserve">Saatchi et al’s </w:t>
      </w:r>
      <w:r w:rsidR="005024C4">
        <w:t xml:space="preserve">map </w:t>
      </w:r>
      <w:r w:rsidR="00A74D97">
        <w:t xml:space="preserve">(2011). </w:t>
      </w:r>
      <w:r w:rsidR="00752CDF">
        <w:t>This average changes in forest plots at different successional stages. In mature forest</w:t>
      </w:r>
      <w:r w:rsidR="00857429">
        <w:t xml:space="preserve"> (n= 29)</w:t>
      </w:r>
      <w:r w:rsidR="00752CDF">
        <w:t xml:space="preserve">, AGB averages </w:t>
      </w:r>
      <w:r w:rsidR="00752CDF">
        <w:t>354.86 Mg ha</w:t>
      </w:r>
      <w:r w:rsidR="00752CDF" w:rsidRPr="003D324A">
        <w:rPr>
          <w:vertAlign w:val="superscript"/>
        </w:rPr>
        <w:t>-1</w:t>
      </w:r>
      <w:r w:rsidR="00752CDF">
        <w:t xml:space="preserve"> </w:t>
      </w:r>
      <w:r w:rsidR="00752CDF">
        <w:t>which is closer to Saatchi et al’s (2011) estimate for the region</w:t>
      </w:r>
      <w:r w:rsidR="008263D7">
        <w:t xml:space="preserve"> and higher than AGB estimates</w:t>
      </w:r>
      <w:r w:rsidR="00D23817">
        <w:t xml:space="preserve"> found by Spracklen and Righleto () in neotropical TMCF (247 </w:t>
      </w:r>
      <w:r w:rsidR="00D23817">
        <w:t>Mg ha</w:t>
      </w:r>
      <w:r w:rsidR="00D23817" w:rsidRPr="003D324A">
        <w:rPr>
          <w:vertAlign w:val="superscript"/>
        </w:rPr>
        <w:t>-1</w:t>
      </w:r>
      <w:r w:rsidR="00D23817">
        <w:t>).</w:t>
      </w:r>
      <w:r w:rsidR="00DF4556">
        <w:t xml:space="preserve"> </w:t>
      </w:r>
      <w:r w:rsidR="009B5EB1">
        <w:t xml:space="preserve">In contrast, young forests (n= 62) show an average AGB of 151.69 </w:t>
      </w:r>
      <w:r w:rsidR="009B5EB1">
        <w:t>Mg ha</w:t>
      </w:r>
      <w:r w:rsidR="009B5EB1" w:rsidRPr="003D324A">
        <w:rPr>
          <w:vertAlign w:val="superscript"/>
        </w:rPr>
        <w:t>-1</w:t>
      </w:r>
      <w:r w:rsidR="009B5EB1">
        <w:t xml:space="preserve">, but some plots reach values closer to 300 </w:t>
      </w:r>
      <w:r w:rsidR="009B5EB1">
        <w:t>Mg ha</w:t>
      </w:r>
      <w:r w:rsidR="009B5EB1" w:rsidRPr="003D324A">
        <w:rPr>
          <w:vertAlign w:val="superscript"/>
        </w:rPr>
        <w:t>-1</w:t>
      </w:r>
      <w:r w:rsidR="009B5EB1" w:rsidRPr="009B5EB1">
        <w:t>.</w:t>
      </w:r>
      <w:r w:rsidR="009B5EB1">
        <w:t xml:space="preserve"> </w:t>
      </w:r>
      <w:r w:rsidR="00EA56E2">
        <w:t>Despite mature forests contain about twice as much AGB as young forests, they are less common. Thus, both forest types represent similar amounts of the total AGB measured in these sites</w:t>
      </w:r>
      <w:r w:rsidR="00511A1B">
        <w:t xml:space="preserve">. </w:t>
      </w:r>
      <w:r w:rsidR="003E1C8A">
        <w:t>This probably holds true for other TMCF in the country given XX% of this forest is in a process of secondary succession (CONAFOR).</w:t>
      </w:r>
      <w:r w:rsidR="00F526A5">
        <w:t xml:space="preserve"> AGB </w:t>
      </w:r>
      <w:r w:rsidR="00A22A11">
        <w:t>in</w:t>
      </w:r>
      <w:r w:rsidR="00F526A5">
        <w:t xml:space="preserve"> TMCF </w:t>
      </w:r>
      <w:r w:rsidR="00A22A11">
        <w:t>within</w:t>
      </w:r>
      <w:r w:rsidR="00F526A5">
        <w:t xml:space="preserve"> NMO</w:t>
      </w:r>
      <w:r w:rsidR="00A22A11">
        <w:t xml:space="preserve"> estimated here is</w:t>
      </w:r>
      <w:r w:rsidR="00F526A5">
        <w:t xml:space="preserve"> higher than the average value reported</w:t>
      </w:r>
      <w:r w:rsidR="00A22A11">
        <w:t xml:space="preserve"> in</w:t>
      </w:r>
      <w:r w:rsidR="00F526A5">
        <w:t xml:space="preserve"> </w:t>
      </w:r>
      <w:r w:rsidR="00A22A11">
        <w:t>the FI results at the national level</w:t>
      </w:r>
      <w:r w:rsidR="00F526A5">
        <w:t xml:space="preserve">, where this ecosystem </w:t>
      </w:r>
      <w:r w:rsidR="00A22A11">
        <w:t>averages</w:t>
      </w:r>
      <w:r w:rsidR="00F526A5">
        <w:t xml:space="preserve"> 75.41 </w:t>
      </w:r>
      <w:r w:rsidR="00F526A5">
        <w:t>Mg ha</w:t>
      </w:r>
      <w:r w:rsidR="00F526A5" w:rsidRPr="003D324A">
        <w:rPr>
          <w:vertAlign w:val="superscript"/>
        </w:rPr>
        <w:t>-1</w:t>
      </w:r>
      <w:r w:rsidR="00A22A11">
        <w:t xml:space="preserve">. </w:t>
      </w:r>
      <w:r w:rsidR="00F526A5">
        <w:t xml:space="preserve">It is important to note that this value does not </w:t>
      </w:r>
      <w:r w:rsidR="000068F0">
        <w:t xml:space="preserve">distinguishes forests at different successional stages, nor it considers land use intensity or other types of disturbance. </w:t>
      </w:r>
    </w:p>
    <w:p w14:paraId="277C2C0D" w14:textId="547C4003" w:rsidR="001F4B95" w:rsidRDefault="001F4B95">
      <w:pPr>
        <w:rPr>
          <w:b/>
          <w:bCs/>
        </w:rPr>
      </w:pP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large amounts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Many of the allometric equations do not include tree height (according to Spracklen, these ae could overestimate AGB).</w:t>
      </w:r>
    </w:p>
    <w:p w14:paraId="07F06698" w14:textId="60F90FF3" w:rsidR="006233E5" w:rsidRDefault="006233E5" w:rsidP="00F40B08">
      <w:pPr>
        <w:pStyle w:val="Prrafodelista"/>
        <w:numPr>
          <w:ilvl w:val="0"/>
          <w:numId w:val="3"/>
        </w:numPr>
      </w:pPr>
      <w:r>
        <w:t>Relationship between AGB and slope is very weak although it always appears in the multiple regression models</w:t>
      </w: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r>
              <w:t>Lorey’s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r>
              <w:t>Lorey’s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their structural attributes (stem density, basal area, and Lorey’s height) measured in the field</w:t>
            </w:r>
            <w:r w:rsidR="004664C4">
              <w:t>. C</w:t>
            </w:r>
            <w:r w:rsidR="00AE3C93">
              <w:t>omparison</w:t>
            </w:r>
            <w:r w:rsidR="004664C4">
              <w:t xml:space="preserve"> </w:t>
            </w:r>
            <w:r w:rsidR="00AE3C93">
              <w:t xml:space="preserve">of b) stem density, c) Lorey’s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C5FE4" w14:paraId="3904516C" w14:textId="77777777" w:rsidTr="005F7616">
        <w:tc>
          <w:tcPr>
            <w:tcW w:w="8828" w:type="dxa"/>
          </w:tcPr>
          <w:p w14:paraId="229B4073" w14:textId="3E112767" w:rsidR="008C5FE4" w:rsidRDefault="00137628" w:rsidP="005F7616">
            <w:r>
              <w:rPr>
                <w:noProof/>
              </w:rPr>
              <w:drawing>
                <wp:inline distT="0" distB="0" distL="0" distR="0" wp14:anchorId="33217D2D" wp14:editId="7BC59ED4">
                  <wp:extent cx="5612130" cy="4864100"/>
                  <wp:effectExtent l="0" t="0" r="762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8C5FE4" w14:paraId="24EC420E" w14:textId="77777777" w:rsidTr="005F7616">
        <w:tc>
          <w:tcPr>
            <w:tcW w:w="8828" w:type="dxa"/>
          </w:tcPr>
          <w:p w14:paraId="75B4674F" w14:textId="77777777" w:rsidR="008C5FE4" w:rsidRDefault="008C5FE4" w:rsidP="005F7616">
            <w:r w:rsidRPr="00137628">
              <w:t>Figure 5</w:t>
            </w:r>
            <w:r>
              <w:t xml:space="preserve">. Locally weighted regression (loess) curves (dashed gray lines) showing non-linear relationships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69EDA8BF" w:rsidR="0058516A" w:rsidRDefault="004C4A01" w:rsidP="000A5956">
            <w:pPr>
              <w:jc w:val="center"/>
            </w:pPr>
            <w:r>
              <w:rPr>
                <w:noProof/>
              </w:rPr>
              <w:drawing>
                <wp:inline distT="0" distB="0" distL="0" distR="0" wp14:anchorId="5D6F924F" wp14:editId="5E55C9FF">
                  <wp:extent cx="5612130" cy="2992755"/>
                  <wp:effectExtent l="0" t="0" r="762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1B628555"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(black lines)</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r>
              <w:t>WorldClim</w:t>
            </w:r>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r>
              <w:t>WordClim</w:t>
            </w:r>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r>
              <w:t>Lorey’s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r>
              <w:t>Lorey’s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r>
              <w:t>Plot_id</w:t>
            </w:r>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FI corrected with Taxonomic Name Resolution Service with BIOMASS function correctTaxo</w:t>
            </w:r>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Calculated with BIOMASS function getWoodDensity</w:t>
            </w:r>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r>
              <w:t>Avedaño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r>
              <w:rPr>
                <w:i/>
                <w:iCs/>
              </w:rPr>
              <w:t>Alchornea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Alnus jorullensis</w:t>
            </w:r>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r>
              <w:rPr>
                <w:i/>
                <w:iCs/>
              </w:rPr>
              <w:t>Brosimum alicastrum</w:t>
            </w:r>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Cecropia obtusifolia</w:t>
            </w:r>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r>
              <w:t>Schroth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Clethra hartwegii</w:t>
            </w:r>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Clethra mexicana</w:t>
            </w:r>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Clethra pringlei</w:t>
            </w:r>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Cordia alliodora</w:t>
            </w:r>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Cupressus lusitanica</w:t>
            </w:r>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r>
              <w:rPr>
                <w:i/>
                <w:iCs/>
              </w:rPr>
              <w:t>Dendropanax arboreus</w:t>
            </w:r>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Fraxinus uhdei</w:t>
            </w:r>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r>
              <w:rPr>
                <w:i/>
                <w:iCs/>
              </w:rPr>
              <w:t>Heliocarpus appendiculatus</w:t>
            </w:r>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Juglans olanchana</w:t>
            </w:r>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Juniperus flaccida</w:t>
            </w:r>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r>
              <w:rPr>
                <w:i/>
                <w:iCs/>
              </w:rPr>
              <w:t>Nectandra ambigens</w:t>
            </w:r>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Pinus devoniana</w:t>
            </w:r>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Pinus herrerae</w:t>
            </w:r>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r>
              <w:t>Návar,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Pinus leiophylla</w:t>
            </w:r>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r>
              <w:t>Návar,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Pinus oocarpa</w:t>
            </w:r>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Pinus patula</w:t>
            </w:r>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Pinus pseudostrobus</w:t>
            </w:r>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Quercus candicans</w:t>
            </w:r>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Quercus crassifolia</w:t>
            </w:r>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Quercus laurina</w:t>
            </w:r>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Quercus obtusata</w:t>
            </w:r>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Quercus peduncularis</w:t>
            </w:r>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Van Breugel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r>
              <w:rPr>
                <w:i/>
                <w:iCs/>
              </w:rPr>
              <w:t>Trichilia havanensis</w:t>
            </w:r>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170AEC"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r>
              <w:rPr>
                <w:i/>
                <w:iCs/>
              </w:rPr>
              <w:t>Trichospermum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r>
              <w:t>Chave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Lorey’s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r>
              <w:t>Lorey’s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Tukey HSD results in Github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Size class</w:t>
            </w:r>
            <w:r w:rsidR="004058D8">
              <w:t>:</w:t>
            </w:r>
            <w:r>
              <w:t>Successional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Size class</w:t>
            </w:r>
            <w:r w:rsidR="004058D8">
              <w:t>:</w:t>
            </w:r>
            <w:r>
              <w:t>Successional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Tukey HSD results in Github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Tukey HSD results in Github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Lorey’s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68F0"/>
    <w:rsid w:val="00010F6C"/>
    <w:rsid w:val="0001168F"/>
    <w:rsid w:val="00014DEF"/>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ED2"/>
    <w:rsid w:val="000613AA"/>
    <w:rsid w:val="00061599"/>
    <w:rsid w:val="00061CB1"/>
    <w:rsid w:val="0006402E"/>
    <w:rsid w:val="000646FD"/>
    <w:rsid w:val="0006623C"/>
    <w:rsid w:val="00066D9B"/>
    <w:rsid w:val="00070682"/>
    <w:rsid w:val="00074DD4"/>
    <w:rsid w:val="00076817"/>
    <w:rsid w:val="00077CF4"/>
    <w:rsid w:val="00081A96"/>
    <w:rsid w:val="00084241"/>
    <w:rsid w:val="00085474"/>
    <w:rsid w:val="000862AD"/>
    <w:rsid w:val="0008751F"/>
    <w:rsid w:val="0009212F"/>
    <w:rsid w:val="00093955"/>
    <w:rsid w:val="00096C48"/>
    <w:rsid w:val="000A1532"/>
    <w:rsid w:val="000A5956"/>
    <w:rsid w:val="000A7556"/>
    <w:rsid w:val="000B07DA"/>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A5C"/>
    <w:rsid w:val="00143E95"/>
    <w:rsid w:val="00147903"/>
    <w:rsid w:val="0015163A"/>
    <w:rsid w:val="00152618"/>
    <w:rsid w:val="00153894"/>
    <w:rsid w:val="00153CE5"/>
    <w:rsid w:val="00154A9F"/>
    <w:rsid w:val="001565EA"/>
    <w:rsid w:val="0016428E"/>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D03B1"/>
    <w:rsid w:val="001D1557"/>
    <w:rsid w:val="001D1DF5"/>
    <w:rsid w:val="001D415E"/>
    <w:rsid w:val="001D4FEA"/>
    <w:rsid w:val="001D7A5C"/>
    <w:rsid w:val="001F1ECC"/>
    <w:rsid w:val="001F2367"/>
    <w:rsid w:val="001F241B"/>
    <w:rsid w:val="001F34D1"/>
    <w:rsid w:val="001F4B95"/>
    <w:rsid w:val="00202681"/>
    <w:rsid w:val="00206844"/>
    <w:rsid w:val="002115D0"/>
    <w:rsid w:val="00212030"/>
    <w:rsid w:val="00220CB3"/>
    <w:rsid w:val="0022137E"/>
    <w:rsid w:val="0022570E"/>
    <w:rsid w:val="002325DA"/>
    <w:rsid w:val="00233CD4"/>
    <w:rsid w:val="002353C5"/>
    <w:rsid w:val="00243235"/>
    <w:rsid w:val="00246A0B"/>
    <w:rsid w:val="002502A4"/>
    <w:rsid w:val="0025062E"/>
    <w:rsid w:val="00253666"/>
    <w:rsid w:val="0025367A"/>
    <w:rsid w:val="00256CDE"/>
    <w:rsid w:val="0026099C"/>
    <w:rsid w:val="002647BE"/>
    <w:rsid w:val="00267417"/>
    <w:rsid w:val="002704B2"/>
    <w:rsid w:val="00270F3E"/>
    <w:rsid w:val="00275C31"/>
    <w:rsid w:val="00282B16"/>
    <w:rsid w:val="002842B6"/>
    <w:rsid w:val="002874FF"/>
    <w:rsid w:val="00292F9C"/>
    <w:rsid w:val="0029374D"/>
    <w:rsid w:val="002956E5"/>
    <w:rsid w:val="00296D9D"/>
    <w:rsid w:val="0029719A"/>
    <w:rsid w:val="002A2F6B"/>
    <w:rsid w:val="002A4996"/>
    <w:rsid w:val="002A7B9C"/>
    <w:rsid w:val="002A7FD5"/>
    <w:rsid w:val="002B0E6D"/>
    <w:rsid w:val="002B2054"/>
    <w:rsid w:val="002B3B48"/>
    <w:rsid w:val="002B3F80"/>
    <w:rsid w:val="002B56B2"/>
    <w:rsid w:val="002B6B04"/>
    <w:rsid w:val="002C61B6"/>
    <w:rsid w:val="002C7C38"/>
    <w:rsid w:val="002D042C"/>
    <w:rsid w:val="002D07BE"/>
    <w:rsid w:val="002D1380"/>
    <w:rsid w:val="002D333B"/>
    <w:rsid w:val="002D3818"/>
    <w:rsid w:val="002D4688"/>
    <w:rsid w:val="002D790C"/>
    <w:rsid w:val="002E09C8"/>
    <w:rsid w:val="002E1FB1"/>
    <w:rsid w:val="002E678B"/>
    <w:rsid w:val="002F0150"/>
    <w:rsid w:val="002F10FB"/>
    <w:rsid w:val="002F1398"/>
    <w:rsid w:val="002F1A22"/>
    <w:rsid w:val="002F46BE"/>
    <w:rsid w:val="002F65B5"/>
    <w:rsid w:val="002F6887"/>
    <w:rsid w:val="00305E64"/>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DBC"/>
    <w:rsid w:val="00385A77"/>
    <w:rsid w:val="003878AB"/>
    <w:rsid w:val="00387EE3"/>
    <w:rsid w:val="003911A0"/>
    <w:rsid w:val="00393A5E"/>
    <w:rsid w:val="0039467D"/>
    <w:rsid w:val="00396905"/>
    <w:rsid w:val="003A2A14"/>
    <w:rsid w:val="003A3660"/>
    <w:rsid w:val="003A4011"/>
    <w:rsid w:val="003A53AF"/>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1C8A"/>
    <w:rsid w:val="003E41BA"/>
    <w:rsid w:val="003E71B7"/>
    <w:rsid w:val="003F025A"/>
    <w:rsid w:val="003F0A35"/>
    <w:rsid w:val="003F58FD"/>
    <w:rsid w:val="003F7D3F"/>
    <w:rsid w:val="00400137"/>
    <w:rsid w:val="0040309B"/>
    <w:rsid w:val="004058D8"/>
    <w:rsid w:val="00407773"/>
    <w:rsid w:val="004133CA"/>
    <w:rsid w:val="00413A53"/>
    <w:rsid w:val="004158C1"/>
    <w:rsid w:val="00415A47"/>
    <w:rsid w:val="004243B7"/>
    <w:rsid w:val="004268ED"/>
    <w:rsid w:val="00431E81"/>
    <w:rsid w:val="00436AE9"/>
    <w:rsid w:val="00437350"/>
    <w:rsid w:val="004522E7"/>
    <w:rsid w:val="004539CA"/>
    <w:rsid w:val="0045599D"/>
    <w:rsid w:val="00455ACB"/>
    <w:rsid w:val="00461FED"/>
    <w:rsid w:val="00462827"/>
    <w:rsid w:val="004628C2"/>
    <w:rsid w:val="004664C4"/>
    <w:rsid w:val="004677AF"/>
    <w:rsid w:val="00467A11"/>
    <w:rsid w:val="00467A84"/>
    <w:rsid w:val="00472738"/>
    <w:rsid w:val="004742D0"/>
    <w:rsid w:val="00477AD7"/>
    <w:rsid w:val="004802E9"/>
    <w:rsid w:val="00482C2A"/>
    <w:rsid w:val="004835AE"/>
    <w:rsid w:val="004836F4"/>
    <w:rsid w:val="0048488E"/>
    <w:rsid w:val="0048621B"/>
    <w:rsid w:val="00486A20"/>
    <w:rsid w:val="00491AA6"/>
    <w:rsid w:val="004921C3"/>
    <w:rsid w:val="004A0033"/>
    <w:rsid w:val="004A19D6"/>
    <w:rsid w:val="004A3352"/>
    <w:rsid w:val="004A392D"/>
    <w:rsid w:val="004A4121"/>
    <w:rsid w:val="004A54D5"/>
    <w:rsid w:val="004A6FE9"/>
    <w:rsid w:val="004B1AB9"/>
    <w:rsid w:val="004C4A01"/>
    <w:rsid w:val="004C6BA6"/>
    <w:rsid w:val="004C7757"/>
    <w:rsid w:val="004D2629"/>
    <w:rsid w:val="004D3D5D"/>
    <w:rsid w:val="004E0150"/>
    <w:rsid w:val="004E1052"/>
    <w:rsid w:val="004E1F7D"/>
    <w:rsid w:val="004E55EF"/>
    <w:rsid w:val="004E6F8A"/>
    <w:rsid w:val="004E732D"/>
    <w:rsid w:val="004F2B59"/>
    <w:rsid w:val="004F5818"/>
    <w:rsid w:val="004F6A4D"/>
    <w:rsid w:val="005002CC"/>
    <w:rsid w:val="00501FD4"/>
    <w:rsid w:val="005024C4"/>
    <w:rsid w:val="00502BAD"/>
    <w:rsid w:val="00507854"/>
    <w:rsid w:val="00510FA9"/>
    <w:rsid w:val="00511A1B"/>
    <w:rsid w:val="00513A47"/>
    <w:rsid w:val="00514E38"/>
    <w:rsid w:val="00514FDF"/>
    <w:rsid w:val="005206CF"/>
    <w:rsid w:val="00521264"/>
    <w:rsid w:val="00521D5D"/>
    <w:rsid w:val="005253DF"/>
    <w:rsid w:val="00530B74"/>
    <w:rsid w:val="00534177"/>
    <w:rsid w:val="00536AB5"/>
    <w:rsid w:val="00537446"/>
    <w:rsid w:val="00542864"/>
    <w:rsid w:val="00543951"/>
    <w:rsid w:val="00544F3B"/>
    <w:rsid w:val="00546900"/>
    <w:rsid w:val="005476D9"/>
    <w:rsid w:val="00547F2F"/>
    <w:rsid w:val="00551691"/>
    <w:rsid w:val="00552BDF"/>
    <w:rsid w:val="00553E84"/>
    <w:rsid w:val="00555335"/>
    <w:rsid w:val="00556237"/>
    <w:rsid w:val="005565A0"/>
    <w:rsid w:val="00556B6E"/>
    <w:rsid w:val="00560246"/>
    <w:rsid w:val="00560755"/>
    <w:rsid w:val="00562158"/>
    <w:rsid w:val="00563B45"/>
    <w:rsid w:val="00572059"/>
    <w:rsid w:val="005774AC"/>
    <w:rsid w:val="0058021F"/>
    <w:rsid w:val="00583173"/>
    <w:rsid w:val="00583590"/>
    <w:rsid w:val="0058516A"/>
    <w:rsid w:val="00587623"/>
    <w:rsid w:val="0059297F"/>
    <w:rsid w:val="00596B96"/>
    <w:rsid w:val="005A034D"/>
    <w:rsid w:val="005A32CC"/>
    <w:rsid w:val="005A4A21"/>
    <w:rsid w:val="005A58D6"/>
    <w:rsid w:val="005A76F6"/>
    <w:rsid w:val="005C0A50"/>
    <w:rsid w:val="005C0D32"/>
    <w:rsid w:val="005C14CA"/>
    <w:rsid w:val="005C2160"/>
    <w:rsid w:val="005C735D"/>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3E5"/>
    <w:rsid w:val="0062564B"/>
    <w:rsid w:val="00625F72"/>
    <w:rsid w:val="00625FFB"/>
    <w:rsid w:val="0062717D"/>
    <w:rsid w:val="00627EE0"/>
    <w:rsid w:val="006311B7"/>
    <w:rsid w:val="00633651"/>
    <w:rsid w:val="00645C2E"/>
    <w:rsid w:val="006460FA"/>
    <w:rsid w:val="00650B6A"/>
    <w:rsid w:val="00651389"/>
    <w:rsid w:val="00652431"/>
    <w:rsid w:val="006554A1"/>
    <w:rsid w:val="006660A7"/>
    <w:rsid w:val="006669C3"/>
    <w:rsid w:val="00666CEE"/>
    <w:rsid w:val="00671C80"/>
    <w:rsid w:val="00675792"/>
    <w:rsid w:val="006802C9"/>
    <w:rsid w:val="00680A64"/>
    <w:rsid w:val="00683A74"/>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4786"/>
    <w:rsid w:val="006C4896"/>
    <w:rsid w:val="006C5E68"/>
    <w:rsid w:val="006C6F73"/>
    <w:rsid w:val="006D1B7B"/>
    <w:rsid w:val="006D1CD6"/>
    <w:rsid w:val="006D37FB"/>
    <w:rsid w:val="006D39A0"/>
    <w:rsid w:val="006D5BFC"/>
    <w:rsid w:val="006D66C1"/>
    <w:rsid w:val="006D748E"/>
    <w:rsid w:val="006E3054"/>
    <w:rsid w:val="006E5D26"/>
    <w:rsid w:val="006E78A9"/>
    <w:rsid w:val="006F0BD5"/>
    <w:rsid w:val="006F515E"/>
    <w:rsid w:val="006F746E"/>
    <w:rsid w:val="007031A0"/>
    <w:rsid w:val="00703F2A"/>
    <w:rsid w:val="0070419E"/>
    <w:rsid w:val="007075A0"/>
    <w:rsid w:val="00712031"/>
    <w:rsid w:val="0071486E"/>
    <w:rsid w:val="007155EC"/>
    <w:rsid w:val="0072067B"/>
    <w:rsid w:val="007222FB"/>
    <w:rsid w:val="007235DB"/>
    <w:rsid w:val="00724EDB"/>
    <w:rsid w:val="00726034"/>
    <w:rsid w:val="0072702F"/>
    <w:rsid w:val="00727EF5"/>
    <w:rsid w:val="007305F7"/>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30AC"/>
    <w:rsid w:val="00795C8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50AD1"/>
    <w:rsid w:val="008546B6"/>
    <w:rsid w:val="00855752"/>
    <w:rsid w:val="00855D6F"/>
    <w:rsid w:val="00857429"/>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C1C"/>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56D3"/>
    <w:rsid w:val="009761E9"/>
    <w:rsid w:val="0097697B"/>
    <w:rsid w:val="009770A2"/>
    <w:rsid w:val="009807DE"/>
    <w:rsid w:val="009847A8"/>
    <w:rsid w:val="009853A5"/>
    <w:rsid w:val="00990D49"/>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2A11"/>
    <w:rsid w:val="00A257D3"/>
    <w:rsid w:val="00A26B48"/>
    <w:rsid w:val="00A273CB"/>
    <w:rsid w:val="00A329E1"/>
    <w:rsid w:val="00A3554F"/>
    <w:rsid w:val="00A3578C"/>
    <w:rsid w:val="00A37B1C"/>
    <w:rsid w:val="00A40048"/>
    <w:rsid w:val="00A42C5B"/>
    <w:rsid w:val="00A42F66"/>
    <w:rsid w:val="00A446C8"/>
    <w:rsid w:val="00A463A5"/>
    <w:rsid w:val="00A55307"/>
    <w:rsid w:val="00A60886"/>
    <w:rsid w:val="00A61571"/>
    <w:rsid w:val="00A62DDA"/>
    <w:rsid w:val="00A62EB1"/>
    <w:rsid w:val="00A6370D"/>
    <w:rsid w:val="00A63BC3"/>
    <w:rsid w:val="00A6402B"/>
    <w:rsid w:val="00A66BFF"/>
    <w:rsid w:val="00A70DF0"/>
    <w:rsid w:val="00A71795"/>
    <w:rsid w:val="00A72073"/>
    <w:rsid w:val="00A73B68"/>
    <w:rsid w:val="00A74D97"/>
    <w:rsid w:val="00A80A61"/>
    <w:rsid w:val="00A80C1D"/>
    <w:rsid w:val="00A85DD8"/>
    <w:rsid w:val="00A9097A"/>
    <w:rsid w:val="00A90C28"/>
    <w:rsid w:val="00A9106E"/>
    <w:rsid w:val="00A9187E"/>
    <w:rsid w:val="00A94203"/>
    <w:rsid w:val="00A964E1"/>
    <w:rsid w:val="00A97BF9"/>
    <w:rsid w:val="00AA6C78"/>
    <w:rsid w:val="00AA77E2"/>
    <w:rsid w:val="00AB4B35"/>
    <w:rsid w:val="00AB4CBF"/>
    <w:rsid w:val="00AB5FB4"/>
    <w:rsid w:val="00AB6841"/>
    <w:rsid w:val="00AB6DD6"/>
    <w:rsid w:val="00AB7073"/>
    <w:rsid w:val="00AB7D92"/>
    <w:rsid w:val="00AC34F0"/>
    <w:rsid w:val="00AD0F17"/>
    <w:rsid w:val="00AD1844"/>
    <w:rsid w:val="00AD1D6E"/>
    <w:rsid w:val="00AD2275"/>
    <w:rsid w:val="00AD2B7D"/>
    <w:rsid w:val="00AD5E23"/>
    <w:rsid w:val="00AD65E2"/>
    <w:rsid w:val="00AD6677"/>
    <w:rsid w:val="00AE349C"/>
    <w:rsid w:val="00AE3C93"/>
    <w:rsid w:val="00AE5137"/>
    <w:rsid w:val="00AE59CA"/>
    <w:rsid w:val="00AF2DD0"/>
    <w:rsid w:val="00AF5B8C"/>
    <w:rsid w:val="00AF5C8E"/>
    <w:rsid w:val="00B00F5D"/>
    <w:rsid w:val="00B01785"/>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4EE7"/>
    <w:rsid w:val="00B55C91"/>
    <w:rsid w:val="00B5719B"/>
    <w:rsid w:val="00B6180A"/>
    <w:rsid w:val="00B65E6C"/>
    <w:rsid w:val="00B66E71"/>
    <w:rsid w:val="00B72679"/>
    <w:rsid w:val="00B76ADA"/>
    <w:rsid w:val="00B81E94"/>
    <w:rsid w:val="00B83AC4"/>
    <w:rsid w:val="00B903B0"/>
    <w:rsid w:val="00B9368B"/>
    <w:rsid w:val="00B979E9"/>
    <w:rsid w:val="00BA2CCE"/>
    <w:rsid w:val="00BA482C"/>
    <w:rsid w:val="00BA6BD8"/>
    <w:rsid w:val="00BB0782"/>
    <w:rsid w:val="00BB1C0E"/>
    <w:rsid w:val="00BC1074"/>
    <w:rsid w:val="00BC1979"/>
    <w:rsid w:val="00BC1BA6"/>
    <w:rsid w:val="00BC2A8E"/>
    <w:rsid w:val="00BC2B5F"/>
    <w:rsid w:val="00BC59BF"/>
    <w:rsid w:val="00BD21E4"/>
    <w:rsid w:val="00BD2D44"/>
    <w:rsid w:val="00BD77C2"/>
    <w:rsid w:val="00BE0E5D"/>
    <w:rsid w:val="00BE25A9"/>
    <w:rsid w:val="00BE31FA"/>
    <w:rsid w:val="00BE413E"/>
    <w:rsid w:val="00BE4682"/>
    <w:rsid w:val="00BE6A18"/>
    <w:rsid w:val="00BE7D15"/>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4AC1"/>
    <w:rsid w:val="00C74AD8"/>
    <w:rsid w:val="00C750E8"/>
    <w:rsid w:val="00C75129"/>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D016E8"/>
    <w:rsid w:val="00D035A7"/>
    <w:rsid w:val="00D03822"/>
    <w:rsid w:val="00D10FA4"/>
    <w:rsid w:val="00D148D7"/>
    <w:rsid w:val="00D2381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A11B3"/>
    <w:rsid w:val="00DA33B4"/>
    <w:rsid w:val="00DA37F8"/>
    <w:rsid w:val="00DA42FD"/>
    <w:rsid w:val="00DA4B6B"/>
    <w:rsid w:val="00DA5444"/>
    <w:rsid w:val="00DB0438"/>
    <w:rsid w:val="00DB1BA5"/>
    <w:rsid w:val="00DB3FFB"/>
    <w:rsid w:val="00DB5D83"/>
    <w:rsid w:val="00DB5F41"/>
    <w:rsid w:val="00DB6561"/>
    <w:rsid w:val="00DC69AF"/>
    <w:rsid w:val="00DD2385"/>
    <w:rsid w:val="00DD389F"/>
    <w:rsid w:val="00DE3089"/>
    <w:rsid w:val="00DE3370"/>
    <w:rsid w:val="00DE6399"/>
    <w:rsid w:val="00DF2185"/>
    <w:rsid w:val="00DF2308"/>
    <w:rsid w:val="00DF2D08"/>
    <w:rsid w:val="00DF2DCF"/>
    <w:rsid w:val="00DF309C"/>
    <w:rsid w:val="00DF447D"/>
    <w:rsid w:val="00DF4556"/>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422E7"/>
    <w:rsid w:val="00E429AD"/>
    <w:rsid w:val="00E4509E"/>
    <w:rsid w:val="00E462DB"/>
    <w:rsid w:val="00E51C05"/>
    <w:rsid w:val="00E547BC"/>
    <w:rsid w:val="00E60A5D"/>
    <w:rsid w:val="00E60D84"/>
    <w:rsid w:val="00E6281A"/>
    <w:rsid w:val="00E63D10"/>
    <w:rsid w:val="00E7268A"/>
    <w:rsid w:val="00E72CF0"/>
    <w:rsid w:val="00E75B4B"/>
    <w:rsid w:val="00E801A3"/>
    <w:rsid w:val="00E849DC"/>
    <w:rsid w:val="00E85F8C"/>
    <w:rsid w:val="00E873FC"/>
    <w:rsid w:val="00E87E5B"/>
    <w:rsid w:val="00E90D58"/>
    <w:rsid w:val="00E90F06"/>
    <w:rsid w:val="00E92D22"/>
    <w:rsid w:val="00E956A6"/>
    <w:rsid w:val="00E97970"/>
    <w:rsid w:val="00EA0682"/>
    <w:rsid w:val="00EA080D"/>
    <w:rsid w:val="00EA56E2"/>
    <w:rsid w:val="00EA5B92"/>
    <w:rsid w:val="00EB1185"/>
    <w:rsid w:val="00EB5280"/>
    <w:rsid w:val="00EB7B61"/>
    <w:rsid w:val="00EC0971"/>
    <w:rsid w:val="00EC1FFE"/>
    <w:rsid w:val="00EC3665"/>
    <w:rsid w:val="00ED1DD9"/>
    <w:rsid w:val="00ED257B"/>
    <w:rsid w:val="00ED4953"/>
    <w:rsid w:val="00EE4DCA"/>
    <w:rsid w:val="00EE503E"/>
    <w:rsid w:val="00EE7042"/>
    <w:rsid w:val="00EF01A3"/>
    <w:rsid w:val="00EF5C9D"/>
    <w:rsid w:val="00EF7316"/>
    <w:rsid w:val="00F05305"/>
    <w:rsid w:val="00F20EB7"/>
    <w:rsid w:val="00F2120F"/>
    <w:rsid w:val="00F30F93"/>
    <w:rsid w:val="00F310E8"/>
    <w:rsid w:val="00F3112C"/>
    <w:rsid w:val="00F32C3D"/>
    <w:rsid w:val="00F3719E"/>
    <w:rsid w:val="00F40B08"/>
    <w:rsid w:val="00F41276"/>
    <w:rsid w:val="00F4260E"/>
    <w:rsid w:val="00F426CB"/>
    <w:rsid w:val="00F426E5"/>
    <w:rsid w:val="00F43046"/>
    <w:rsid w:val="00F433B7"/>
    <w:rsid w:val="00F43A93"/>
    <w:rsid w:val="00F4471C"/>
    <w:rsid w:val="00F46522"/>
    <w:rsid w:val="00F50725"/>
    <w:rsid w:val="00F526A5"/>
    <w:rsid w:val="00F5403C"/>
    <w:rsid w:val="00F540CF"/>
    <w:rsid w:val="00F56ECE"/>
    <w:rsid w:val="00F65744"/>
    <w:rsid w:val="00F66BB2"/>
    <w:rsid w:val="00F70EE6"/>
    <w:rsid w:val="00F7161F"/>
    <w:rsid w:val="00F7236D"/>
    <w:rsid w:val="00F73583"/>
    <w:rsid w:val="00F74137"/>
    <w:rsid w:val="00F75EBD"/>
    <w:rsid w:val="00F8549D"/>
    <w:rsid w:val="00F924F6"/>
    <w:rsid w:val="00F927A4"/>
    <w:rsid w:val="00F95F87"/>
    <w:rsid w:val="00F9711C"/>
    <w:rsid w:val="00FA07DD"/>
    <w:rsid w:val="00FA0CDC"/>
    <w:rsid w:val="00FA3E68"/>
    <w:rsid w:val="00FA40CD"/>
    <w:rsid w:val="00FA416C"/>
    <w:rsid w:val="00FA4794"/>
    <w:rsid w:val="00FB0A47"/>
    <w:rsid w:val="00FB1F9B"/>
    <w:rsid w:val="00FC20BA"/>
    <w:rsid w:val="00FC40CF"/>
    <w:rsid w:val="00FC56C4"/>
    <w:rsid w:val="00FC6DCB"/>
    <w:rsid w:val="00FD0436"/>
    <w:rsid w:val="00FD0B3D"/>
    <w:rsid w:val="00FD0D17"/>
    <w:rsid w:val="00FD2B17"/>
    <w:rsid w:val="00FD393C"/>
    <w:rsid w:val="00FD4FA5"/>
    <w:rsid w:val="00FE38C0"/>
    <w:rsid w:val="00FE399D"/>
    <w:rsid w:val="00FE4F79"/>
    <w:rsid w:val="00FE5F54"/>
    <w:rsid w:val="00FE60A2"/>
    <w:rsid w:val="00FE6455"/>
    <w:rsid w:val="00FE662C"/>
    <w:rsid w:val="00FE69C6"/>
    <w:rsid w:val="00FF13E6"/>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21693</TotalTime>
  <Pages>34</Pages>
  <Words>19697</Words>
  <Characters>112273</Characters>
  <Application>Microsoft Office Word</Application>
  <DocSecurity>0</DocSecurity>
  <Lines>935</Lines>
  <Paragraphs>263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529</cp:revision>
  <dcterms:created xsi:type="dcterms:W3CDTF">2022-02-09T04:05:00Z</dcterms:created>
  <dcterms:modified xsi:type="dcterms:W3CDTF">2022-03-23T20:00:00Z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