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ED4953"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0DAE20A5" w:rsidR="0058516A" w:rsidRDefault="000A5956" w:rsidP="000A5956">
            <w:pPr>
              <w:jc w:val="center"/>
            </w:pPr>
            <w:r>
              <w:rPr>
                <w:noProof/>
              </w:rPr>
              <w:drawing>
                <wp:inline distT="0" distB="0" distL="0" distR="0" wp14:anchorId="6C270B77" wp14:editId="1ED2D353">
                  <wp:extent cx="4123267" cy="3831214"/>
                  <wp:effectExtent l="0" t="0" r="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37650" cy="3844578"/>
                          </a:xfrm>
                          <a:prstGeom prst="rect">
                            <a:avLst/>
                          </a:prstGeom>
                        </pic:spPr>
                      </pic:pic>
                    </a:graphicData>
                  </a:graphic>
                </wp:inline>
              </w:drawing>
            </w:r>
          </w:p>
        </w:tc>
      </w:tr>
      <w:tr w:rsidR="0058516A" w14:paraId="08DAD323" w14:textId="77777777" w:rsidTr="006F746E">
        <w:tc>
          <w:tcPr>
            <w:tcW w:w="8828" w:type="dxa"/>
          </w:tcPr>
          <w:p w14:paraId="63107163" w14:textId="1E3E171D" w:rsidR="0058516A" w:rsidRDefault="0058516A">
            <w:r>
              <w:t xml:space="preserve">Figure 2. Comparison of a) stem density, b) Lorey’s height, c) basal area, and d) aboveground biomass between very young (VY, shown in orange), young (Y, shown in purple), and mature (M, shown in green) forest plots in TMCF. Asterisks indicate statistically significant results from pairwise comparisons as follows: ****p &lt; 0.0001, ***p &lt; 0.001, **p &lt; 0.01, *p&lt;0.05. Results of ANOVA and pairwise comparison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225FBA0F" w:rsidR="0058516A" w:rsidRDefault="000A5956" w:rsidP="000A5956">
            <w:pPr>
              <w:jc w:val="center"/>
            </w:pPr>
            <w:r>
              <w:rPr>
                <w:noProof/>
              </w:rPr>
              <w:drawing>
                <wp:inline distT="0" distB="0" distL="0" distR="0" wp14:anchorId="4D718E97" wp14:editId="687F6750">
                  <wp:extent cx="5612130" cy="5214620"/>
                  <wp:effectExtent l="0" t="0" r="7620" b="5080"/>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4620"/>
                          </a:xfrm>
                          <a:prstGeom prst="rect">
                            <a:avLst/>
                          </a:prstGeom>
                        </pic:spPr>
                      </pic:pic>
                    </a:graphicData>
                  </a:graphic>
                </wp:inline>
              </w:drawing>
            </w:r>
          </w:p>
        </w:tc>
      </w:tr>
      <w:tr w:rsidR="0058516A" w14:paraId="1081E348" w14:textId="77777777" w:rsidTr="006F746E">
        <w:tc>
          <w:tcPr>
            <w:tcW w:w="8828" w:type="dxa"/>
          </w:tcPr>
          <w:p w14:paraId="44767C0D" w14:textId="2811CAF9" w:rsidR="0058516A" w:rsidRDefault="0058516A" w:rsidP="006A5ED5">
            <w:r>
              <w:t xml:space="preserve">Figure 3. Contribution of tree size categories to a) stem density and b) aboveground biomass in very young (VY, shown in orange), young (Y, shown in purple), and mature (M, shown in green) forest plots in TMCF. Trees were categorized in six classes based on their DBH. Asterisks indicate statistically significant differences between forests at different successional stages within each tree size class as follows: ****p &lt; 0.0001, ***p &lt; 0.001, **p &lt; 0.01, *p&lt;0.05. Non-significant differences are not shown. Letters indicate statistically significant differences between tree size classes within very young (VY, shown in orange), young (Y, shown in purple), and mature (M, shown in green) forests resulted from a pairwise comparison analysis. Results of ANOVA and pairwise comparison analyses can be found in Tables S6 and S7.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6A174507"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 xml:space="preserve">=0.081, shown in black dashed line) estimated with Shannon diversity index (H).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9AB2247"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69D86105" w14:textId="77777777" w:rsidTr="00B979E9">
        <w:tc>
          <w:tcPr>
            <w:tcW w:w="8828" w:type="dxa"/>
          </w:tcPr>
          <w:p w14:paraId="77433F18" w14:textId="0EC05D61" w:rsidR="0058516A" w:rsidRDefault="00482C2A" w:rsidP="000A5956">
            <w:pPr>
              <w:jc w:val="center"/>
            </w:pPr>
            <w:r>
              <w:rPr>
                <w:noProof/>
              </w:rPr>
              <w:drawing>
                <wp:inline distT="0" distB="0" distL="0" distR="0" wp14:anchorId="2BC75D2A" wp14:editId="06F56214">
                  <wp:extent cx="5609590" cy="41205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90" cy="4120515"/>
                          </a:xfrm>
                          <a:prstGeom prst="rect">
                            <a:avLst/>
                          </a:prstGeom>
                          <a:noFill/>
                          <a:ln>
                            <a:noFill/>
                          </a:ln>
                        </pic:spPr>
                      </pic:pic>
                    </a:graphicData>
                  </a:graphic>
                </wp:inline>
              </w:drawing>
            </w:r>
          </w:p>
        </w:tc>
      </w:tr>
      <w:tr w:rsidR="0058516A" w14:paraId="30A0966D" w14:textId="77777777" w:rsidTr="00B979E9">
        <w:tc>
          <w:tcPr>
            <w:tcW w:w="8828" w:type="dxa"/>
          </w:tcPr>
          <w:p w14:paraId="2D0EECD6" w14:textId="1BA0D1D7" w:rsidR="0058516A" w:rsidRDefault="0058516A">
            <w:r>
              <w:t xml:space="preserve">Figure 6. Locally weighted regression (loess) curves (dashed gray lines) showing non-linear relationships between aboveground biomass and tree diversity measured with Shannon diversity index (H) at a) site level and c) plot level, and measured with species richness (S) at b) site level and d) plot level. Plot level panels (c and d) show forests successional stage 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t>S</w:t>
      </w:r>
      <w:r w:rsidR="007B1347">
        <w:rPr>
          <w:b/>
          <w:bCs/>
        </w:rPr>
        <w:t>upporting Information</w:t>
      </w:r>
    </w:p>
    <w:p w14:paraId="48D93FF7" w14:textId="6CE8E368" w:rsidR="00A9106E" w:rsidRDefault="00AD2B7D" w:rsidP="00A9106E">
      <w:r>
        <w:t>Table S1. Variables used in this study</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7D1FE5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EC13C0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6282226" w14:textId="77777777" w:rsidR="00A9106E" w:rsidRDefault="00A9106E">
            <w:r>
              <w:t xml:space="preserve">Date </w:t>
            </w:r>
          </w:p>
        </w:tc>
        <w:tc>
          <w:tcPr>
            <w:tcW w:w="1184" w:type="dxa"/>
            <w:tcBorders>
              <w:top w:val="single" w:sz="4" w:space="0" w:color="auto"/>
              <w:left w:val="single" w:sz="4" w:space="0" w:color="auto"/>
              <w:bottom w:val="single" w:sz="4" w:space="0" w:color="auto"/>
              <w:right w:val="single" w:sz="4" w:space="0" w:color="auto"/>
            </w:tcBorders>
            <w:hideMark/>
          </w:tcPr>
          <w:p w14:paraId="6CB2C43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211EB64B" w14:textId="77777777" w:rsidR="00A9106E" w:rsidRDefault="00A9106E">
            <w:r>
              <w:t>Date of field data collection</w:t>
            </w:r>
          </w:p>
        </w:tc>
        <w:tc>
          <w:tcPr>
            <w:tcW w:w="2579" w:type="dxa"/>
            <w:tcBorders>
              <w:top w:val="single" w:sz="4" w:space="0" w:color="auto"/>
              <w:left w:val="single" w:sz="4" w:space="0" w:color="auto"/>
              <w:bottom w:val="single" w:sz="4" w:space="0" w:color="auto"/>
              <w:right w:val="single" w:sz="4" w:space="0" w:color="auto"/>
            </w:tcBorders>
            <w:hideMark/>
          </w:tcPr>
          <w:p w14:paraId="32443131" w14:textId="77777777" w:rsidR="00A9106E" w:rsidRDefault="00A9106E">
            <w:r>
              <w:t>FI</w:t>
            </w:r>
          </w:p>
        </w:tc>
      </w:tr>
      <w:tr w:rsidR="00A9106E" w14:paraId="5E5C15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4BAFF6D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89D2A90" w14:textId="77777777" w:rsidR="00A9106E" w:rsidRDefault="00A9106E">
            <w:r>
              <w:t>State</w:t>
            </w:r>
          </w:p>
        </w:tc>
        <w:tc>
          <w:tcPr>
            <w:tcW w:w="1184" w:type="dxa"/>
            <w:tcBorders>
              <w:top w:val="single" w:sz="4" w:space="0" w:color="auto"/>
              <w:left w:val="single" w:sz="4" w:space="0" w:color="auto"/>
              <w:bottom w:val="single" w:sz="4" w:space="0" w:color="auto"/>
              <w:right w:val="single" w:sz="4" w:space="0" w:color="auto"/>
            </w:tcBorders>
            <w:hideMark/>
          </w:tcPr>
          <w:p w14:paraId="0076A05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61F21520" w14:textId="77777777" w:rsidR="00A9106E" w:rsidRDefault="00A9106E">
            <w:r>
              <w:t>State where the site is located</w:t>
            </w:r>
          </w:p>
        </w:tc>
        <w:tc>
          <w:tcPr>
            <w:tcW w:w="2579" w:type="dxa"/>
            <w:tcBorders>
              <w:top w:val="single" w:sz="4" w:space="0" w:color="auto"/>
              <w:left w:val="single" w:sz="4" w:space="0" w:color="auto"/>
              <w:bottom w:val="single" w:sz="4" w:space="0" w:color="auto"/>
              <w:right w:val="single" w:sz="4" w:space="0" w:color="auto"/>
            </w:tcBorders>
            <w:hideMark/>
          </w:tcPr>
          <w:p w14:paraId="1F215F92" w14:textId="77777777" w:rsidR="00A9106E" w:rsidRDefault="00A9106E">
            <w:r>
              <w:t>FI</w:t>
            </w:r>
          </w:p>
        </w:tc>
      </w:tr>
      <w:tr w:rsidR="00A9106E" w14:paraId="3FD3CF1D"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DA018E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1E7D11F" w14:textId="77777777" w:rsidR="00A9106E" w:rsidRDefault="00A9106E">
            <w:r>
              <w:t>Municipality</w:t>
            </w:r>
          </w:p>
        </w:tc>
        <w:tc>
          <w:tcPr>
            <w:tcW w:w="1184" w:type="dxa"/>
            <w:tcBorders>
              <w:top w:val="single" w:sz="4" w:space="0" w:color="auto"/>
              <w:left w:val="single" w:sz="4" w:space="0" w:color="auto"/>
              <w:bottom w:val="single" w:sz="4" w:space="0" w:color="auto"/>
              <w:right w:val="single" w:sz="4" w:space="0" w:color="auto"/>
            </w:tcBorders>
            <w:hideMark/>
          </w:tcPr>
          <w:p w14:paraId="454E7A7D"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6EBDDA49" w14:textId="77777777" w:rsidR="00A9106E" w:rsidRDefault="00A9106E">
            <w:r>
              <w:t>Municipality where the site is located</w:t>
            </w:r>
          </w:p>
        </w:tc>
        <w:tc>
          <w:tcPr>
            <w:tcW w:w="2579" w:type="dxa"/>
            <w:tcBorders>
              <w:top w:val="single" w:sz="4" w:space="0" w:color="auto"/>
              <w:left w:val="single" w:sz="4" w:space="0" w:color="auto"/>
              <w:bottom w:val="single" w:sz="4" w:space="0" w:color="auto"/>
              <w:right w:val="single" w:sz="4" w:space="0" w:color="auto"/>
            </w:tcBorders>
            <w:hideMark/>
          </w:tcPr>
          <w:p w14:paraId="046C0A4D" w14:textId="77777777" w:rsidR="00A9106E" w:rsidRDefault="00A9106E">
            <w:r>
              <w:t>FI</w:t>
            </w:r>
          </w:p>
        </w:tc>
      </w:tr>
      <w:tr w:rsidR="00A9106E" w14:paraId="54B17C9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BBD6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CFDB900" w14:textId="77777777" w:rsidR="00A9106E" w:rsidRDefault="00A9106E">
            <w:r>
              <w:t>Land tenure</w:t>
            </w:r>
          </w:p>
        </w:tc>
        <w:tc>
          <w:tcPr>
            <w:tcW w:w="1184" w:type="dxa"/>
            <w:tcBorders>
              <w:top w:val="single" w:sz="4" w:space="0" w:color="auto"/>
              <w:left w:val="single" w:sz="4" w:space="0" w:color="auto"/>
              <w:bottom w:val="single" w:sz="4" w:space="0" w:color="auto"/>
              <w:right w:val="single" w:sz="4" w:space="0" w:color="auto"/>
            </w:tcBorders>
            <w:hideMark/>
          </w:tcPr>
          <w:p w14:paraId="5CAF24A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61D9A4B" w14:textId="77777777" w:rsidR="00A9106E" w:rsidRDefault="00A9106E">
            <w:r>
              <w:t xml:space="preserve">Whether private property, communal, or </w:t>
            </w:r>
            <w:r>
              <w:rPr>
                <w:i/>
                <w:iCs/>
              </w:rPr>
              <w:t>ejido</w:t>
            </w:r>
            <w:r>
              <w:t xml:space="preserve"> land</w:t>
            </w:r>
          </w:p>
        </w:tc>
        <w:tc>
          <w:tcPr>
            <w:tcW w:w="2579" w:type="dxa"/>
            <w:tcBorders>
              <w:top w:val="single" w:sz="4" w:space="0" w:color="auto"/>
              <w:left w:val="single" w:sz="4" w:space="0" w:color="auto"/>
              <w:bottom w:val="single" w:sz="4" w:space="0" w:color="auto"/>
              <w:right w:val="single" w:sz="4" w:space="0" w:color="auto"/>
            </w:tcBorders>
            <w:hideMark/>
          </w:tcPr>
          <w:p w14:paraId="78B50C9B"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12932D9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006682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0D5D325" w14:textId="77777777" w:rsidR="00A9106E" w:rsidRDefault="00A9106E">
            <w:r>
              <w:t>Simpson (D)</w:t>
            </w:r>
          </w:p>
        </w:tc>
        <w:tc>
          <w:tcPr>
            <w:tcW w:w="1184" w:type="dxa"/>
            <w:tcBorders>
              <w:top w:val="single" w:sz="4" w:space="0" w:color="auto"/>
              <w:left w:val="single" w:sz="4" w:space="0" w:color="auto"/>
              <w:bottom w:val="single" w:sz="4" w:space="0" w:color="auto"/>
              <w:right w:val="single" w:sz="4" w:space="0" w:color="auto"/>
            </w:tcBorders>
            <w:hideMark/>
          </w:tcPr>
          <w:p w14:paraId="1611F069" w14:textId="77777777" w:rsidR="00A9106E" w:rsidRDefault="00A9106E">
            <w:r>
              <w:t>Probability</w:t>
            </w:r>
          </w:p>
        </w:tc>
        <w:tc>
          <w:tcPr>
            <w:tcW w:w="2585" w:type="dxa"/>
            <w:tcBorders>
              <w:top w:val="single" w:sz="4" w:space="0" w:color="auto"/>
              <w:left w:val="single" w:sz="4" w:space="0" w:color="auto"/>
              <w:bottom w:val="single" w:sz="4" w:space="0" w:color="auto"/>
              <w:right w:val="single" w:sz="4" w:space="0" w:color="auto"/>
            </w:tcBorders>
            <w:hideMark/>
          </w:tcPr>
          <w:p w14:paraId="4940A7F0"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50777A14"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77777777" w:rsidR="00A9106E" w:rsidRDefault="00A9106E">
            <w:r>
              <w:t>Mosaic</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77777777" w:rsidR="00A9106E" w:rsidRDefault="00A9106E">
            <w:r>
              <w:t>Site’s patchiness, goes from 0, when all plots in site are very young forests or agricultural lands, to 1, when all plots in site are mature forests</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A9106E"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77777777" w:rsidR="00A9106E" w:rsidRDefault="00A9106E">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A9106E" w:rsidRDefault="00A9106E">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A9106E" w:rsidRDefault="00A9106E">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A9106E" w:rsidRDefault="00A9106E">
            <w:r>
              <w:t>FI</w:t>
            </w:r>
          </w:p>
        </w:tc>
      </w:tr>
      <w:tr w:rsidR="00A9106E"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A9106E" w:rsidRDefault="00A9106E">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A9106E" w:rsidRDefault="00A9106E">
            <w:r>
              <w:t>FI</w:t>
            </w:r>
          </w:p>
        </w:tc>
      </w:tr>
      <w:tr w:rsidR="00A9106E"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A9106E" w:rsidRDefault="00A9106E">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A9106E" w:rsidRDefault="00A9106E">
            <w:r>
              <w:t>FI</w:t>
            </w:r>
          </w:p>
        </w:tc>
      </w:tr>
      <w:tr w:rsidR="00A9106E"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A9106E" w:rsidRDefault="00A9106E">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A9106E" w:rsidRDefault="00A9106E">
            <w:r>
              <w:t>FI</w:t>
            </w:r>
          </w:p>
        </w:tc>
      </w:tr>
      <w:tr w:rsidR="00A9106E"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A9106E" w:rsidRDefault="00A9106E">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A9106E" w:rsidRDefault="00A9106E">
            <w:r>
              <w:t>Calculated from NASA’s Shuttle Radar Topography Mission digital elevation data (~30 m resolution)</w:t>
            </w:r>
          </w:p>
        </w:tc>
      </w:tr>
      <w:tr w:rsidR="00A9106E"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A9106E" w:rsidRDefault="00A9106E">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A9106E" w:rsidRDefault="00A9106E">
            <w:r>
              <w:t>Calculated from NASA’s Shuttle Radar Topography Mission digital elevation data (~30 m resolution)</w:t>
            </w:r>
          </w:p>
        </w:tc>
      </w:tr>
      <w:tr w:rsidR="00A9106E"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A9106E" w:rsidRDefault="00A9106E">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77777777" w:rsidR="00A9106E" w:rsidRDefault="00A9106E">
            <w:r>
              <w:t>Whether epiphytes are present in plot</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A9106E" w:rsidRDefault="00A9106E">
            <w:r>
              <w:t>FI</w:t>
            </w:r>
          </w:p>
        </w:tc>
      </w:tr>
      <w:tr w:rsidR="00A9106E"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A9106E" w:rsidRDefault="00A9106E">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A9106E" w:rsidRDefault="00A9106E">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A9106E" w:rsidRDefault="00A9106E">
            <w:r>
              <w:t>Calculated using FI raw data</w:t>
            </w:r>
          </w:p>
        </w:tc>
      </w:tr>
      <w:tr w:rsidR="00A9106E"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A9106E" w:rsidRDefault="00A9106E">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A9106E" w:rsidRDefault="00A9106E">
            <w:r>
              <w:t>Calculated using FI raw data</w:t>
            </w:r>
          </w:p>
        </w:tc>
      </w:tr>
      <w:tr w:rsidR="00A9106E"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A9106E" w:rsidRDefault="00A9106E">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A9106E" w:rsidRDefault="00A9106E">
            <w:r>
              <w:t>Calculated using FI raw data</w:t>
            </w:r>
          </w:p>
        </w:tc>
      </w:tr>
      <w:tr w:rsidR="00A9106E"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A9106E" w:rsidRDefault="00A9106E">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A9106E" w:rsidRDefault="00A9106E">
            <w:r>
              <w:t>Calculated using FI raw data</w:t>
            </w:r>
          </w:p>
        </w:tc>
      </w:tr>
      <w:tr w:rsidR="00A9106E"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A9106E" w:rsidRDefault="00A9106E">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A9106E" w:rsidRDefault="00A9106E">
            <w:r>
              <w:t>Calculated using FI raw data</w:t>
            </w:r>
          </w:p>
        </w:tc>
      </w:tr>
      <w:tr w:rsidR="00A9106E"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A9106E" w:rsidRDefault="00A9106E">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A9106E" w:rsidRDefault="00A9106E">
            <w:r>
              <w:t>Calculated with allometric equations using FI raw data</w:t>
            </w:r>
          </w:p>
        </w:tc>
      </w:tr>
      <w:tr w:rsidR="00A9106E"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3A848E85" w14:textId="77777777" w:rsidR="00A9106E" w:rsidRDefault="00A9106E">
            <w:r>
              <w:t>Diversity index.</w:t>
            </w:r>
          </w:p>
          <w:p w14:paraId="0A5C52EB" w14:textId="77777777" w:rsidR="00A9106E" w:rsidRDefault="00A9106E">
            <w:r>
              <w:t>H = -sum p_i log(b) p_i</w:t>
            </w:r>
          </w:p>
        </w:tc>
        <w:tc>
          <w:tcPr>
            <w:tcW w:w="2579" w:type="dxa"/>
            <w:tcBorders>
              <w:top w:val="single" w:sz="4" w:space="0" w:color="auto"/>
              <w:left w:val="single" w:sz="4" w:space="0" w:color="auto"/>
              <w:bottom w:val="single" w:sz="4" w:space="0" w:color="auto"/>
              <w:right w:val="single" w:sz="4" w:space="0" w:color="auto"/>
            </w:tcBorders>
            <w:hideMark/>
          </w:tcPr>
          <w:p w14:paraId="12E5C99B" w14:textId="77777777" w:rsidR="00A9106E" w:rsidRDefault="00A9106E">
            <w:r>
              <w:t>Calculated using FI raw data</w:t>
            </w:r>
          </w:p>
        </w:tc>
      </w:tr>
      <w:tr w:rsidR="00A9106E" w14:paraId="240E3EE6"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3FCB53F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6611400" w14:textId="77777777" w:rsidR="00A9106E" w:rsidRDefault="00A9106E">
            <w:r>
              <w:t>Simpson (D)</w:t>
            </w:r>
          </w:p>
        </w:tc>
        <w:tc>
          <w:tcPr>
            <w:tcW w:w="1184" w:type="dxa"/>
            <w:tcBorders>
              <w:top w:val="single" w:sz="4" w:space="0" w:color="auto"/>
              <w:left w:val="single" w:sz="4" w:space="0" w:color="auto"/>
              <w:bottom w:val="single" w:sz="4" w:space="0" w:color="auto"/>
              <w:right w:val="single" w:sz="4" w:space="0" w:color="auto"/>
            </w:tcBorders>
            <w:hideMark/>
          </w:tcPr>
          <w:p w14:paraId="05494C13" w14:textId="77777777" w:rsidR="00A9106E" w:rsidRDefault="00A9106E">
            <w:r>
              <w:t>Probability</w:t>
            </w:r>
          </w:p>
        </w:tc>
        <w:tc>
          <w:tcPr>
            <w:tcW w:w="2585" w:type="dxa"/>
            <w:tcBorders>
              <w:top w:val="single" w:sz="4" w:space="0" w:color="auto"/>
              <w:left w:val="single" w:sz="4" w:space="0" w:color="auto"/>
              <w:bottom w:val="single" w:sz="4" w:space="0" w:color="auto"/>
              <w:right w:val="single" w:sz="4" w:space="0" w:color="auto"/>
            </w:tcBorders>
            <w:hideMark/>
          </w:tcPr>
          <w:p w14:paraId="67F822FB" w14:textId="77777777" w:rsidR="00A9106E" w:rsidRDefault="00A9106E">
            <w:r>
              <w:t>Diversity index.</w:t>
            </w:r>
          </w:p>
          <w:p w14:paraId="3562EC39" w14:textId="77777777" w:rsidR="00A9106E" w:rsidRDefault="00A9106E">
            <w:r>
              <w:t>1-D, where D = sum p_i^2</w:t>
            </w:r>
          </w:p>
        </w:tc>
        <w:tc>
          <w:tcPr>
            <w:tcW w:w="2579" w:type="dxa"/>
            <w:tcBorders>
              <w:top w:val="single" w:sz="4" w:space="0" w:color="auto"/>
              <w:left w:val="single" w:sz="4" w:space="0" w:color="auto"/>
              <w:bottom w:val="single" w:sz="4" w:space="0" w:color="auto"/>
              <w:right w:val="single" w:sz="4" w:space="0" w:color="auto"/>
            </w:tcBorders>
            <w:hideMark/>
          </w:tcPr>
          <w:p w14:paraId="2F0D15E8" w14:textId="77777777" w:rsidR="00A9106E" w:rsidRDefault="00A9106E">
            <w:r>
              <w:t>Calculated using FI raw data</w:t>
            </w:r>
          </w:p>
        </w:tc>
      </w:tr>
      <w:tr w:rsidR="00A9106E"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A9106E" w:rsidRDefault="00A9106E">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A9106E" w:rsidRDefault="00A9106E">
            <w:r>
              <w:t>Calculated using FI raw data</w:t>
            </w:r>
          </w:p>
        </w:tc>
      </w:tr>
      <w:tr w:rsidR="00A9106E"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A9106E" w:rsidRDefault="00A9106E">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A9106E" w:rsidRDefault="00A9106E">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7777777" w:rsidR="00A9106E" w:rsidRDefault="00A9106E">
            <w:r>
              <w:t>Calculated using FI raw data with a non-hierarchical cluster analysis</w:t>
            </w:r>
          </w:p>
        </w:tc>
      </w:tr>
      <w:tr w:rsidR="00A9106E" w14:paraId="75909FFB"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73C3810"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C3FB8D8" w14:textId="77777777" w:rsidR="00A9106E" w:rsidRDefault="00A9106E">
            <w:pPr>
              <w:rPr>
                <w:highlight w:val="yellow"/>
              </w:rPr>
            </w:pPr>
            <w:r>
              <w:t>Agriculture</w:t>
            </w:r>
          </w:p>
        </w:tc>
        <w:tc>
          <w:tcPr>
            <w:tcW w:w="1184" w:type="dxa"/>
            <w:tcBorders>
              <w:top w:val="single" w:sz="4" w:space="0" w:color="auto"/>
              <w:left w:val="single" w:sz="4" w:space="0" w:color="auto"/>
              <w:bottom w:val="single" w:sz="4" w:space="0" w:color="auto"/>
              <w:right w:val="single" w:sz="4" w:space="0" w:color="auto"/>
            </w:tcBorders>
            <w:hideMark/>
          </w:tcPr>
          <w:p w14:paraId="13A31A3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330E74C" w14:textId="77777777" w:rsidR="00A9106E" w:rsidRDefault="00A9106E">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hideMark/>
          </w:tcPr>
          <w:p w14:paraId="36264778" w14:textId="77777777" w:rsidR="00A9106E" w:rsidRDefault="00A9106E">
            <w:r>
              <w:t>Derived from FI data</w:t>
            </w:r>
          </w:p>
        </w:tc>
      </w:tr>
      <w:tr w:rsidR="00A9106E" w14:paraId="147E4208" w14:textId="77777777" w:rsidTr="00A9106E">
        <w:tc>
          <w:tcPr>
            <w:tcW w:w="701" w:type="dxa"/>
            <w:tcBorders>
              <w:top w:val="nil"/>
              <w:left w:val="single" w:sz="4" w:space="0" w:color="auto"/>
              <w:bottom w:val="single" w:sz="4" w:space="0" w:color="auto"/>
              <w:right w:val="single" w:sz="4" w:space="0" w:color="auto"/>
            </w:tcBorders>
          </w:tcPr>
          <w:p w14:paraId="485654C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2FEFBAF" w14:textId="77777777" w:rsidR="00A9106E" w:rsidRDefault="00A9106E">
            <w:r>
              <w:t>Grazing</w:t>
            </w:r>
          </w:p>
        </w:tc>
        <w:tc>
          <w:tcPr>
            <w:tcW w:w="1184" w:type="dxa"/>
            <w:tcBorders>
              <w:top w:val="single" w:sz="4" w:space="0" w:color="auto"/>
              <w:left w:val="single" w:sz="4" w:space="0" w:color="auto"/>
              <w:bottom w:val="single" w:sz="4" w:space="0" w:color="auto"/>
              <w:right w:val="single" w:sz="4" w:space="0" w:color="auto"/>
            </w:tcBorders>
            <w:hideMark/>
          </w:tcPr>
          <w:p w14:paraId="7B0A348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18EE61B" w14:textId="77777777" w:rsidR="00A9106E" w:rsidRDefault="00A9106E">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hideMark/>
          </w:tcPr>
          <w:p w14:paraId="721E6E66" w14:textId="77777777" w:rsidR="00A9106E" w:rsidRDefault="00A9106E">
            <w:r>
              <w:t>Derived from FI data</w:t>
            </w:r>
          </w:p>
        </w:tc>
      </w:tr>
      <w:tr w:rsidR="00A9106E" w14:paraId="7ED69B67"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4AB7F3DD" w14:textId="77777777" w:rsidR="00A9106E" w:rsidRDefault="00A9106E">
            <w:r>
              <w:t>Tree</w:t>
            </w:r>
          </w:p>
        </w:tc>
        <w:tc>
          <w:tcPr>
            <w:tcW w:w="1779" w:type="dxa"/>
            <w:tcBorders>
              <w:top w:val="single" w:sz="4" w:space="0" w:color="auto"/>
              <w:left w:val="single" w:sz="4" w:space="0" w:color="auto"/>
              <w:bottom w:val="single" w:sz="4" w:space="0" w:color="auto"/>
              <w:right w:val="single" w:sz="4" w:space="0" w:color="auto"/>
            </w:tcBorders>
            <w:hideMark/>
          </w:tcPr>
          <w:p w14:paraId="0E133FA7" w14:textId="77777777" w:rsidR="00A9106E" w:rsidRDefault="00A9106E">
            <w:r>
              <w:t>State</w:t>
            </w:r>
          </w:p>
        </w:tc>
        <w:tc>
          <w:tcPr>
            <w:tcW w:w="1184" w:type="dxa"/>
            <w:tcBorders>
              <w:top w:val="single" w:sz="4" w:space="0" w:color="auto"/>
              <w:left w:val="single" w:sz="4" w:space="0" w:color="auto"/>
              <w:bottom w:val="single" w:sz="4" w:space="0" w:color="auto"/>
              <w:right w:val="single" w:sz="4" w:space="0" w:color="auto"/>
            </w:tcBorders>
            <w:hideMark/>
          </w:tcPr>
          <w:p w14:paraId="137D9F6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tcPr>
          <w:p w14:paraId="5558A23C" w14:textId="77777777" w:rsidR="00A9106E" w:rsidRDefault="00A9106E"/>
        </w:tc>
        <w:tc>
          <w:tcPr>
            <w:tcW w:w="2579" w:type="dxa"/>
            <w:tcBorders>
              <w:top w:val="single" w:sz="4" w:space="0" w:color="auto"/>
              <w:left w:val="single" w:sz="4" w:space="0" w:color="auto"/>
              <w:bottom w:val="single" w:sz="4" w:space="0" w:color="auto"/>
              <w:right w:val="single" w:sz="4" w:space="0" w:color="auto"/>
            </w:tcBorders>
            <w:hideMark/>
          </w:tcPr>
          <w:p w14:paraId="4454A8A5" w14:textId="77777777" w:rsidR="00A9106E" w:rsidRDefault="00A9106E">
            <w:r>
              <w:t>FI</w:t>
            </w:r>
          </w:p>
        </w:tc>
      </w:tr>
      <w:tr w:rsidR="00A9106E" w14:paraId="5B7BD58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14B9FA"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82F7387" w14:textId="77777777" w:rsidR="00A9106E" w:rsidRDefault="00A9106E">
            <w:r>
              <w:t>Municipality</w:t>
            </w:r>
          </w:p>
        </w:tc>
        <w:tc>
          <w:tcPr>
            <w:tcW w:w="1184" w:type="dxa"/>
            <w:tcBorders>
              <w:top w:val="single" w:sz="4" w:space="0" w:color="auto"/>
              <w:left w:val="single" w:sz="4" w:space="0" w:color="auto"/>
              <w:bottom w:val="single" w:sz="4" w:space="0" w:color="auto"/>
              <w:right w:val="single" w:sz="4" w:space="0" w:color="auto"/>
            </w:tcBorders>
            <w:hideMark/>
          </w:tcPr>
          <w:p w14:paraId="2F6FD55D"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tcPr>
          <w:p w14:paraId="70592A06" w14:textId="77777777" w:rsidR="00A9106E" w:rsidRDefault="00A9106E"/>
        </w:tc>
        <w:tc>
          <w:tcPr>
            <w:tcW w:w="2579" w:type="dxa"/>
            <w:tcBorders>
              <w:top w:val="single" w:sz="4" w:space="0" w:color="auto"/>
              <w:left w:val="single" w:sz="4" w:space="0" w:color="auto"/>
              <w:bottom w:val="single" w:sz="4" w:space="0" w:color="auto"/>
              <w:right w:val="single" w:sz="4" w:space="0" w:color="auto"/>
            </w:tcBorders>
            <w:hideMark/>
          </w:tcPr>
          <w:p w14:paraId="27AE0ED5" w14:textId="77777777" w:rsidR="00A9106E" w:rsidRDefault="00A9106E">
            <w:r>
              <w:t>FI</w:t>
            </w:r>
          </w:p>
        </w:tc>
      </w:tr>
      <w:tr w:rsidR="00A9106E" w14:paraId="36F7E52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BB4ED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A9106E" w:rsidRDefault="00A9106E">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A9106E" w:rsidRDefault="00A9106E">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A9106E" w:rsidRDefault="00A9106E">
            <w:r>
              <w:t>FI</w:t>
            </w:r>
          </w:p>
        </w:tc>
      </w:tr>
      <w:tr w:rsidR="00A9106E"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A9106E" w:rsidRDefault="00A9106E">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A9106E" w:rsidRDefault="00A9106E">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A9106E" w:rsidRDefault="00A9106E">
            <w:r>
              <w:t>FI</w:t>
            </w:r>
          </w:p>
        </w:tc>
      </w:tr>
      <w:tr w:rsidR="00A9106E"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A9106E" w:rsidRDefault="00A9106E">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A9106E" w:rsidRDefault="00A9106E">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A9106E" w:rsidRDefault="00A9106E">
            <w:r>
              <w:t>FI corrected with Taxonomic Name Resolution Service</w:t>
            </w:r>
          </w:p>
        </w:tc>
      </w:tr>
      <w:tr w:rsidR="00A9106E"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A9106E" w:rsidRDefault="00A9106E">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A9106E" w:rsidRDefault="00A9106E">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A9106E" w:rsidRDefault="00A9106E">
            <w:r>
              <w:t>FI corrected with Taxonomic Name Resolution Service with BIOMASS function correctTaxo</w:t>
            </w:r>
          </w:p>
        </w:tc>
      </w:tr>
      <w:tr w:rsidR="00A9106E"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A9106E" w:rsidRDefault="00A9106E">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A9106E" w:rsidRDefault="00A9106E">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A9106E" w:rsidRDefault="00A9106E">
            <w:r>
              <w:t>FI</w:t>
            </w:r>
          </w:p>
        </w:tc>
      </w:tr>
      <w:tr w:rsidR="00A9106E"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A9106E" w:rsidRDefault="00A9106E">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A9106E" w:rsidRDefault="00A9106E">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A9106E" w:rsidRDefault="00A9106E">
            <w:r>
              <w:t>FI</w:t>
            </w:r>
          </w:p>
        </w:tc>
      </w:tr>
      <w:tr w:rsidR="00A9106E"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A9106E" w:rsidRDefault="00A9106E">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A9106E" w:rsidRDefault="00A9106E">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A9106E" w:rsidRDefault="00A9106E">
            <w:r>
              <w:t>FI</w:t>
            </w:r>
          </w:p>
        </w:tc>
      </w:tr>
      <w:tr w:rsidR="00A9106E"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A9106E" w:rsidRDefault="00A9106E">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A9106E" w:rsidRDefault="00A9106E">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A9106E" w:rsidRDefault="00A9106E">
            <w:r>
              <w:t>FI</w:t>
            </w:r>
          </w:p>
        </w:tc>
      </w:tr>
      <w:tr w:rsidR="00A9106E"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A9106E" w:rsidRDefault="00A9106E">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A9106E" w:rsidRDefault="00A9106E">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A9106E" w:rsidRDefault="00A9106E">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A9106E" w:rsidRDefault="00A9106E">
            <w:r>
              <w:t>FI</w:t>
            </w:r>
          </w:p>
        </w:tc>
      </w:tr>
      <w:tr w:rsidR="00A9106E"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A9106E" w:rsidRDefault="00A9106E">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A9106E" w:rsidRDefault="00A9106E">
            <w:r>
              <w:t>FI</w:t>
            </w:r>
          </w:p>
        </w:tc>
      </w:tr>
      <w:tr w:rsidR="00A9106E"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A9106E" w:rsidRDefault="00A9106E">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A9106E" w:rsidRDefault="00A9106E">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77777777" w:rsidR="00A9106E" w:rsidRDefault="00A9106E">
            <w:r>
              <w:t xml:space="preserve">Wood density as recorded in </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A9106E" w:rsidRDefault="00A9106E">
            <w:r>
              <w:t>Calculated with BIOMASS function getWoodDensity</w:t>
            </w:r>
          </w:p>
        </w:tc>
      </w:tr>
      <w:tr w:rsidR="00A9106E"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A9106E" w:rsidRDefault="00A9106E">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A9106E" w:rsidRDefault="00A9106E">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A9106E" w:rsidRDefault="00A9106E">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77777777" w:rsidR="00A9106E" w:rsidRDefault="00AD2B7D" w:rsidP="00A9106E">
      <w:r>
        <w:t xml:space="preserve">Table S2. </w:t>
      </w:r>
      <w:r w:rsidR="00A9106E">
        <w:t>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77777777" w:rsidR="00A9106E" w:rsidRDefault="00A9106E">
            <w:pPr>
              <w:jc w:val="both"/>
            </w:pPr>
            <w:r>
              <w:t>0.0673 * (WD * H * D^2)^0.976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344E3D50" w14:textId="29C51A33" w:rsidR="00AD2B7D" w:rsidRDefault="00AD2B7D" w:rsidP="00AD2B7D"/>
    <w:p w14:paraId="433EFB7A" w14:textId="50004B49" w:rsidR="00AD2B7D" w:rsidRDefault="00AD2B7D" w:rsidP="00AD2B7D">
      <w:r>
        <w:t xml:space="preserve">Table S3. </w:t>
      </w:r>
      <w:r w:rsidRPr="00AD2B7D">
        <w:t>ANOVA results of structural attributes at plot level</w:t>
      </w:r>
    </w:p>
    <w:p w14:paraId="44197154" w14:textId="00643869" w:rsidR="00AD2B7D" w:rsidRDefault="00AD2B7D" w:rsidP="00AD2B7D">
      <w:r>
        <w:t>Table S</w:t>
      </w:r>
      <w:r w:rsidR="00D72218">
        <w:t>4</w:t>
      </w:r>
      <w:r>
        <w:t xml:space="preserve">. </w:t>
      </w:r>
      <w:r w:rsidR="00D72218">
        <w:t xml:space="preserve">ANOVA and pairwise comparison </w:t>
      </w:r>
      <w:r>
        <w:t>of tree size classes contribution to AGB and stem per site.</w:t>
      </w:r>
    </w:p>
    <w:p w14:paraId="67145912" w14:textId="4B67BDB9" w:rsidR="00AD2B7D" w:rsidRDefault="00AD2B7D" w:rsidP="00AD2B7D">
      <w:r>
        <w:t>Table S</w:t>
      </w:r>
      <w:r w:rsidR="00D72218">
        <w:t>5</w:t>
      </w:r>
      <w:r>
        <w:t xml:space="preserve">. </w:t>
      </w:r>
      <w:r w:rsidR="00D72218">
        <w:t xml:space="preserve">Two-way ANOVA and pairwise comparison results </w:t>
      </w:r>
      <w:r>
        <w:t>of tree size classes contribution to AGB and stem per plot.</w:t>
      </w:r>
    </w:p>
    <w:p w14:paraId="7A8151D0" w14:textId="46FBB99B" w:rsidR="00AD2B7D" w:rsidRDefault="00AD2B7D" w:rsidP="007B1347"/>
    <w:tbl>
      <w:tblPr>
        <w:tblStyle w:val="Tablaconcuadrcula"/>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FC6DCB" w:rsidRDefault="00760876" w:rsidP="007B1347">
            <w:pPr>
              <w:rPr>
                <w:lang w:val="es-MX"/>
              </w:rPr>
            </w:pPr>
          </w:p>
        </w:tc>
      </w:tr>
    </w:tbl>
    <w:p w14:paraId="420C4CE5" w14:textId="77777777" w:rsidR="00760876" w:rsidRDefault="00760876" w:rsidP="007B1347"/>
    <w:p w14:paraId="1A4E4693" w14:textId="77777777" w:rsidR="00D61217" w:rsidRDefault="00D61217" w:rsidP="007B1347"/>
    <w:tbl>
      <w:tblPr>
        <w:tblStyle w:val="Tablaconcuadrcula"/>
        <w:tblW w:w="0" w:type="auto"/>
        <w:tblLook w:val="04A0" w:firstRow="1" w:lastRow="0" w:firstColumn="1" w:lastColumn="0" w:noHBand="0" w:noVBand="1"/>
      </w:tblPr>
      <w:tblGrid>
        <w:gridCol w:w="4389"/>
        <w:gridCol w:w="4439"/>
      </w:tblGrid>
      <w:tr w:rsidR="00D61217" w14:paraId="446E8EB0" w14:textId="77777777" w:rsidTr="00D61217">
        <w:tc>
          <w:tcPr>
            <w:tcW w:w="4414"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14"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96095D">
        <w:tc>
          <w:tcPr>
            <w:tcW w:w="8828" w:type="dxa"/>
            <w:gridSpan w:val="2"/>
          </w:tcPr>
          <w:p w14:paraId="1556048C" w14:textId="6E99AAC0" w:rsidR="00D61217" w:rsidRDefault="00D61217" w:rsidP="007B1347">
            <w:r>
              <w:t>Figure S2. Correlation matrices</w:t>
            </w:r>
            <w:r>
              <w:t xml:space="preserve">. </w:t>
            </w:r>
          </w:p>
        </w:tc>
      </w:tr>
      <w:tr w:rsidR="00FC6DCB" w14:paraId="11623C28" w14:textId="77777777" w:rsidTr="00FC6DCB">
        <w:tc>
          <w:tcPr>
            <w:tcW w:w="8828" w:type="dxa"/>
            <w:gridSpan w:val="2"/>
          </w:tcPr>
          <w:p w14:paraId="4DCECB83" w14:textId="69EAE786" w:rsidR="00FC6DCB" w:rsidRDefault="00FC6DCB" w:rsidP="007B1347">
            <w:r>
              <w:rPr>
                <w:noProof/>
              </w:rPr>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aconcuadrcula"/>
        <w:tblW w:w="0" w:type="auto"/>
        <w:tblLook w:val="04A0" w:firstRow="1" w:lastRow="0" w:firstColumn="1" w:lastColumn="0" w:noHBand="0" w:noVBand="1"/>
      </w:tblPr>
      <w:tblGrid>
        <w:gridCol w:w="8828"/>
      </w:tblGrid>
      <w:tr w:rsidR="00FC6DCB" w14:paraId="4ABB6AF7" w14:textId="77777777" w:rsidTr="00FC6DCB">
        <w:tc>
          <w:tcPr>
            <w:tcW w:w="8828" w:type="dxa"/>
          </w:tcPr>
          <w:p w14:paraId="37B977BE" w14:textId="113E4DBD" w:rsidR="00363436" w:rsidRDefault="00363436" w:rsidP="00363436">
            <w:r>
              <w:t>a)</w:t>
            </w:r>
          </w:p>
          <w:p w14:paraId="69E3297C" w14:textId="676C1048" w:rsidR="00FC6DCB" w:rsidRDefault="00FC6DCB" w:rsidP="00FC6DCB">
            <w:pPr>
              <w:jc w:val="center"/>
            </w:pPr>
            <w:r>
              <w:rPr>
                <w:noProof/>
              </w:rPr>
              <w:drawing>
                <wp:inline distT="0" distB="0" distL="0" distR="0" wp14:anchorId="1758F9EC" wp14:editId="7EAEADB6">
                  <wp:extent cx="3960000" cy="244080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440800"/>
                          </a:xfrm>
                          <a:prstGeom prst="rect">
                            <a:avLst/>
                          </a:prstGeom>
                          <a:noFill/>
                          <a:ln>
                            <a:noFill/>
                          </a:ln>
                        </pic:spPr>
                      </pic:pic>
                    </a:graphicData>
                  </a:graphic>
                </wp:inline>
              </w:drawing>
            </w:r>
          </w:p>
        </w:tc>
      </w:tr>
      <w:tr w:rsidR="00FC6DCB" w14:paraId="135309ED" w14:textId="77777777" w:rsidTr="00FC6DCB">
        <w:tc>
          <w:tcPr>
            <w:tcW w:w="8828" w:type="dxa"/>
          </w:tcPr>
          <w:p w14:paraId="59CF2B0C" w14:textId="3D6BDB39" w:rsidR="00363436" w:rsidRDefault="00363436" w:rsidP="00363436">
            <w:r>
              <w:t>b)</w:t>
            </w:r>
          </w:p>
          <w:p w14:paraId="39D3F461" w14:textId="518AEDBC" w:rsidR="00363436" w:rsidRDefault="00363436" w:rsidP="00FC6DCB">
            <w:pPr>
              <w:jc w:val="center"/>
            </w:pPr>
            <w:r>
              <w:rPr>
                <w:noProof/>
              </w:rPr>
              <w:drawing>
                <wp:inline distT="0" distB="0" distL="0" distR="0" wp14:anchorId="5EF21B02" wp14:editId="0902F558">
                  <wp:extent cx="3960000" cy="24408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440800"/>
                          </a:xfrm>
                          <a:prstGeom prst="rect">
                            <a:avLst/>
                          </a:prstGeom>
                          <a:noFill/>
                          <a:ln>
                            <a:noFill/>
                          </a:ln>
                        </pic:spPr>
                      </pic:pic>
                    </a:graphicData>
                  </a:graphic>
                </wp:inline>
              </w:drawing>
            </w:r>
          </w:p>
        </w:tc>
      </w:tr>
      <w:tr w:rsidR="00FC6DCB" w14:paraId="01EC676F" w14:textId="77777777" w:rsidTr="00FC6DCB">
        <w:tc>
          <w:tcPr>
            <w:tcW w:w="8828" w:type="dxa"/>
          </w:tcPr>
          <w:p w14:paraId="644A7E1C" w14:textId="77777777" w:rsidR="00FC6DCB" w:rsidRDefault="00FC6DCB" w:rsidP="00FC6DCB">
            <w:r>
              <w:t>Figure S4. Contribution of tree size classes to stem density and agb at site level</w:t>
            </w:r>
          </w:p>
          <w:p w14:paraId="1303554F" w14:textId="77777777" w:rsidR="00FC6DCB" w:rsidRDefault="00FC6DCB" w:rsidP="00B36544"/>
        </w:tc>
      </w:tr>
    </w:tbl>
    <w:p w14:paraId="4DC6770A" w14:textId="77777777" w:rsidR="00FC6DCB" w:rsidRDefault="00FC6DCB" w:rsidP="00B36544"/>
    <w:tbl>
      <w:tblPr>
        <w:tblStyle w:val="Tablaconcuadrcula"/>
        <w:tblW w:w="0" w:type="auto"/>
        <w:tblLook w:val="04A0" w:firstRow="1" w:lastRow="0" w:firstColumn="1" w:lastColumn="0" w:noHBand="0" w:noVBand="1"/>
      </w:tblPr>
      <w:tblGrid>
        <w:gridCol w:w="4317"/>
        <w:gridCol w:w="4511"/>
      </w:tblGrid>
      <w:tr w:rsidR="00363436" w14:paraId="3C2D75AC" w14:textId="77777777" w:rsidTr="0046261B">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46261B">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C327C3">
        <w:tc>
          <w:tcPr>
            <w:tcW w:w="8828" w:type="dxa"/>
            <w:gridSpan w:val="2"/>
          </w:tcPr>
          <w:p w14:paraId="16C4BBA2" w14:textId="77777777" w:rsidR="00FC6DCB" w:rsidRDefault="00FC6DCB" w:rsidP="007B1347">
            <w:r>
              <w:t>Figure S5.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85474"/>
    <w:rsid w:val="0009212F"/>
    <w:rsid w:val="000A5956"/>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C1BB6"/>
    <w:rsid w:val="001C6E1B"/>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7A7"/>
    <w:rsid w:val="00340AF0"/>
    <w:rsid w:val="00347884"/>
    <w:rsid w:val="00351E02"/>
    <w:rsid w:val="00357A68"/>
    <w:rsid w:val="00361ED7"/>
    <w:rsid w:val="0036294C"/>
    <w:rsid w:val="00363436"/>
    <w:rsid w:val="00367B62"/>
    <w:rsid w:val="00373FF5"/>
    <w:rsid w:val="00374D1F"/>
    <w:rsid w:val="003878AB"/>
    <w:rsid w:val="00387EE3"/>
    <w:rsid w:val="003A3660"/>
    <w:rsid w:val="003B30D6"/>
    <w:rsid w:val="003C023A"/>
    <w:rsid w:val="003C0426"/>
    <w:rsid w:val="003D324A"/>
    <w:rsid w:val="003D53A5"/>
    <w:rsid w:val="003E046E"/>
    <w:rsid w:val="003F0A35"/>
    <w:rsid w:val="00407773"/>
    <w:rsid w:val="00436AE9"/>
    <w:rsid w:val="004522E7"/>
    <w:rsid w:val="004677AF"/>
    <w:rsid w:val="00467A11"/>
    <w:rsid w:val="00472738"/>
    <w:rsid w:val="00482C2A"/>
    <w:rsid w:val="00486A20"/>
    <w:rsid w:val="004A19D6"/>
    <w:rsid w:val="004A392D"/>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95263"/>
    <w:rsid w:val="006A5ED5"/>
    <w:rsid w:val="006B6C9F"/>
    <w:rsid w:val="006C6F73"/>
    <w:rsid w:val="006D1CD6"/>
    <w:rsid w:val="006D39A0"/>
    <w:rsid w:val="006D748E"/>
    <w:rsid w:val="006E5D26"/>
    <w:rsid w:val="006F746E"/>
    <w:rsid w:val="00712031"/>
    <w:rsid w:val="007222FB"/>
    <w:rsid w:val="00724EDB"/>
    <w:rsid w:val="00732CE0"/>
    <w:rsid w:val="00734255"/>
    <w:rsid w:val="00740D1C"/>
    <w:rsid w:val="00751CD8"/>
    <w:rsid w:val="00754CAE"/>
    <w:rsid w:val="00756968"/>
    <w:rsid w:val="00760876"/>
    <w:rsid w:val="00777EC8"/>
    <w:rsid w:val="0078236C"/>
    <w:rsid w:val="007858F3"/>
    <w:rsid w:val="007869F6"/>
    <w:rsid w:val="007930AC"/>
    <w:rsid w:val="0079602F"/>
    <w:rsid w:val="007962B2"/>
    <w:rsid w:val="007A053A"/>
    <w:rsid w:val="007A3621"/>
    <w:rsid w:val="007B1347"/>
    <w:rsid w:val="007B1F6B"/>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3925"/>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57D3"/>
    <w:rsid w:val="00A37B1C"/>
    <w:rsid w:val="00A463A5"/>
    <w:rsid w:val="00A55307"/>
    <w:rsid w:val="00A61571"/>
    <w:rsid w:val="00A62DDA"/>
    <w:rsid w:val="00A63BC3"/>
    <w:rsid w:val="00A6402B"/>
    <w:rsid w:val="00A66BFF"/>
    <w:rsid w:val="00A71795"/>
    <w:rsid w:val="00A73B68"/>
    <w:rsid w:val="00A80C1D"/>
    <w:rsid w:val="00A9106E"/>
    <w:rsid w:val="00A94203"/>
    <w:rsid w:val="00A964E1"/>
    <w:rsid w:val="00AA6C78"/>
    <w:rsid w:val="00AB4CBF"/>
    <w:rsid w:val="00AB6841"/>
    <w:rsid w:val="00AB7D92"/>
    <w:rsid w:val="00AD1844"/>
    <w:rsid w:val="00AD2B7D"/>
    <w:rsid w:val="00AD65E2"/>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25A9"/>
    <w:rsid w:val="00BE6A18"/>
    <w:rsid w:val="00C049EB"/>
    <w:rsid w:val="00C05831"/>
    <w:rsid w:val="00C11442"/>
    <w:rsid w:val="00C15A2A"/>
    <w:rsid w:val="00C178FC"/>
    <w:rsid w:val="00C230C9"/>
    <w:rsid w:val="00C3754D"/>
    <w:rsid w:val="00C448C4"/>
    <w:rsid w:val="00C53A9A"/>
    <w:rsid w:val="00C5621A"/>
    <w:rsid w:val="00C62945"/>
    <w:rsid w:val="00C6577F"/>
    <w:rsid w:val="00C66C72"/>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1217"/>
    <w:rsid w:val="00D65F2A"/>
    <w:rsid w:val="00D66041"/>
    <w:rsid w:val="00D67390"/>
    <w:rsid w:val="00D7056F"/>
    <w:rsid w:val="00D72218"/>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0682"/>
    <w:rsid w:val="00EA5B92"/>
    <w:rsid w:val="00EB5280"/>
    <w:rsid w:val="00ED4953"/>
    <w:rsid w:val="00EE503E"/>
    <w:rsid w:val="00EF01A3"/>
    <w:rsid w:val="00EF7316"/>
    <w:rsid w:val="00F05305"/>
    <w:rsid w:val="00F2120F"/>
    <w:rsid w:val="00F3719E"/>
    <w:rsid w:val="00F426CB"/>
    <w:rsid w:val="00F433B7"/>
    <w:rsid w:val="00F46522"/>
    <w:rsid w:val="00F65744"/>
    <w:rsid w:val="00F70EE6"/>
    <w:rsid w:val="00F8549D"/>
    <w:rsid w:val="00F924F6"/>
    <w:rsid w:val="00F927A4"/>
    <w:rsid w:val="00F95F87"/>
    <w:rsid w:val="00FA3E68"/>
    <w:rsid w:val="00FA40CD"/>
    <w:rsid w:val="00FA4794"/>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11144</TotalTime>
  <Pages>22</Pages>
  <Words>6299</Words>
  <Characters>35908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210</cp:revision>
  <dcterms:created xsi:type="dcterms:W3CDTF">2022-02-09T04:05:00Z</dcterms:created>
  <dcterms:modified xsi:type="dcterms:W3CDTF">2022-02-26T06:31:00Z</dcterms:modified>
</cp:coreProperties>
</file>