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61101149" w:rsidR="00467A11" w:rsidRDefault="00467A11">
      <w:r w:rsidRPr="00CE29E1">
        <w:rPr>
          <w:b/>
          <w:bCs/>
        </w:rPr>
        <w:t>Title.</w:t>
      </w:r>
      <w:r>
        <w:t xml:space="preserve"> </w:t>
      </w:r>
      <w:r w:rsidR="00925CBE">
        <w:t>Land-use history shapes tree aboveground biomass patterns in tropical montane cloud forest landscapes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1C487468" w:rsidR="00467A11" w:rsidRDefault="00467A11">
      <w:pPr>
        <w:rPr>
          <w:b/>
          <w:bCs/>
        </w:rPr>
      </w:pPr>
      <w:r w:rsidRPr="00CE29E1">
        <w:rPr>
          <w:b/>
          <w:bCs/>
        </w:rPr>
        <w:t>Introduction</w:t>
      </w:r>
    </w:p>
    <w:p w14:paraId="4DACF304" w14:textId="77777777" w:rsidR="003878AB" w:rsidRDefault="00556B6E" w:rsidP="003878AB">
      <w:r w:rsidRPr="00556B6E">
        <w:t xml:space="preserve">How does </w:t>
      </w:r>
      <w:r>
        <w:t>small-scale farming shape</w:t>
      </w:r>
      <w:r w:rsidR="00134917">
        <w:t>s regional patterns of AGB in tropical montane cloud forest across environmental gradients?</w:t>
      </w:r>
    </w:p>
    <w:p w14:paraId="003D8768" w14:textId="77777777" w:rsidR="003878AB" w:rsidRDefault="003878AB" w:rsidP="003878AB">
      <w:pPr>
        <w:pStyle w:val="Prrafodelista"/>
        <w:numPr>
          <w:ilvl w:val="0"/>
          <w:numId w:val="2"/>
        </w:numPr>
      </w:pPr>
      <w:r>
        <w:t>How much AGB TMCFs hold and where is it allocated?</w:t>
      </w:r>
    </w:p>
    <w:p w14:paraId="13D7D368" w14:textId="77777777" w:rsidR="003878AB" w:rsidRDefault="003878AB" w:rsidP="003878AB">
      <w:pPr>
        <w:pStyle w:val="Prrafodelista"/>
        <w:numPr>
          <w:ilvl w:val="0"/>
          <w:numId w:val="2"/>
        </w:numPr>
      </w:pPr>
      <w:r>
        <w:t>How does land-use shape AGB spatial patterns along an environmental gradient?</w:t>
      </w:r>
    </w:p>
    <w:p w14:paraId="3AC18747" w14:textId="7F986140" w:rsidR="003878AB" w:rsidRDefault="003878AB" w:rsidP="003878AB">
      <w:pPr>
        <w:pStyle w:val="Prrafodelista"/>
        <w:numPr>
          <w:ilvl w:val="0"/>
          <w:numId w:val="2"/>
        </w:numPr>
      </w:pPr>
      <w:r>
        <w:t xml:space="preserve">What is the relationship between AGB and tree diversity in TMCF? </w:t>
      </w:r>
    </w:p>
    <w:p w14:paraId="23E21D62" w14:textId="7C328FBF" w:rsidR="00CC46F1" w:rsidRPr="00556B6E" w:rsidRDefault="00CC46F1" w:rsidP="003878AB">
      <w:r>
        <w:t>Acronyms: TMCF, FI</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5EA21354" w:rsidR="00FA4794" w:rsidRDefault="00FA4794">
      <w:pPr>
        <w:rPr>
          <w:rStyle w:val="textlayer--absolute"/>
          <w:rFonts w:cstheme="minorHAnsi"/>
        </w:rPr>
      </w:pPr>
      <w:r>
        <w:t xml:space="preserve">We delimited a study area following a </w:t>
      </w:r>
      <w:r w:rsidR="001424A3">
        <w:t>TMCF</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715B8BB4"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Mexican National Forest Inventory 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WorldClim (CITA). Lastly, we retrieved topographical information from NASA’s </w:t>
      </w:r>
      <w:r w:rsidR="00E26313" w:rsidRPr="00F72499">
        <w:t>Shuttle Radar Topography Mission</w:t>
      </w:r>
      <w:r w:rsidR="00E26313">
        <w:t xml:space="preserve"> </w:t>
      </w:r>
      <w:r w:rsidR="00E26313">
        <w:lastRenderedPageBreak/>
        <w:t>digital elevation data.</w:t>
      </w:r>
      <w:r w:rsidR="00F70EE6">
        <w:t xml:space="preserve"> </w:t>
      </w:r>
      <w:r w:rsidR="00FE6455">
        <w:t>A detailed description of the foregoing variables can be found below (see also Table 1 for a summary of the variables).</w:t>
      </w:r>
      <w:r w:rsidR="00A73B68">
        <w:t xml:space="preserve"> </w:t>
      </w:r>
    </w:p>
    <w:p w14:paraId="32BE9969" w14:textId="01E898C2" w:rsidR="005E1A3C" w:rsidRPr="005E1A3C" w:rsidRDefault="00323A21">
      <w:r w:rsidRPr="00026BC0">
        <w:rPr>
          <w:i/>
          <w:iCs/>
        </w:rPr>
        <w:t>Forest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521264">
        <w:t xml:space="preserve">(CONAFOR, 2018). </w:t>
      </w:r>
      <w:r w:rsidR="005E1A3C">
        <w:t>For selecting FI sites relevant to our study, we performed a</w:t>
      </w:r>
      <w:r w:rsidR="00CB78F2">
        <w:t xml:space="preserve"> spatial</w:t>
      </w:r>
      <w:r w:rsidR="005E1A3C">
        <w:t xml:space="preserve"> intersection </w:t>
      </w:r>
      <w:r w:rsidR="00022F45">
        <w:t xml:space="preserve">in QGIS 3.16 </w:t>
      </w:r>
      <w:r w:rsidR="00CB78F2">
        <w:t>between</w:t>
      </w:r>
      <w:r w:rsidR="005E1A3C">
        <w:t xml:space="preserve"> </w:t>
      </w:r>
      <w:r w:rsidR="00CB78F2">
        <w:t xml:space="preserve">FI </w:t>
      </w:r>
      <w:r w:rsidR="005E1A3C">
        <w:t xml:space="preserve">sites </w:t>
      </w:r>
      <w:r w:rsidR="00CB78F2">
        <w:t xml:space="preserve">and the NMO </w:t>
      </w:r>
      <w:r w:rsidR="00022F45">
        <w:t>using</w:t>
      </w:r>
      <w:r w:rsidR="00CB78F2">
        <w:t xml:space="preserve"> </w:t>
      </w:r>
      <w:r w:rsidR="00022F45">
        <w:t xml:space="preserve">FI sites’ geographic coordinates and </w:t>
      </w:r>
      <w:r w:rsidR="00CB78F2">
        <w:t xml:space="preserve">the NMO shapefile we acquired from </w:t>
      </w:r>
      <w:r w:rsidR="00022F45">
        <w:t xml:space="preserve">the </w:t>
      </w:r>
      <w:r w:rsidR="00022F45">
        <w:rPr>
          <w:rStyle w:val="textlayer--absolute"/>
          <w:rFonts w:cstheme="minorHAnsi"/>
        </w:rPr>
        <w:t>National Commission of Biodiversity (CONABIO) GeoPortal (CITAS)</w:t>
      </w:r>
      <w:r w:rsidR="00022F45">
        <w:t xml:space="preserve">. </w:t>
      </w:r>
      <w:r w:rsidR="00966414">
        <w:t xml:space="preserve"> </w:t>
      </w:r>
    </w:p>
    <w:p w14:paraId="1B69AEB6" w14:textId="2F59CE86" w:rsidR="00A61571" w:rsidRDefault="00EB5280" w:rsidP="003C023A">
      <w:r w:rsidRPr="003C023A">
        <w:rPr>
          <w:i/>
          <w:iCs/>
        </w:rPr>
        <w:t>Forest Structural Attributes</w:t>
      </w:r>
      <w:r w:rsidR="00887371" w:rsidRPr="003C023A">
        <w:rPr>
          <w:i/>
          <w:iCs/>
        </w:rPr>
        <w:t xml:space="preserve"> and A</w:t>
      </w:r>
      <w:r w:rsidR="00A61571" w:rsidRPr="003C023A">
        <w:rPr>
          <w:i/>
          <w:iCs/>
        </w:rPr>
        <w:t>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Lorey’s height, which is a measure of forest stand height weighted by its basal area. </w:t>
      </w:r>
    </w:p>
    <w:p w14:paraId="647E6B64" w14:textId="40527DA3" w:rsidR="008366F6" w:rsidRDefault="003C023A" w:rsidP="003C023A">
      <w:r>
        <w:tab/>
        <w:t xml:space="preserve">To estimate AGB, </w:t>
      </w:r>
      <w:r w:rsidR="00AB6841">
        <w:t xml:space="preserve">we first calculated each individual’s AGB using </w:t>
      </w:r>
      <w:r w:rsidR="009761E9">
        <w:t xml:space="preserve">47 different </w:t>
      </w:r>
      <w:r>
        <w:t>allometric equations</w:t>
      </w:r>
      <w:r w:rsidR="009761E9">
        <w:t xml:space="preserve"> (Table 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developed by Chave </w:t>
      </w:r>
      <w:r w:rsidRPr="006B4768">
        <w:rPr>
          <w:i/>
          <w:iCs/>
        </w:rPr>
        <w:t>et al.</w:t>
      </w:r>
      <w:r>
        <w:t xml:space="preserve"> (2014</w:t>
      </w:r>
      <w:r w:rsidR="006D1CD6">
        <w:t>(2015?)</w:t>
      </w:r>
      <w:r>
        <w:t>) for tropical trees</w:t>
      </w:r>
      <w:r w:rsidR="008366F6">
        <w:t xml:space="preserve"> based </w:t>
      </w:r>
      <w:r w:rsidR="00AB6841">
        <w:t>on tree</w:t>
      </w:r>
      <w:r w:rsidR="009761E9" w:rsidRPr="009761E9">
        <w:t xml:space="preserve"> </w:t>
      </w:r>
      <w:r w:rsidR="009761E9">
        <w:t>wood density</w:t>
      </w:r>
      <w:r w:rsidR="006D748E">
        <w:t xml:space="preserve"> (</w:t>
      </w:r>
      <w:r w:rsidR="006D748E" w:rsidRPr="006D748E">
        <w:rPr>
          <w:rFonts w:cstheme="minorHAnsi"/>
          <w:i/>
          <w:iCs/>
        </w:rPr>
        <w:t>ρ</w:t>
      </w:r>
      <w:r w:rsidR="006D748E" w:rsidRPr="006D748E">
        <w:rPr>
          <w:rFonts w:cstheme="minorHAnsi"/>
        </w:rPr>
        <w:t>)</w:t>
      </w:r>
      <w:r w:rsidR="008366F6">
        <w:t xml:space="preserve">, height </w:t>
      </w:r>
      <w:r w:rsidR="006D748E">
        <w:t>(</w:t>
      </w:r>
      <w:r w:rsidR="006D748E" w:rsidRPr="006D748E">
        <w:rPr>
          <w:i/>
          <w:iCs/>
        </w:rPr>
        <w:t>H</w:t>
      </w:r>
      <w:r w:rsidR="006D748E">
        <w:t xml:space="preserve">) </w:t>
      </w:r>
      <w:r w:rsidR="008366F6">
        <w:t xml:space="preserve">and </w:t>
      </w:r>
      <w:r w:rsidR="009761E9">
        <w:t>DBH</w:t>
      </w:r>
      <w:r w:rsidR="006D748E">
        <w:t xml:space="preserve"> (</w:t>
      </w:r>
      <w:r w:rsidR="006D748E" w:rsidRPr="006D748E">
        <w:rPr>
          <w:i/>
          <w:iCs/>
        </w:rPr>
        <w:t>D</w:t>
      </w:r>
      <w:r w:rsidR="006D748E">
        <w:t>)</w:t>
      </w:r>
      <w:r w:rsidR="00AB6841">
        <w:t>:</w:t>
      </w:r>
      <w:r w:rsidR="008366F6">
        <w:t xml:space="preserve"> </w:t>
      </w:r>
    </w:p>
    <w:tbl>
      <w:tblPr>
        <w:tblStyle w:val="Tablaconcuadrcula"/>
        <w:tblW w:w="0" w:type="auto"/>
        <w:tblLook w:val="04A0" w:firstRow="1" w:lastRow="0" w:firstColumn="1" w:lastColumn="0" w:noHBand="0" w:noVBand="1"/>
      </w:tblPr>
      <w:tblGrid>
        <w:gridCol w:w="4414"/>
        <w:gridCol w:w="4414"/>
      </w:tblGrid>
      <w:tr w:rsidR="00E103E4" w14:paraId="1677BA9F" w14:textId="77777777" w:rsidTr="00E103E4">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77777777" w:rsidR="00E103E4" w:rsidRDefault="00E103E4" w:rsidP="003C023A"/>
        </w:tc>
      </w:tr>
    </w:tbl>
    <w:p w14:paraId="491FB1BC" w14:textId="77777777" w:rsidR="00E103E4" w:rsidRDefault="00E103E4" w:rsidP="003C023A"/>
    <w:p w14:paraId="1E4DAE51" w14:textId="651369C3"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rsidR="002F10FB">
        <w:t xml:space="preserve"> using </w:t>
      </w:r>
      <w:r w:rsidR="00C049EB">
        <w:t xml:space="preserve">the </w:t>
      </w:r>
      <w:r>
        <w:t>R package BIOMASS (</w:t>
      </w:r>
      <w:r w:rsidRPr="00D70173">
        <w:t>Réjou‐Méchain</w:t>
      </w:r>
      <w:r>
        <w:t>, 2017).</w:t>
      </w:r>
    </w:p>
    <w:p w14:paraId="7EA1D91F" w14:textId="676DE041"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Chave et al. (2004). </w:t>
      </w:r>
      <w:r w:rsidR="00F95F87">
        <w:t>To estimate site’s AGB error, w</w:t>
      </w:r>
      <w:r w:rsidR="001872F6">
        <w:t>e assumed standard error independence and used</w:t>
      </w:r>
      <w:r>
        <w:t xml:space="preserve"> the following equation: </w:t>
      </w:r>
    </w:p>
    <w:tbl>
      <w:tblPr>
        <w:tblStyle w:val="Tablaconcuadrcula"/>
        <w:tblW w:w="0" w:type="auto"/>
        <w:tblLook w:val="04A0" w:firstRow="1" w:lastRow="0" w:firstColumn="1" w:lastColumn="0" w:noHBand="0" w:noVBand="1"/>
      </w:tblPr>
      <w:tblGrid>
        <w:gridCol w:w="4414"/>
        <w:gridCol w:w="4414"/>
      </w:tblGrid>
      <w:tr w:rsidR="00E21A15" w14:paraId="21E98212" w14:textId="77777777" w:rsidTr="00E21A15">
        <w:tc>
          <w:tcPr>
            <w:tcW w:w="4414" w:type="dxa"/>
          </w:tcPr>
          <w:p w14:paraId="77FABDA8" w14:textId="77777777" w:rsidR="00E21A15" w:rsidRDefault="004F2B59"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77777777" w:rsidR="00E21A15" w:rsidRDefault="00E21A15" w:rsidP="00FE38C0"/>
        </w:tc>
      </w:tr>
    </w:tbl>
    <w:p w14:paraId="038A7B28" w14:textId="77777777" w:rsidR="00E21A15" w:rsidRDefault="00E21A15" w:rsidP="00FE38C0">
      <w:pPr>
        <w:ind w:firstLine="720"/>
      </w:pPr>
    </w:p>
    <w:p w14:paraId="3A8EA7C9" w14:textId="3AD5D6B3" w:rsidR="00A61571" w:rsidRDefault="00A61571">
      <w:r w:rsidRPr="001872F6">
        <w:rPr>
          <w:i/>
          <w:iCs/>
        </w:rPr>
        <w:t>Tree Diversity</w:t>
      </w:r>
      <w:r w:rsidR="001872F6" w:rsidRPr="001872F6">
        <w:rPr>
          <w:i/>
          <w:iCs/>
        </w:rPr>
        <w:t xml:space="preserve">. </w:t>
      </w:r>
      <w:r w:rsidR="00BC59BF">
        <w:t xml:space="preserve">We calculated species richness, </w:t>
      </w:r>
      <w:r w:rsidR="00BC59BF" w:rsidRPr="00BC59BF">
        <w:rPr>
          <w:i/>
          <w:iCs/>
        </w:rPr>
        <w:t>i.e.</w:t>
      </w:r>
      <w:r w:rsidR="00BC59BF">
        <w:t xml:space="preserve">, the total number of species, </w:t>
      </w:r>
      <w:r w:rsidR="009176A8">
        <w:t xml:space="preserve">and </w:t>
      </w:r>
      <w:r w:rsidR="00BC59BF">
        <w:t>Shannon (H) diversity ind</w:t>
      </w:r>
      <w:r w:rsidR="009176A8">
        <w:t xml:space="preserve">ex </w:t>
      </w:r>
      <w:r w:rsidR="00BC59BF">
        <w:t>with the following equation:</w:t>
      </w:r>
    </w:p>
    <w:tbl>
      <w:tblPr>
        <w:tblStyle w:val="Tablaconcuadrcula"/>
        <w:tblW w:w="0" w:type="auto"/>
        <w:tblLook w:val="04A0" w:firstRow="1" w:lastRow="0" w:firstColumn="1" w:lastColumn="0" w:noHBand="0" w:noVBand="1"/>
      </w:tblPr>
      <w:tblGrid>
        <w:gridCol w:w="4414"/>
        <w:gridCol w:w="4414"/>
      </w:tblGrid>
      <w:tr w:rsidR="00563B45" w14:paraId="7C9FED57" w14:textId="77777777" w:rsidTr="00563B45">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212752CB" w14:textId="77777777" w:rsidR="00563B45" w:rsidRDefault="00563B45" w:rsidP="002B56B2"/>
        </w:tc>
      </w:tr>
    </w:tbl>
    <w:p w14:paraId="449B721B" w14:textId="77777777" w:rsidR="002F46BE" w:rsidRDefault="002F46BE"/>
    <w:p w14:paraId="373BDD83" w14:textId="3A6EB827" w:rsidR="002B56B2"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5E4030" w:rsidRPr="005E4030">
        <w:rPr>
          <w:i/>
          <w:iCs/>
        </w:rPr>
        <w:t>i</w:t>
      </w:r>
      <w:r w:rsidR="005E4030">
        <w:t xml:space="preserve"> and </w:t>
      </w:r>
      <w:r w:rsidR="005E4030" w:rsidRPr="005E4030">
        <w:rPr>
          <w:i/>
          <w:iCs/>
        </w:rPr>
        <w:t>S</w:t>
      </w:r>
      <w:r w:rsidR="005E4030">
        <w:t xml:space="preserve"> is the number of species. </w:t>
      </w:r>
    </w:p>
    <w:p w14:paraId="0F532496" w14:textId="6ED80C44" w:rsidR="00323A21" w:rsidRDefault="00323A21" w:rsidP="00BA2CCE">
      <w:r w:rsidRPr="00BA2CCE">
        <w:rPr>
          <w:i/>
          <w:iCs/>
        </w:rPr>
        <w:t>Environmental and Topographic Variables</w:t>
      </w:r>
      <w:r w:rsidR="00BA2CCE">
        <w:t xml:space="preserve">. </w:t>
      </w:r>
      <w:r w:rsidR="00C11442">
        <w:rPr>
          <w:rStyle w:val="textlayer--absolute"/>
          <w:rFonts w:cstheme="minorHAnsi"/>
        </w:rPr>
        <w:t xml:space="preserve">We calculated annual precipitation extracting WorldClim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WorldClim’s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2E6B11FE" w:rsidR="00220CB3" w:rsidRDefault="00323A21" w:rsidP="00220CB3">
      <w:r w:rsidRPr="00C11442">
        <w:rPr>
          <w:i/>
          <w:iCs/>
        </w:rPr>
        <w:t>Land-use Variables</w:t>
      </w:r>
      <w:r w:rsidR="00C11442">
        <w:t xml:space="preserve">. </w:t>
      </w:r>
      <w:r w:rsidR="00220CB3">
        <w:t>To quantify land-use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proportion of different types of land cover within a site)</w:t>
      </w:r>
      <w:r w:rsidR="00220CB3">
        <w:t>. We assessed FI sites’ forest disturbance related to agricultural and grazing activities at the time of data collection using FI’s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four category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6B53E6BF"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using structural attributes, including tree height, DBH, and tree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w:t>
      </w:r>
      <w:r w:rsidR="00F95F87">
        <w:t>Figure S</w:t>
      </w:r>
      <w:r w:rsidR="008013B1">
        <w:t>1</w:t>
      </w:r>
      <w:r>
        <w:t>). Other studies conducted in TMCF in Oaxaca have shown that tree height, DBH, and tree density change through time after disturbance and are useful for estimating an approximate stage of forest succession in forest-agriculture mosaics (Velasco-Murguía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31F1DE99"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9D14DA">
        <w:t xml:space="preserve">adding up all successional stages within a site and normalizing the value as follows: </w:t>
      </w:r>
    </w:p>
    <w:tbl>
      <w:tblPr>
        <w:tblStyle w:val="Tablaconcuadrcula"/>
        <w:tblW w:w="0" w:type="auto"/>
        <w:tblLook w:val="04A0" w:firstRow="1" w:lastRow="0" w:firstColumn="1" w:lastColumn="0" w:noHBand="0" w:noVBand="1"/>
      </w:tblPr>
      <w:tblGrid>
        <w:gridCol w:w="5807"/>
        <w:gridCol w:w="3021"/>
      </w:tblGrid>
      <w:tr w:rsidR="009D14DA" w14:paraId="103C5796" w14:textId="77777777" w:rsidTr="009D14DA">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0E7A9895" w14:textId="77777777" w:rsidR="009D14DA" w:rsidRDefault="009D14DA" w:rsidP="00220CB3"/>
        </w:tc>
      </w:tr>
    </w:tbl>
    <w:p w14:paraId="26F5579E" w14:textId="77777777" w:rsidR="009D14DA" w:rsidRDefault="009D14DA" w:rsidP="00220CB3">
      <w:pPr>
        <w:ind w:firstLine="720"/>
      </w:pPr>
    </w:p>
    <w:p w14:paraId="0D4B37E1" w14:textId="40F7AA76"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S2)</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08CF4EAA"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2DB22CB0"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938</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6155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6699</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214</w:t>
      </w:r>
      <w:r>
        <w:rPr>
          <w:rStyle w:val="textlayer--absolute"/>
          <w:rFonts w:cstheme="minorHAnsi"/>
        </w:rPr>
        <w:t xml:space="preserve"> degrees W, within the distribution of TMCF (Figure 1</w:t>
      </w:r>
      <w:r w:rsidR="005774AC">
        <w:rPr>
          <w:rStyle w:val="textlayer--absolute"/>
          <w:rFonts w:cstheme="minorHAnsi"/>
        </w:rPr>
        <w:t>).</w:t>
      </w:r>
    </w:p>
    <w:p w14:paraId="3D707891" w14:textId="571E01C3" w:rsidR="00323A21" w:rsidRPr="00D035A7" w:rsidRDefault="00323A21">
      <w:pPr>
        <w:rPr>
          <w:i/>
          <w:iCs/>
        </w:rPr>
      </w:pPr>
      <w:r>
        <w:tab/>
      </w:r>
      <w:r w:rsidRPr="00D035A7">
        <w:rPr>
          <w:i/>
          <w:iCs/>
        </w:rPr>
        <w:t>Statistical Analysis</w:t>
      </w:r>
    </w:p>
    <w:p w14:paraId="280AAA29" w14:textId="2AB0356F" w:rsidR="00031DF0" w:rsidRDefault="00180313" w:rsidP="00CE29E1">
      <w:r>
        <w:t xml:space="preserve">We performed statistical analysis at two sampling levels. </w:t>
      </w:r>
      <w:r w:rsidR="001715F4">
        <w:t xml:space="preserve">On the one hand, we used sites </w:t>
      </w:r>
      <w:r w:rsidR="005E3EC7">
        <w:t xml:space="preserve">(n= 40) </w:t>
      </w:r>
      <w:r w:rsidR="001715F4">
        <w:t>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5E3EC7">
        <w:t xml:space="preserve">n= 160;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 analyses to answer our three main questions</w:t>
      </w:r>
      <w:r w:rsidR="003878AB">
        <w:t>. The following sections describe these analyses further.</w:t>
      </w:r>
      <w:r w:rsidR="00C90A5F">
        <w:t xml:space="preserve"> All statistical analyses were performed in R version 4.1.1 (2021).</w:t>
      </w:r>
    </w:p>
    <w:p w14:paraId="047BDB3B" w14:textId="64BBB376"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Cuni-Sanchez et al. (2021) and </w:t>
      </w:r>
      <w:r w:rsidR="003249DA">
        <w:t xml:space="preserve">classified trees in six size classes based on their DBH: </w:t>
      </w:r>
      <w:r w:rsidR="00712031">
        <w:rPr>
          <w:rFonts w:ascii="French Script MT" w:hAnsi="French Script MT"/>
        </w:rPr>
        <w:t>≤</w:t>
      </w:r>
      <w:r w:rsidR="00712031">
        <w:t>10 cm, 10-20 cm, 20-30 cm, 30-40 cm, 40-50 cm, &gt;50 cm.</w:t>
      </w:r>
      <w:r w:rsidR="003249DA">
        <w:t xml:space="preserve"> Then, we calculated the proportion of AGB and stem density per size class in </w:t>
      </w:r>
      <w:r w:rsidR="00C230C9">
        <w:t xml:space="preserve">each </w:t>
      </w:r>
      <w:r w:rsidR="003249DA">
        <w:t>plot</w:t>
      </w:r>
      <w:r w:rsidR="0025062E">
        <w:t xml:space="preserve"> and performed</w:t>
      </w:r>
      <w:r w:rsidR="0078236C">
        <w:t xml:space="preserve"> </w:t>
      </w:r>
      <w:r w:rsidR="00C62945">
        <w:t>an</w:t>
      </w:r>
      <w:r w:rsidR="0078236C">
        <w:t xml:space="preserve"> analysis of variance (ANOVA) to assess the difference in the contribution of tree size to AGB and stem density</w:t>
      </w:r>
      <w:r w:rsidR="00C62945">
        <w:t xml:space="preserve">. Additionally, we computed a two-way ANOVA to evaluate the </w:t>
      </w:r>
      <w:r w:rsidR="005F1B92">
        <w:t xml:space="preserve">differences in the </w:t>
      </w:r>
      <w:r w:rsidR="00C62945">
        <w:t xml:space="preserve">contribution of tree size classes </w:t>
      </w:r>
      <w:r w:rsidR="005F1B92">
        <w:t>within and among</w:t>
      </w:r>
      <w:r w:rsidR="0078236C">
        <w:t xml:space="preserve"> forests at different successional stages.</w:t>
      </w:r>
      <w:r w:rsidR="00D67390">
        <w:t xml:space="preserve"> </w:t>
      </w:r>
      <w:r w:rsidR="005F1B92">
        <w:t>Finally</w:t>
      </w:r>
      <w:r w:rsidR="00D67390">
        <w:t xml:space="preserve">, we carried out </w:t>
      </w:r>
      <w:r w:rsidR="002704B2">
        <w:t>four</w:t>
      </w:r>
      <w:r w:rsidR="00D67390">
        <w:t xml:space="preserve"> </w:t>
      </w:r>
      <w:r w:rsidR="005F1B92">
        <w:t xml:space="preserve">more </w:t>
      </w:r>
      <w:r w:rsidR="00D67390">
        <w:t xml:space="preserve">ANOVA to test whether tree density, tree height, basal area </w:t>
      </w:r>
      <w:r w:rsidR="00F46522">
        <w:t xml:space="preserve">and AGB </w:t>
      </w:r>
      <w:r w:rsidR="00D67390">
        <w:t>are significantly different in forests at different successional stages.</w:t>
      </w:r>
    </w:p>
    <w:p w14:paraId="46B8A3D6" w14:textId="67C31036" w:rsidR="004E732D" w:rsidRDefault="00732CE0" w:rsidP="00732CE0">
      <w:r w:rsidRPr="00732CE0">
        <w:rPr>
          <w:i/>
          <w:iCs/>
        </w:rPr>
        <w:t>AGB patterns along environmental and land-use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 xml:space="preserve">land-use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to Tredennick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of the residuals of the final model </w:t>
      </w:r>
      <w:r w:rsidR="005E30C1">
        <w:t xml:space="preserve">using a neighboring distance of 10, 25, and 50 km, </w:t>
      </w:r>
      <w:r w:rsidR="00802976">
        <w:t>and visualized the spatial distribution of residuals with a map.</w:t>
      </w:r>
    </w:p>
    <w:p w14:paraId="01E631FF" w14:textId="07D04349" w:rsidR="003878AB" w:rsidRDefault="003878AB" w:rsidP="003878AB">
      <w:r w:rsidRPr="00F46522">
        <w:rPr>
          <w:i/>
          <w:iCs/>
        </w:rPr>
        <w:t xml:space="preserve">AGB relationship </w:t>
      </w:r>
      <w:r w:rsidR="001255A6">
        <w:rPr>
          <w:i/>
          <w:iCs/>
        </w:rPr>
        <w:t>to</w:t>
      </w:r>
      <w:r w:rsidRPr="00F46522">
        <w:rPr>
          <w:i/>
          <w:iCs/>
        </w:rPr>
        <w:t xml:space="preserve"> tree diversity.</w:t>
      </w:r>
      <w:r>
        <w:t xml:space="preserve"> To understand the relationship between AGB and </w:t>
      </w:r>
      <w:r w:rsidR="00D03822">
        <w:t xml:space="preserve">tree </w:t>
      </w:r>
      <w:r>
        <w:t>diversity in TMCF, we performed a series of nonparametric regression analysis.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Here, we assessed the relationship between AGB and stem density with S</w:t>
      </w:r>
      <w:r w:rsidR="0079602F">
        <w:t>hannon</w:t>
      </w:r>
      <w:r>
        <w:t xml:space="preserve"> diversity index and species richness at site level fitting locally weighted regression (loess) curves. Similarly, we performed these nonparametric regression analyses at the plot level. Although we do not have specific ages after disturbance for assessing how diversity and AGB change over time, taking a space-by-time approach we evaluated these trends using the three-category successional stages we assigned to each plot. </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77777777"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8.266</w:t>
      </w:r>
      <w:r w:rsidR="00FD0D17">
        <w:t xml:space="preserve"> Mg</w:t>
      </w:r>
      <w:r w:rsidR="003D324A">
        <w:t xml:space="preserve"> ha</w:t>
      </w:r>
      <w:r w:rsidR="003D324A" w:rsidRPr="003D324A">
        <w:rPr>
          <w:vertAlign w:val="superscript"/>
        </w:rPr>
        <w:t>-1</w:t>
      </w:r>
      <w:r w:rsidR="00FD0D17">
        <w:t xml:space="preserve"> to as high as 414.524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(Table 3).</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3)</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p>
    <w:p w14:paraId="3D4106FD" w14:textId="4E8921BD" w:rsidR="00CF3149" w:rsidRDefault="002A2F6B" w:rsidP="00351E02">
      <w:pPr>
        <w:ind w:firstLine="720"/>
      </w:pPr>
      <w:r>
        <w:t>Th</w:t>
      </w:r>
      <w:r w:rsidR="00351E02">
        <w:t>e large</w:t>
      </w:r>
      <w:r>
        <w:t xml:space="preserve"> variation </w:t>
      </w:r>
      <w:r w:rsidR="00351E02">
        <w:t xml:space="preserve">in AGB and structural attributes found in TMCF sites </w:t>
      </w:r>
      <w:r>
        <w:t xml:space="preserve">results from the diversity in landscape composition found in these forest-agriculture mosaics and it is driven by the successional stage of each plot. In very young forests, tree density is </w:t>
      </w:r>
      <w:r w:rsidR="009472E0">
        <w:t>low, and trees are short and thin. As forests develop, all these structural attributes increase. Thus, young forests show larger trees and higher stem density. In mature forests, the density of trees decreases as they become even taller and bigger</w:t>
      </w:r>
      <w:r w:rsidR="007869F6">
        <w:t xml:space="preserve"> (Figure S X-density plots/boxplots of structural attributes)</w:t>
      </w:r>
      <w:r w:rsidR="009472E0">
        <w:t>. As a result, AGB</w:t>
      </w:r>
      <w:r w:rsidR="00351E02">
        <w:t xml:space="preserve"> in forests at different successional stages is significantly different (ANOVA, p= X, Table </w:t>
      </w:r>
      <w:r w:rsidR="00947A95">
        <w:t>S</w:t>
      </w:r>
      <w:r w:rsidR="00351E02">
        <w:t>X). I</w:t>
      </w:r>
      <w:r w:rsidR="009472E0">
        <w:t>n very young forests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4)</w:t>
      </w:r>
      <w:r w:rsidR="009472E0">
        <w:t xml:space="preserve">. </w:t>
      </w:r>
      <w:r w:rsidR="003D324A">
        <w:t>The ANOVA we performed to analyze structural differences among forests at different successional stages showed that</w:t>
      </w:r>
      <w:r w:rsidR="00777EC8">
        <w:t xml:space="preserve"> all attributes are statistically different in all three categories (very young, young, and mature forests). </w:t>
      </w:r>
    </w:p>
    <w:p w14:paraId="32213C0E" w14:textId="42BC6CD1" w:rsidR="00CB7532" w:rsidRDefault="00CA588B" w:rsidP="00CB7532">
      <w:r>
        <w:tab/>
        <w:t xml:space="preserve">In these landscapes there is a large proportion of small trees (DBH &lt; 20 cm), and </w:t>
      </w:r>
      <w:r w:rsidR="00AD65E2">
        <w:t xml:space="preserve">trees with a DBH </w:t>
      </w:r>
      <w:r w:rsidR="00777EC8">
        <w:t>greater than</w:t>
      </w:r>
      <w:r w:rsidR="00AD65E2">
        <w:t xml:space="preserve"> 30 cm</w:t>
      </w:r>
      <w:r>
        <w:t xml:space="preserve"> are uncommon</w:t>
      </w:r>
      <w:r w:rsidR="00947A95">
        <w:t xml:space="preserve"> (Figure S X)</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were found only in 51 plots</w:t>
      </w:r>
      <w:r w:rsidR="00947A95">
        <w:t xml:space="preserve"> (Table S X)</w:t>
      </w:r>
      <w:r w:rsidR="00560755">
        <w:t>. 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 S X</w:t>
      </w:r>
      <w:r w:rsidR="00AD65E2">
        <w:t xml:space="preserve">). Interestingly, this pattern </w:t>
      </w:r>
      <w:r w:rsidR="00153894">
        <w:t>changes</w:t>
      </w:r>
      <w:r w:rsidR="00AD65E2">
        <w:t xml:space="preserve"> in forest plots at different successional stages</w:t>
      </w:r>
      <w:r w:rsidR="00153894">
        <w:t xml:space="preserve"> (Figure 2). </w:t>
      </w:r>
      <w:r w:rsidR="00472738">
        <w:t>Although the proportion of stems of different size</w:t>
      </w:r>
      <w:r w:rsidR="005E3EC7">
        <w:t xml:space="preserve"> </w:t>
      </w:r>
      <w:r w:rsidR="00472738">
        <w:t>remains somewhat constant across the three different successional stages, their contribution to AGB varies widely</w:t>
      </w:r>
      <w:r w:rsidR="005A76F6">
        <w:t xml:space="preserve"> (Table S X</w:t>
      </w:r>
      <w:r w:rsidR="000F133A">
        <w:t>-mean values</w:t>
      </w:r>
      <w:r w:rsidR="005A76F6">
        <w:t>)</w:t>
      </w:r>
      <w:r w:rsidR="00472738">
        <w:t>. In very young and mature forests, largest trees are the ones contributing the most to total AGB, but in young forest</w:t>
      </w:r>
      <w:r w:rsidR="00724EDB">
        <w:t xml:space="preserve"> the contribution to AGB is equally distributed across all tree size classes</w:t>
      </w:r>
      <w:r w:rsidR="00153894">
        <w:t xml:space="preserve">. </w:t>
      </w:r>
      <w:r w:rsidR="00B31324">
        <w:t xml:space="preserve">In fact, </w:t>
      </w:r>
      <w:r w:rsidR="002F1A22">
        <w:t>in young forests, trees with a DBH smaller than 10 cm is the only tree size class showing a statistically significant different contribution to total AGB because their contribution is lower than any other tree size class</w:t>
      </w:r>
      <w:r w:rsidR="000F133A">
        <w:t xml:space="preserve"> (Table S X anova result)</w:t>
      </w:r>
      <w:r w:rsidR="002F1A22">
        <w:t xml:space="preserve">. </w:t>
      </w:r>
      <w:r w:rsidR="002A7B9C">
        <w:t>In this case, l</w:t>
      </w:r>
      <w:r w:rsidR="00D10FA4">
        <w:t xml:space="preserve">argest trees do not stand out as big contributors to total AGB. </w:t>
      </w:r>
      <w:r w:rsidR="002F1A22">
        <w:t xml:space="preserve">In contrast, in </w:t>
      </w:r>
      <w:r w:rsidR="00D10FA4">
        <w:t xml:space="preserve">very </w:t>
      </w:r>
      <w:r w:rsidR="002F1A22">
        <w:t>young forests, tree</w:t>
      </w:r>
      <w:r w:rsidR="00D10FA4">
        <w:t xml:space="preserve">s with a DBH larger than 40 </w:t>
      </w:r>
      <w:r w:rsidR="002A7B9C">
        <w:t xml:space="preserve">and 50 </w:t>
      </w:r>
      <w:r w:rsidR="00D10FA4">
        <w:t xml:space="preserve">cm </w:t>
      </w:r>
      <w:r w:rsidR="002956E5">
        <w:t xml:space="preserve">show a statistically significant difference contribution to AGB than </w:t>
      </w:r>
      <w:r w:rsidR="00D10FA4">
        <w:t>the rest tree size classes, because they are the largest contributors to total AGB. Likewise, in mature forests, trees with a DBH larger than 50 cm show a statistically significant large contribution to total AGB</w:t>
      </w:r>
      <w:r w:rsidR="00CB7532">
        <w:t xml:space="preserve"> when compared to smaller tree size classes</w:t>
      </w:r>
      <w:r w:rsidR="000F133A">
        <w:t xml:space="preserve"> (Table S X anova result)</w:t>
      </w:r>
      <w:r w:rsidR="00D10FA4">
        <w:t xml:space="preserve">. </w:t>
      </w:r>
      <w:r w:rsidR="0003121E">
        <w:t>On the other hand</w:t>
      </w:r>
      <w:r w:rsidR="00153894">
        <w:t xml:space="preserve">, smaller trees are more relevant for AGB in very young and young forests than in mature forests. </w:t>
      </w:r>
      <w:r w:rsidR="0003121E">
        <w:t>In fact,</w:t>
      </w:r>
      <w:r w:rsidR="002956E5">
        <w:t xml:space="preserve"> while the average contribution to AGB of trees with a DBH smaller than 10 cm in very young and young forests ranges from 6 to 14%, in mature forests this proportion barely reaches 1%</w:t>
      </w:r>
      <w:r w:rsidR="000F133A">
        <w:t xml:space="preserve"> (Table S X-mean values). </w:t>
      </w:r>
      <w:r w:rsidR="00CB7532">
        <w:t xml:space="preserve"> </w:t>
      </w:r>
    </w:p>
    <w:p w14:paraId="0CF0F8F7" w14:textId="1CFFCE64"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S X-density plots/boxplots of structural attributes)</w:t>
      </w:r>
      <w:r w:rsidR="00CB7532">
        <w:t xml:space="preserve">. </w:t>
      </w:r>
      <w:r w:rsidR="008B207C">
        <w:t>In particular, t</w:t>
      </w:r>
      <w:r w:rsidR="00CB7532">
        <w:t>he</w:t>
      </w:r>
      <w:r>
        <w:t xml:space="preserve"> number of large trees present in each successional stage</w:t>
      </w:r>
      <w:r w:rsidR="00CB7532">
        <w:t xml:space="preserve"> seems </w:t>
      </w:r>
      <w:r w:rsidR="008B207C">
        <w:t>to play a fundamental role in defining AGB allocation in a forest plot</w:t>
      </w:r>
      <w:r w:rsidR="007869F6">
        <w:t xml:space="preserve"> (Figure SX- boxplot of contribution per tree size class)</w:t>
      </w:r>
      <w:r>
        <w:t>. Very young forests have few large trees and small AGB. Thus, the few but large trees that exist in these plots represent a large proportion of the total amount of AGB. In young forests, the number of large trees is still small but there is more total AGB because tree density is higher. Hence, all small and big trees are important contributors to total AGB. Finally, in mature forests, the number of large trees is high and that of small trees low. Tree density decreases but AGB is large, which makes large trees the main contributor</w:t>
      </w:r>
      <w:r w:rsidR="002D4688">
        <w:t>s</w:t>
      </w:r>
      <w:r>
        <w:t xml:space="preserve"> to total AGB. </w:t>
      </w:r>
    </w:p>
    <w:p w14:paraId="6296A8B7" w14:textId="7E266512" w:rsidR="007E5FEF" w:rsidRDefault="002B6B04">
      <w:pPr>
        <w:rPr>
          <w:i/>
          <w:iCs/>
        </w:rPr>
      </w:pPr>
      <w:r>
        <w:tab/>
      </w:r>
      <w:r w:rsidRPr="00FD0D17">
        <w:rPr>
          <w:i/>
          <w:iCs/>
        </w:rPr>
        <w:t>Patterns of Tree AGB Across Land-use and Environmental Gradients</w:t>
      </w:r>
    </w:p>
    <w:p w14:paraId="6196C2EE" w14:textId="6E8F6EA7" w:rsidR="00A71795" w:rsidRDefault="00A964E1">
      <w:r>
        <w:t xml:space="preserve">Tree AGB in </w:t>
      </w:r>
      <w:r w:rsidR="002B2054">
        <w:t>TMCF</w:t>
      </w:r>
      <w:r>
        <w:t xml:space="preserve"> sites </w:t>
      </w:r>
      <w:r w:rsidR="00DC69AF">
        <w:t>is</w:t>
      </w:r>
      <w:r>
        <w:t xml:space="preserve"> controlled mainly by land-use, and secondly by environmental factors. Here, we assessed both land-use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landscape composition, forest disturbance related to agriculture and slope</w:t>
      </w:r>
      <w:r w:rsidR="00B65E6C">
        <w:t xml:space="preserve"> gradient</w:t>
      </w:r>
      <w:r w:rsidR="00CE28B6">
        <w:t xml:space="preserve"> (p &lt; 0.05, adjusted R</w:t>
      </w:r>
      <w:r w:rsidR="00CE28B6" w:rsidRPr="00CE28B6">
        <w:rPr>
          <w:vertAlign w:val="superscript"/>
        </w:rPr>
        <w:t>2</w:t>
      </w:r>
      <w:r w:rsidR="00CE28B6">
        <w:t>= 0.811</w:t>
      </w:r>
      <w:r w:rsidR="00FA40CD">
        <w:t xml:space="preserve">, Table </w:t>
      </w:r>
      <w:r w:rsidR="00DC69AF">
        <w:t>4</w:t>
      </w:r>
      <w:r w:rsidR="00513A47">
        <w:t>, Figure SX-partial residual plots</w:t>
      </w:r>
      <w:r w:rsidR="00CE28B6">
        <w:t xml:space="preserve">). </w:t>
      </w:r>
      <w:r w:rsidR="008A52DE">
        <w:t>The level of land-use</w:t>
      </w:r>
      <w:r w:rsidR="004F5818">
        <w:t>,</w:t>
      </w:r>
      <w:r w:rsidR="008A52DE">
        <w:t xml:space="preserve"> represented </w:t>
      </w:r>
      <w:r w:rsidR="004F5818">
        <w:t xml:space="preserve">here </w:t>
      </w:r>
      <w:r w:rsidR="008A52DE">
        <w:t>in the landscape composition variable</w:t>
      </w:r>
      <w:r w:rsidR="004F5818">
        <w:t xml:space="preserve">,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Figure 3</w:t>
      </w:r>
      <w:r w:rsidR="004F5818">
        <w:t xml:space="preserve">). As </w:t>
      </w:r>
      <w:r w:rsidR="008A52DE">
        <w:t>land</w:t>
      </w:r>
      <w:r w:rsidR="001F241B">
        <w:t xml:space="preserve">-use increases, the </w:t>
      </w:r>
      <w:r w:rsidR="004F5818">
        <w:t>proportion</w:t>
      </w:r>
      <w:r w:rsidR="001F241B">
        <w:t xml:space="preserve"> of very young forests in the landscape grows and</w:t>
      </w:r>
      <w:r w:rsidR="00DC69AF">
        <w:t>, thus,</w:t>
      </w:r>
      <w:r w:rsidR="001F241B">
        <w:t xml:space="preserve"> AGB steadily decreases</w:t>
      </w:r>
      <w:r w:rsidR="004F5818">
        <w:t xml:space="preserve">. Although forest disturbance </w:t>
      </w:r>
      <w:r w:rsidR="00FD4FA5">
        <w:t>driven by</w:t>
      </w:r>
      <w:r w:rsidR="004F5818">
        <w:t xml:space="preserve"> agriculture is related to </w:t>
      </w:r>
      <w:r w:rsidR="00FD4FA5">
        <w:t>landscape composition,</w:t>
      </w:r>
      <w:r w:rsidR="004F5818">
        <w:t xml:space="preserve"> adding </w:t>
      </w:r>
      <w:r w:rsidR="00FD4FA5">
        <w:t>this</w:t>
      </w:r>
      <w:r w:rsidR="004F5818">
        <w:t xml:space="preserve"> variable</w:t>
      </w:r>
      <w:r w:rsidR="00DC69AF">
        <w:t xml:space="preserve"> to the model</w:t>
      </w:r>
      <w:r w:rsidR="004F5818">
        <w:t xml:space="preserve"> improves </w:t>
      </w:r>
      <w:r w:rsidR="00DC69AF">
        <w:t>its</w:t>
      </w:r>
      <w:r w:rsidR="00FD4FA5">
        <w:t xml:space="preserve"> explanatory power</w:t>
      </w:r>
      <w:r w:rsidR="00DC69AF">
        <w:t xml:space="preserve"> and it seems to be the second most relevant predictor of AGB (Table 4)</w:t>
      </w:r>
      <w:r w:rsidR="004F5818">
        <w:t xml:space="preserve">. </w:t>
      </w:r>
      <w:r w:rsidR="00FD4FA5">
        <w:t xml:space="preserve">Similarly, </w:t>
      </w:r>
      <w:r w:rsidR="00A71795">
        <w:t xml:space="preserve">adding </w:t>
      </w:r>
      <w:r w:rsidR="00FD4FA5">
        <w:t xml:space="preserve">slope gradient improves the linear regression model. However, </w:t>
      </w:r>
      <w:r w:rsidR="00A71795">
        <w:t xml:space="preserve">from the three predictors, slope gradient is the least influential in determining AGB patterns in TMCF. </w:t>
      </w:r>
      <w:r w:rsidR="00C87E8E">
        <w:t>The residuals of this model do not show spatial autocorrelation</w:t>
      </w:r>
      <w:r w:rsidR="00513A47">
        <w:t xml:space="preserve"> (Figure S</w:t>
      </w:r>
      <w:r w:rsidR="00DC69AF">
        <w:t>6</w:t>
      </w:r>
      <w:r w:rsidR="00BC2A8E">
        <w:t>)</w:t>
      </w:r>
      <w:r w:rsidR="00C87E8E">
        <w:t xml:space="preserve">. We computed Moran’s I statistic for neighborhoods of 10, 25, and 50 km of distance and all of them resulted non-significant (p= 0.517, p= 0.604, p= 0.187, respectively). </w:t>
      </w:r>
    </w:p>
    <w:p w14:paraId="2200659E" w14:textId="7CD1B377"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NMO</w:t>
      </w:r>
      <w:r w:rsidR="00FA40CD">
        <w:t xml:space="preserve"> (Table </w:t>
      </w:r>
      <w:r w:rsidR="00E956A6">
        <w:t>3</w:t>
      </w:r>
      <w:r w:rsidR="00B65E6C">
        <w:t xml:space="preserve">). </w:t>
      </w:r>
      <w:r w:rsidR="001F241B">
        <w:t>Temperature and precipitation have</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Figure 4</w:t>
      </w:r>
      <w:r w:rsidR="008A52DE">
        <w:t xml:space="preserve">) where warmer and more humid sites at lower elevations (closer to 1,000 m asl) </w:t>
      </w:r>
      <w:r w:rsidR="001F241B">
        <w:t>exhibit</w:t>
      </w:r>
      <w:r w:rsidR="008A52DE">
        <w:t xml:space="preserve"> smaller AGB than sites at higher elevations that have a cooler and drier climate. </w:t>
      </w:r>
      <w:r w:rsidR="001F241B">
        <w:t xml:space="preserve">Additionally, this environmental gradient is related to </w:t>
      </w:r>
      <w:r w:rsidR="00E956A6">
        <w:t xml:space="preserve">the </w:t>
      </w:r>
      <w:r w:rsidR="001F241B">
        <w:t>land-use gradient, as sites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Figure 4</w:t>
      </w:r>
      <w:r w:rsidR="00BE25A9">
        <w:t>).</w:t>
      </w:r>
      <w:r w:rsidR="007858F3">
        <w:t xml:space="preserve"> The fact that land-use exerts a strong effect on AGB, in addition to be related to the environmental gradient, results in the latter being only marginally relevant when both predictors are considered.</w:t>
      </w:r>
    </w:p>
    <w:p w14:paraId="797D84E2" w14:textId="77777777" w:rsidR="00C5621A" w:rsidRDefault="007E5FEF">
      <w:pPr>
        <w:rPr>
          <w:i/>
          <w:iCs/>
        </w:rPr>
      </w:pPr>
      <w:r>
        <w:tab/>
      </w:r>
      <w:r w:rsidRPr="00FD0D17">
        <w:rPr>
          <w:i/>
          <w:iCs/>
        </w:rPr>
        <w:t>AGB and tree diversity</w:t>
      </w:r>
      <w:r w:rsidR="002B6B04" w:rsidRPr="00FD0D17">
        <w:rPr>
          <w:i/>
          <w:iCs/>
        </w:rPr>
        <w:t xml:space="preserve"> </w:t>
      </w:r>
    </w:p>
    <w:p w14:paraId="762B7916" w14:textId="1AA018DC" w:rsidR="00C5621A" w:rsidRDefault="00C5621A">
      <w:r>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t>correlation coefficients near 0.3</w:t>
      </w:r>
      <w:r w:rsidR="002C7C38">
        <w:t xml:space="preserve"> (Figure</w:t>
      </w:r>
      <w:r w:rsidR="002353C5">
        <w:t xml:space="preserve"> SX-correlations</w:t>
      </w:r>
      <w:r>
        <w:t>). We addressed this issue using nonparametric regressions, where linearity is no</w:t>
      </w:r>
      <w:r w:rsidR="002C7C38">
        <w:t xml:space="preserve">t </w:t>
      </w:r>
      <w:r>
        <w:t xml:space="preserve">assumed. Using </w:t>
      </w:r>
      <w:r w:rsidR="002E678B">
        <w:t>S</w:t>
      </w:r>
      <w:r w:rsidR="0079602F">
        <w:t>hannon</w:t>
      </w:r>
      <w:r>
        <w:t xml:space="preserve"> diversity index and species richness,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(Figure 5)</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2E678B">
        <w:t>--</w:t>
      </w:r>
      <w:r w:rsidR="001D1DF5">
        <w:t>which are the ones contributing greatly to the total amount of AGB</w:t>
      </w:r>
      <w:r w:rsidR="002E678B">
        <w:t xml:space="preserve"> in TMCF--</w:t>
      </w:r>
      <w:r w:rsidR="001D1DF5">
        <w:t xml:space="preserve">, are more abundant, </w:t>
      </w:r>
      <w:r w:rsidR="006B6C9F">
        <w:t>decreasing evenness and diversity in a site</w:t>
      </w:r>
      <w:r w:rsidR="00A463A5">
        <w:t>.</w:t>
      </w:r>
      <w:r w:rsidR="00DB6561">
        <w:t xml:space="preserve"> Indeed, when we analyzed the relationship between AGB and tree diversity across plots at different successional stages, we found that tree diversity increases over time but reaches a limit, where tree diversity slightly decreases in mature forests (Figure</w:t>
      </w:r>
      <w:r w:rsidR="002353C5">
        <w:t xml:space="preserve"> 6</w:t>
      </w:r>
      <w:r w:rsidR="00DB6561">
        <w:t>).</w:t>
      </w:r>
      <w:r w:rsidR="005F0C47">
        <w:t xml:space="preserve"> Thus, sites with a larger composition of mature forests show greater AGB but not necessarily larger tree diversity</w:t>
      </w:r>
      <w:r w:rsidR="002353C5">
        <w:t xml:space="preserve"> (Figure 4)</w:t>
      </w:r>
      <w:r w:rsidR="005F0C47">
        <w:t>.</w:t>
      </w:r>
      <w:r w:rsidR="00560246">
        <w:t xml:space="preserve"> </w:t>
      </w:r>
    </w:p>
    <w:p w14:paraId="63A23AC4" w14:textId="5F5FB83A" w:rsidR="00CC2AF6" w:rsidRDefault="00CC2AF6">
      <w:pPr>
        <w:rPr>
          <w:b/>
          <w:bCs/>
        </w:rPr>
      </w:pPr>
      <w:r w:rsidRPr="00CC2AF6">
        <w:rPr>
          <w:b/>
          <w:bCs/>
        </w:rPr>
        <w:t>Discussion</w:t>
      </w:r>
    </w:p>
    <w:p w14:paraId="4C750748" w14:textId="54E86400" w:rsidR="00A964E1" w:rsidRDefault="00A964E1">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gazing activities. </w:t>
      </w:r>
    </w:p>
    <w:p w14:paraId="65938F95" w14:textId="020672F6" w:rsidR="00556B6E" w:rsidRDefault="00556B6E">
      <w:r>
        <w:t xml:space="preserve">Spatial heterogeneity caused by small-scale forest disturbance </w:t>
      </w:r>
      <w:r w:rsidR="002F65B5">
        <w:t>determines</w:t>
      </w:r>
      <w:r>
        <w:t xml:space="preserve"> AGB </w:t>
      </w:r>
      <w:r w:rsidR="002F65B5">
        <w:t xml:space="preserve">patterns </w:t>
      </w:r>
      <w:r>
        <w:t>at landscape and regional scales.</w:t>
      </w:r>
    </w:p>
    <w:p w14:paraId="7B0FC145" w14:textId="77777777" w:rsidR="00556B6E" w:rsidRDefault="00556B6E" w:rsidP="00556B6E">
      <w:r>
        <w:t xml:space="preserve">The effect of environmental variables on tree AGB and diversity is evident once land-use is taken into consideration.  </w:t>
      </w:r>
    </w:p>
    <w:p w14:paraId="45B2E533" w14:textId="355BDA0C" w:rsidR="00556B6E" w:rsidRPr="00556B6E" w:rsidRDefault="002353C5">
      <w:r>
        <w:t>It is important to note that only trees larger than 7.5 cm of DBH are considered in this analysis, and shrubs, lianas, palm trees and ferns were excluded from both AGB and diversity estimates.</w:t>
      </w: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774A9F59" w14:textId="26DB3514"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r>
              <w:t>Lorey’s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5A933345"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t>in three different successional stages: very young</w:t>
      </w:r>
      <w:r w:rsidR="004A4121">
        <w:t xml:space="preserve">, </w:t>
      </w:r>
      <w:r>
        <w:t>young</w:t>
      </w:r>
      <w:r w:rsidR="004A4121">
        <w:t xml:space="preserve">, </w:t>
      </w:r>
      <w:r>
        <w:t>and mature</w:t>
      </w:r>
      <w:r w:rsidR="004A4121">
        <w:t xml:space="preserve"> </w:t>
      </w:r>
      <w:r>
        <w:t>forests.</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all statistically significant (</w:t>
      </w:r>
      <w:r w:rsidR="007930AC">
        <w:t xml:space="preserve">ANOVA, </w:t>
      </w:r>
      <w:r w:rsidR="001D4FEA">
        <w:t>p &lt; 0.05</w:t>
      </w:r>
      <w:r w:rsidR="007930AC">
        <w:t>, Table SX, Figure 2</w:t>
      </w:r>
      <w:r w:rsidR="001D4FEA">
        <w:t>).</w:t>
      </w:r>
    </w:p>
    <w:tbl>
      <w:tblPr>
        <w:tblStyle w:val="Tablaconcuadrcula"/>
        <w:tblW w:w="0" w:type="auto"/>
        <w:tblLook w:val="04A0" w:firstRow="1" w:lastRow="0" w:firstColumn="1" w:lastColumn="0" w:noHBand="0" w:noVBand="1"/>
      </w:tblPr>
      <w:tblGrid>
        <w:gridCol w:w="2405"/>
        <w:gridCol w:w="941"/>
        <w:gridCol w:w="1044"/>
        <w:gridCol w:w="1063"/>
        <w:gridCol w:w="992"/>
        <w:gridCol w:w="1134"/>
        <w:gridCol w:w="941"/>
      </w:tblGrid>
      <w:tr w:rsidR="009E0F27" w14:paraId="36BF54E6" w14:textId="1BF612C3" w:rsidTr="00AD1844">
        <w:tc>
          <w:tcPr>
            <w:tcW w:w="2405" w:type="dxa"/>
            <w:vMerge w:val="restart"/>
          </w:tcPr>
          <w:p w14:paraId="56D1B94D" w14:textId="32EEB8D4" w:rsidR="009E0F27" w:rsidRPr="009E0F27" w:rsidRDefault="009E0F27" w:rsidP="00FF13E6">
            <w:pPr>
              <w:rPr>
                <w:b/>
                <w:bCs/>
              </w:rPr>
            </w:pPr>
          </w:p>
        </w:tc>
        <w:tc>
          <w:tcPr>
            <w:tcW w:w="1985" w:type="dxa"/>
            <w:gridSpan w:val="2"/>
          </w:tcPr>
          <w:p w14:paraId="1C5D4E2E" w14:textId="5250CAFA" w:rsidR="009E0F27" w:rsidRPr="004A4121" w:rsidRDefault="004A4121" w:rsidP="004A4121">
            <w:pPr>
              <w:rPr>
                <w:b/>
                <w:bCs/>
              </w:rPr>
            </w:pPr>
            <w:r w:rsidRPr="004A4121">
              <w:rPr>
                <w:b/>
                <w:bCs/>
              </w:rPr>
              <w:t>V</w:t>
            </w:r>
            <w:r>
              <w:rPr>
                <w:b/>
                <w:bCs/>
              </w:rPr>
              <w:t xml:space="preserve">ery </w:t>
            </w:r>
            <w:r w:rsidRPr="004A4121">
              <w:rPr>
                <w:b/>
                <w:bCs/>
              </w:rPr>
              <w:t>Y</w:t>
            </w:r>
            <w:r>
              <w:rPr>
                <w:b/>
                <w:bCs/>
              </w:rPr>
              <w:t>oung</w:t>
            </w:r>
            <w:r w:rsidRPr="004A4121">
              <w:rPr>
                <w:b/>
                <w:bCs/>
              </w:rPr>
              <w:t xml:space="preserve"> (n= 69)</w:t>
            </w:r>
          </w:p>
        </w:tc>
        <w:tc>
          <w:tcPr>
            <w:tcW w:w="2055" w:type="dxa"/>
            <w:gridSpan w:val="2"/>
          </w:tcPr>
          <w:p w14:paraId="2685C494" w14:textId="216935D8" w:rsidR="009E0F27" w:rsidRPr="004A4121" w:rsidRDefault="004A4121" w:rsidP="00FF13E6">
            <w:pPr>
              <w:rPr>
                <w:b/>
                <w:bCs/>
              </w:rPr>
            </w:pPr>
            <w:r w:rsidRPr="004A4121">
              <w:rPr>
                <w:b/>
                <w:bCs/>
              </w:rPr>
              <w:t>Y</w:t>
            </w:r>
            <w:r>
              <w:rPr>
                <w:b/>
                <w:bCs/>
              </w:rPr>
              <w:t>oung</w:t>
            </w:r>
            <w:r w:rsidRPr="004A4121">
              <w:rPr>
                <w:b/>
                <w:bCs/>
              </w:rPr>
              <w:t xml:space="preserve"> (n= 62)</w:t>
            </w:r>
          </w:p>
        </w:tc>
        <w:tc>
          <w:tcPr>
            <w:tcW w:w="2075" w:type="dxa"/>
            <w:gridSpan w:val="2"/>
          </w:tcPr>
          <w:p w14:paraId="4A3A7E08" w14:textId="0C7D85E9" w:rsidR="009E0F27" w:rsidRPr="004A4121" w:rsidRDefault="004A4121" w:rsidP="00FF13E6">
            <w:pPr>
              <w:rPr>
                <w:b/>
                <w:bCs/>
              </w:rPr>
            </w:pPr>
            <w:r w:rsidRPr="004A4121">
              <w:rPr>
                <w:b/>
                <w:bCs/>
              </w:rPr>
              <w:t>M</w:t>
            </w:r>
            <w:r>
              <w:rPr>
                <w:b/>
                <w:bCs/>
              </w:rPr>
              <w:t>ature</w:t>
            </w:r>
            <w:r w:rsidRPr="004A4121">
              <w:rPr>
                <w:b/>
                <w:bCs/>
              </w:rPr>
              <w:t xml:space="preserve"> (n= 29)</w:t>
            </w:r>
          </w:p>
        </w:tc>
      </w:tr>
      <w:tr w:rsidR="009E0F27" w14:paraId="4ABF762E" w14:textId="4101E5C7" w:rsidTr="00AD1844">
        <w:tc>
          <w:tcPr>
            <w:tcW w:w="2405" w:type="dxa"/>
            <w:vMerge/>
          </w:tcPr>
          <w:p w14:paraId="6528D1F2" w14:textId="1A6DD982" w:rsidR="009E0F27" w:rsidRPr="009E0F27" w:rsidRDefault="009E0F27" w:rsidP="00FF13E6">
            <w:pPr>
              <w:rPr>
                <w:b/>
                <w:bCs/>
              </w:rPr>
            </w:pPr>
          </w:p>
        </w:tc>
        <w:tc>
          <w:tcPr>
            <w:tcW w:w="941" w:type="dxa"/>
          </w:tcPr>
          <w:p w14:paraId="6A0B1B4F" w14:textId="05BD83AF" w:rsidR="009E0F27" w:rsidRPr="009E0F27" w:rsidRDefault="009E0F27" w:rsidP="00FF13E6">
            <w:pPr>
              <w:rPr>
                <w:b/>
                <w:bCs/>
              </w:rPr>
            </w:pPr>
            <w:r w:rsidRPr="009E0F27">
              <w:rPr>
                <w:b/>
                <w:bCs/>
              </w:rPr>
              <w:t xml:space="preserve">Mean </w:t>
            </w:r>
          </w:p>
        </w:tc>
        <w:tc>
          <w:tcPr>
            <w:tcW w:w="1044" w:type="dxa"/>
          </w:tcPr>
          <w:p w14:paraId="4723A334" w14:textId="527180AD" w:rsidR="009E0F27" w:rsidRPr="009E0F27" w:rsidRDefault="009E0F27" w:rsidP="00FF13E6">
            <w:pPr>
              <w:rPr>
                <w:b/>
                <w:bCs/>
              </w:rPr>
            </w:pPr>
            <w:r w:rsidRPr="009E0F27">
              <w:rPr>
                <w:b/>
                <w:bCs/>
              </w:rPr>
              <w:t>S.D.</w:t>
            </w:r>
          </w:p>
        </w:tc>
        <w:tc>
          <w:tcPr>
            <w:tcW w:w="1063"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AD1844">
        <w:tc>
          <w:tcPr>
            <w:tcW w:w="240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941" w:type="dxa"/>
          </w:tcPr>
          <w:p w14:paraId="75F06800" w14:textId="4A4BC1A1" w:rsidR="00FF13E6" w:rsidRDefault="00FF13E6" w:rsidP="00FF13E6">
            <w:r w:rsidRPr="00FF13E6">
              <w:t>275.000</w:t>
            </w:r>
            <w:r>
              <w:t xml:space="preserve"> </w:t>
            </w:r>
          </w:p>
        </w:tc>
        <w:tc>
          <w:tcPr>
            <w:tcW w:w="1044" w:type="dxa"/>
          </w:tcPr>
          <w:p w14:paraId="22D2C73B" w14:textId="4F97E23F" w:rsidR="00FF13E6" w:rsidRDefault="00FF13E6" w:rsidP="00FF13E6">
            <w:r w:rsidRPr="00FF13E6">
              <w:t>166.550</w:t>
            </w:r>
          </w:p>
        </w:tc>
        <w:tc>
          <w:tcPr>
            <w:tcW w:w="1063"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AD1844">
        <w:tc>
          <w:tcPr>
            <w:tcW w:w="2405"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941" w:type="dxa"/>
          </w:tcPr>
          <w:p w14:paraId="0DE45DC3" w14:textId="078C51EC" w:rsidR="00FF13E6" w:rsidRDefault="00FF13E6" w:rsidP="00FF13E6">
            <w:r w:rsidRPr="00FF13E6">
              <w:t>6.875</w:t>
            </w:r>
          </w:p>
        </w:tc>
        <w:tc>
          <w:tcPr>
            <w:tcW w:w="1044" w:type="dxa"/>
          </w:tcPr>
          <w:p w14:paraId="0CEDC61A" w14:textId="70F8379A" w:rsidR="00FF13E6" w:rsidRDefault="00FF13E6" w:rsidP="00FF13E6">
            <w:r w:rsidRPr="00FF13E6">
              <w:t>4.432</w:t>
            </w:r>
          </w:p>
        </w:tc>
        <w:tc>
          <w:tcPr>
            <w:tcW w:w="1063"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AD1844">
        <w:tc>
          <w:tcPr>
            <w:tcW w:w="2405" w:type="dxa"/>
          </w:tcPr>
          <w:p w14:paraId="6D023B99" w14:textId="1E3A0968" w:rsidR="00FF13E6" w:rsidRDefault="00FF13E6" w:rsidP="00FF13E6">
            <w:r>
              <w:t>Lorey’s height (m)</w:t>
            </w:r>
          </w:p>
        </w:tc>
        <w:tc>
          <w:tcPr>
            <w:tcW w:w="941" w:type="dxa"/>
          </w:tcPr>
          <w:p w14:paraId="09B55F7C" w14:textId="7368373D" w:rsidR="00FF13E6" w:rsidRDefault="00FF13E6" w:rsidP="00FF13E6">
            <w:pPr>
              <w:tabs>
                <w:tab w:val="left" w:pos="493"/>
              </w:tabs>
            </w:pPr>
            <w:r w:rsidRPr="00FF13E6">
              <w:t>9.376</w:t>
            </w:r>
          </w:p>
        </w:tc>
        <w:tc>
          <w:tcPr>
            <w:tcW w:w="1044" w:type="dxa"/>
          </w:tcPr>
          <w:p w14:paraId="0E1CD81D" w14:textId="29CD804A" w:rsidR="00FF13E6" w:rsidRDefault="00FF13E6" w:rsidP="00FF13E6">
            <w:r w:rsidRPr="00FF13E6">
              <w:t>3.550</w:t>
            </w:r>
          </w:p>
        </w:tc>
        <w:tc>
          <w:tcPr>
            <w:tcW w:w="1063"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AD1844">
        <w:tc>
          <w:tcPr>
            <w:tcW w:w="240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941" w:type="dxa"/>
          </w:tcPr>
          <w:p w14:paraId="5906B717" w14:textId="458EDC13" w:rsidR="00FF13E6" w:rsidRDefault="00FF13E6" w:rsidP="00FF13E6">
            <w:r w:rsidRPr="00FF13E6">
              <w:t>33.381</w:t>
            </w:r>
          </w:p>
        </w:tc>
        <w:tc>
          <w:tcPr>
            <w:tcW w:w="1044" w:type="dxa"/>
          </w:tcPr>
          <w:p w14:paraId="71AAC757" w14:textId="16DAB281" w:rsidR="00FF13E6" w:rsidRDefault="00FF13E6" w:rsidP="00FF13E6">
            <w:r w:rsidRPr="00FF13E6">
              <w:t>32.631</w:t>
            </w:r>
          </w:p>
        </w:tc>
        <w:tc>
          <w:tcPr>
            <w:tcW w:w="1063"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08CD261F" w:rsidR="00FF13E6" w:rsidRDefault="00FF13E6" w:rsidP="00FF13E6">
            <w:pPr>
              <w:tabs>
                <w:tab w:val="left" w:pos="436"/>
              </w:tabs>
            </w:pPr>
            <w:r w:rsidRPr="00FF13E6">
              <w:t>151.605</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their statistical significance (</w:t>
      </w:r>
      <w:r w:rsidR="009D40B6">
        <w:t xml:space="preserve">***p &lt; 0.001, **p &lt; 0.01, *p&lt;0.05, </w:t>
      </w:r>
      <w:r w:rsidR="009D40B6">
        <w:rPr>
          <w:rFonts w:cstheme="minorHAnsi"/>
        </w:rPr>
        <w:t>◦</w:t>
      </w:r>
      <w:r w:rsidR="009D40B6">
        <w:t>p&lt;0.10</w:t>
      </w:r>
      <w:r w:rsidR="00F2120F">
        <w:t xml:space="preserve">), </w:t>
      </w:r>
      <w:r w:rsidR="00F2120F">
        <w:t>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nfasis"/>
          <w:i w:val="0"/>
          <w:iCs w:val="0"/>
        </w:rPr>
        <w:t>Bayesian Information Criterion</w:t>
      </w:r>
      <w:r w:rsidR="00F2120F">
        <w:t xml:space="preserve"> (BIC)</w:t>
      </w:r>
      <w:r w:rsidR="00D7056F">
        <w:t xml:space="preserve">. </w:t>
      </w:r>
      <w:r w:rsidR="00143E95">
        <w:t>S</w:t>
      </w:r>
      <w:r w:rsidR="00143E95">
        <w:t>hown in bold</w:t>
      </w:r>
      <w:r w:rsidR="00143E95">
        <w:t xml:space="preserve"> are t</w:t>
      </w:r>
      <w:r w:rsidR="00F2120F">
        <w:t xml:space="preserve">he highest </w:t>
      </w:r>
      <w:r w:rsidR="00F2120F">
        <w:t>adjusted R</w:t>
      </w:r>
      <w:r w:rsidR="00F2120F" w:rsidRPr="000E7711">
        <w:rPr>
          <w:vertAlign w:val="superscript"/>
        </w:rPr>
        <w:t>2</w:t>
      </w:r>
      <w:r w:rsidR="00F2120F">
        <w:t xml:space="preserve">, </w:t>
      </w:r>
      <w:r w:rsidR="00F2120F">
        <w:t xml:space="preserve">and lowest CP and BIC. </w:t>
      </w:r>
    </w:p>
    <w:tbl>
      <w:tblPr>
        <w:tblStyle w:val="Tablaconcuadrcula"/>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6E08930C" w:rsidR="00C3754D" w:rsidRPr="000D1E55" w:rsidRDefault="00C3754D" w:rsidP="00C3754D">
            <w:r w:rsidRPr="000D1E55">
              <w:t>Landscape composition</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2544EC7B"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gradient, landscape composition, and disturbance by agricultural activities. </w:t>
      </w:r>
    </w:p>
    <w:tbl>
      <w:tblPr>
        <w:tblStyle w:val="Tablaconcuadrcula"/>
        <w:tblW w:w="0" w:type="auto"/>
        <w:tblLook w:val="04A0" w:firstRow="1" w:lastRow="0" w:firstColumn="1" w:lastColumn="0" w:noHBand="0" w:noVBand="1"/>
      </w:tblPr>
      <w:tblGrid>
        <w:gridCol w:w="2689"/>
        <w:gridCol w:w="1206"/>
        <w:gridCol w:w="920"/>
        <w:gridCol w:w="850"/>
        <w:gridCol w:w="1276"/>
      </w:tblGrid>
      <w:tr w:rsidR="004A19D6" w14:paraId="59DD21FE"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B5AF1">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B5AF1">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B5AF1">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B5AF1">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B5AF1">
            <w:pPr>
              <w:rPr>
                <w:b/>
                <w:bCs/>
              </w:rPr>
            </w:pPr>
            <w:r>
              <w:rPr>
                <w:b/>
                <w:bCs/>
              </w:rPr>
              <w:t>p</w:t>
            </w:r>
          </w:p>
        </w:tc>
      </w:tr>
      <w:tr w:rsidR="004A19D6" w14:paraId="3AA9D90D"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136DEAC9" w14:textId="77777777" w:rsidR="004A19D6" w:rsidRDefault="004A19D6" w:rsidP="00AB5AF1">
            <w:r>
              <w:t>Slope gradient</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B5AF1">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B5AF1">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B5AF1">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B5AF1">
            <w:r w:rsidRPr="001565EA">
              <w:t xml:space="preserve">0.004 </w:t>
            </w:r>
            <w:r>
              <w:t>**</w:t>
            </w:r>
          </w:p>
        </w:tc>
      </w:tr>
      <w:tr w:rsidR="004A19D6" w14:paraId="2BEEE16A"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20F8920E" w14:textId="77777777" w:rsidR="004A19D6" w:rsidRDefault="004A19D6" w:rsidP="00AB5AF1">
            <w:r>
              <w:t>Landscape composition</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B5AF1">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B5AF1">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B5AF1">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B5AF1">
            <w:r>
              <w:t>&lt; 0.001 ***</w:t>
            </w:r>
          </w:p>
        </w:tc>
      </w:tr>
      <w:tr w:rsidR="004A19D6" w14:paraId="43277508"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B5AF1">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B5AF1">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B5AF1">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B5AF1">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B5AF1">
            <w:r w:rsidRPr="001565EA">
              <w:t>0.001</w:t>
            </w:r>
            <w:r>
              <w:t xml:space="preserve"> **</w:t>
            </w:r>
          </w:p>
        </w:tc>
      </w:tr>
      <w:tr w:rsidR="004A19D6" w14:paraId="2D44D498" w14:textId="77777777" w:rsidTr="00AB5AF1">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B5AF1">
            <w:r>
              <w:t>b= 5.406; F= 57.07; df (3, 36); p &lt; 0.001; adjusted R</w:t>
            </w:r>
            <w:r>
              <w:rPr>
                <w:vertAlign w:val="superscript"/>
              </w:rPr>
              <w:t>2</w:t>
            </w:r>
            <w:r>
              <w:t>= 0.811</w:t>
            </w:r>
          </w:p>
        </w:tc>
      </w:tr>
      <w:tr w:rsidR="004A19D6" w14:paraId="439B39FD" w14:textId="77777777" w:rsidTr="00AB5AF1">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B5AF1">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p w14:paraId="2792CFCE" w14:textId="1A20B9F2" w:rsidR="000F3FCA" w:rsidRDefault="00357A68">
      <w:r>
        <w:t>Figure 1. Map</w:t>
      </w:r>
    </w:p>
    <w:p w14:paraId="748A43FD" w14:textId="359EA99E" w:rsidR="00357A68" w:rsidRDefault="00357A68">
      <w:r>
        <w:t>Figure 2. Structural attributes and tree size contribution to AGB and stem density.</w:t>
      </w:r>
    </w:p>
    <w:p w14:paraId="5034440D" w14:textId="583554E7" w:rsidR="00357A68" w:rsidRDefault="00357A68">
      <w:r>
        <w:t>Figure 3. Relationship between AGB and landscape composition</w:t>
      </w:r>
      <w:r w:rsidR="00CD3D6E">
        <w:t xml:space="preserve"> (mosaic)</w:t>
      </w:r>
      <w:r>
        <w:t>, and diversity and landscape composition</w:t>
      </w:r>
      <w:r w:rsidR="00CD3D6E">
        <w:t xml:space="preserve"> (mosaic)</w:t>
      </w:r>
    </w:p>
    <w:p w14:paraId="5E485DB3" w14:textId="53095DC1" w:rsidR="00357A68" w:rsidRDefault="00357A68">
      <w:r>
        <w:t xml:space="preserve">Figure </w:t>
      </w:r>
      <w:r w:rsidR="00340AF0">
        <w:t>4</w:t>
      </w:r>
      <w:r>
        <w:t xml:space="preserve">. </w:t>
      </w:r>
      <w:r w:rsidR="004677AF" w:rsidRPr="004677AF">
        <w:t>Linear regressions between AGB and env_pc1 and landscape composition and env_pc1</w:t>
      </w:r>
    </w:p>
    <w:p w14:paraId="3E796670" w14:textId="2A7405C4" w:rsidR="00340AF0" w:rsidRPr="00CE29E1" w:rsidRDefault="00340AF0">
      <w:r>
        <w:t>Figure 5. Loess curves AGB ~ tree diversity at site and plot level</w:t>
      </w:r>
    </w:p>
    <w:p w14:paraId="2C94933B" w14:textId="77777777" w:rsidR="00340AF0" w:rsidRDefault="00340AF0">
      <w:pPr>
        <w:rPr>
          <w:b/>
          <w:bCs/>
        </w:rPr>
      </w:pPr>
    </w:p>
    <w:p w14:paraId="341AD2F8" w14:textId="653E92DA" w:rsidR="00CE29E1" w:rsidRPr="00CE29E1" w:rsidRDefault="00E72CF0">
      <w:pPr>
        <w:rPr>
          <w:b/>
          <w:bCs/>
        </w:rPr>
      </w:pPr>
      <w:r>
        <w:rPr>
          <w:b/>
          <w:bCs/>
        </w:rPr>
        <w:t>S</w:t>
      </w:r>
      <w:r w:rsidR="007B1347">
        <w:rPr>
          <w:b/>
          <w:bCs/>
        </w:rPr>
        <w:t>upporting Information</w:t>
      </w:r>
    </w:p>
    <w:p w14:paraId="12A3E328" w14:textId="4E2C7F97" w:rsidR="00AD2B7D" w:rsidRDefault="00AD2B7D" w:rsidP="00AD2B7D">
      <w:r>
        <w:t>Table S1. Variables used in this study</w:t>
      </w:r>
    </w:p>
    <w:p w14:paraId="344E3D50" w14:textId="554B4265" w:rsidR="00AD2B7D" w:rsidRDefault="00AD2B7D" w:rsidP="00AD2B7D">
      <w:r>
        <w:t>Table S2. Allometric equations</w:t>
      </w:r>
    </w:p>
    <w:p w14:paraId="433EFB7A" w14:textId="50004B49" w:rsidR="00AD2B7D" w:rsidRDefault="00AD2B7D" w:rsidP="00AD2B7D">
      <w:r>
        <w:t xml:space="preserve">Table S3. </w:t>
      </w:r>
      <w:r w:rsidRPr="00AD2B7D">
        <w:t>ANOVA results of structural attributes at plot level</w:t>
      </w:r>
    </w:p>
    <w:p w14:paraId="3654FCC3" w14:textId="19F6DF19" w:rsidR="00AD2B7D" w:rsidRDefault="00AD2B7D" w:rsidP="00AD2B7D">
      <w:r>
        <w:t xml:space="preserve">Table S4. </w:t>
      </w:r>
      <w:r w:rsidRPr="00AD2B7D">
        <w:t>Contribution of tree sizes to stem density and AGB at site level</w:t>
      </w:r>
    </w:p>
    <w:p w14:paraId="2ED98080" w14:textId="3BF67CB4" w:rsidR="00AD2B7D" w:rsidRDefault="00AD2B7D" w:rsidP="00AD2B7D">
      <w:r>
        <w:t xml:space="preserve">Table S5. </w:t>
      </w:r>
      <w:r w:rsidRPr="00AD2B7D">
        <w:t>Contribution of tree sizes to stem density and AGB at plot level</w:t>
      </w:r>
    </w:p>
    <w:p w14:paraId="44197154" w14:textId="1D30C3E6" w:rsidR="00AD2B7D" w:rsidRDefault="00AD2B7D" w:rsidP="00AD2B7D">
      <w:r>
        <w:t>Table S6. ANOVAS of tree size classes contribution to AGB and stem per site.</w:t>
      </w:r>
    </w:p>
    <w:p w14:paraId="67145912" w14:textId="2F9F1CD4" w:rsidR="00AD2B7D" w:rsidRDefault="00AD2B7D" w:rsidP="00AD2B7D">
      <w:r>
        <w:t>Table S7. ANOVAS of tree size classes contribution to AGB and stem per plot.</w:t>
      </w:r>
    </w:p>
    <w:p w14:paraId="7A8151D0" w14:textId="77777777" w:rsidR="00AD2B7D" w:rsidRDefault="00AD2B7D" w:rsidP="007B1347"/>
    <w:p w14:paraId="3325895E" w14:textId="3893005A" w:rsidR="007B1347" w:rsidRDefault="00A66BFF" w:rsidP="007B1347">
      <w:r>
        <w:t xml:space="preserve">Figure S1. </w:t>
      </w:r>
      <w:r w:rsidR="007B1347">
        <w:t>Non-hierarchical cluster analysis – plots categories in three ‘successional stages’</w:t>
      </w:r>
    </w:p>
    <w:p w14:paraId="097425D6" w14:textId="0128C5E9" w:rsidR="008E0B54" w:rsidRDefault="00A66BFF" w:rsidP="007B1347">
      <w:r>
        <w:t xml:space="preserve">Figure S2. </w:t>
      </w:r>
      <w:r w:rsidR="008E0B54">
        <w:t>Relationship between landscape composition value and forest disturbance</w:t>
      </w:r>
    </w:p>
    <w:p w14:paraId="4D0485B4" w14:textId="400DE9D3" w:rsidR="007B1347" w:rsidRDefault="008E0B54" w:rsidP="007B1347">
      <w:r>
        <w:t xml:space="preserve">Figure S3. </w:t>
      </w:r>
      <w:r w:rsidR="007B1347">
        <w:t xml:space="preserve">PCA of environmental variables </w:t>
      </w:r>
    </w:p>
    <w:p w14:paraId="70D01147" w14:textId="4641E40C" w:rsidR="00340AF0" w:rsidRDefault="00340AF0" w:rsidP="007B1347">
      <w:r>
        <w:t>Figure S4. Correlation matrices</w:t>
      </w:r>
    </w:p>
    <w:p w14:paraId="1A1F69EC" w14:textId="05E7360A" w:rsidR="004677AF" w:rsidRDefault="004677AF" w:rsidP="007B1347">
      <w:r>
        <w:t>Figure S</w:t>
      </w:r>
      <w:r w:rsidR="00340AF0">
        <w:t>5</w:t>
      </w:r>
      <w:r>
        <w:t>. Contribution of tree size classes to stem density and agb at site level</w:t>
      </w:r>
    </w:p>
    <w:p w14:paraId="61844EBA" w14:textId="745E8F2B" w:rsidR="004677AF" w:rsidRDefault="004677AF" w:rsidP="007B1347">
      <w:r>
        <w:t>Figure S</w:t>
      </w:r>
      <w:r w:rsidR="00340AF0">
        <w:t>6</w:t>
      </w:r>
      <w:r>
        <w:t>. Partial residual plots of best model and map of residuals</w:t>
      </w:r>
      <w:r w:rsidR="00340AF0">
        <w:t xml:space="preserve"> with Moran’s I</w:t>
      </w:r>
    </w:p>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10F6C"/>
    <w:rsid w:val="00022F45"/>
    <w:rsid w:val="0002460D"/>
    <w:rsid w:val="00026BC0"/>
    <w:rsid w:val="0003121E"/>
    <w:rsid w:val="00031DF0"/>
    <w:rsid w:val="00032262"/>
    <w:rsid w:val="00033AC4"/>
    <w:rsid w:val="00041447"/>
    <w:rsid w:val="00045254"/>
    <w:rsid w:val="000459DF"/>
    <w:rsid w:val="00046A27"/>
    <w:rsid w:val="0009212F"/>
    <w:rsid w:val="000D0B87"/>
    <w:rsid w:val="000D1E55"/>
    <w:rsid w:val="000D36D1"/>
    <w:rsid w:val="000E7711"/>
    <w:rsid w:val="000F133A"/>
    <w:rsid w:val="000F3FCA"/>
    <w:rsid w:val="001045B7"/>
    <w:rsid w:val="001157C5"/>
    <w:rsid w:val="001255A6"/>
    <w:rsid w:val="00130AE9"/>
    <w:rsid w:val="00131800"/>
    <w:rsid w:val="00134917"/>
    <w:rsid w:val="001424A3"/>
    <w:rsid w:val="00143E95"/>
    <w:rsid w:val="00147903"/>
    <w:rsid w:val="0015163A"/>
    <w:rsid w:val="00153894"/>
    <w:rsid w:val="001565EA"/>
    <w:rsid w:val="0016647D"/>
    <w:rsid w:val="001715F4"/>
    <w:rsid w:val="00180313"/>
    <w:rsid w:val="001871AF"/>
    <w:rsid w:val="001872F6"/>
    <w:rsid w:val="00196FA7"/>
    <w:rsid w:val="001C6E1B"/>
    <w:rsid w:val="001D1DF5"/>
    <w:rsid w:val="001D4FEA"/>
    <w:rsid w:val="001F241B"/>
    <w:rsid w:val="00220CB3"/>
    <w:rsid w:val="002353C5"/>
    <w:rsid w:val="00246A0B"/>
    <w:rsid w:val="002502A4"/>
    <w:rsid w:val="0025062E"/>
    <w:rsid w:val="0026099C"/>
    <w:rsid w:val="002704B2"/>
    <w:rsid w:val="0029374D"/>
    <w:rsid w:val="002956E5"/>
    <w:rsid w:val="002A2F6B"/>
    <w:rsid w:val="002A7B9C"/>
    <w:rsid w:val="002B2054"/>
    <w:rsid w:val="002B3B48"/>
    <w:rsid w:val="002B56B2"/>
    <w:rsid w:val="002B6B04"/>
    <w:rsid w:val="002C7C38"/>
    <w:rsid w:val="002D4688"/>
    <w:rsid w:val="002E678B"/>
    <w:rsid w:val="002F10FB"/>
    <w:rsid w:val="002F1A22"/>
    <w:rsid w:val="002F46BE"/>
    <w:rsid w:val="002F65B5"/>
    <w:rsid w:val="002F6887"/>
    <w:rsid w:val="00310407"/>
    <w:rsid w:val="00323A21"/>
    <w:rsid w:val="003249DA"/>
    <w:rsid w:val="0032671E"/>
    <w:rsid w:val="0032737F"/>
    <w:rsid w:val="0033188C"/>
    <w:rsid w:val="00340AF0"/>
    <w:rsid w:val="00347884"/>
    <w:rsid w:val="00351E02"/>
    <w:rsid w:val="00357A68"/>
    <w:rsid w:val="00367B62"/>
    <w:rsid w:val="00373FF5"/>
    <w:rsid w:val="00374D1F"/>
    <w:rsid w:val="003878AB"/>
    <w:rsid w:val="003A3660"/>
    <w:rsid w:val="003C023A"/>
    <w:rsid w:val="003C0426"/>
    <w:rsid w:val="003D324A"/>
    <w:rsid w:val="003E046E"/>
    <w:rsid w:val="00436AE9"/>
    <w:rsid w:val="004522E7"/>
    <w:rsid w:val="004677AF"/>
    <w:rsid w:val="00467A11"/>
    <w:rsid w:val="00472738"/>
    <w:rsid w:val="00486A20"/>
    <w:rsid w:val="004A19D6"/>
    <w:rsid w:val="004A4121"/>
    <w:rsid w:val="004A6FE9"/>
    <w:rsid w:val="004C6BA6"/>
    <w:rsid w:val="004C7757"/>
    <w:rsid w:val="004E6F8A"/>
    <w:rsid w:val="004E732D"/>
    <w:rsid w:val="004F2B59"/>
    <w:rsid w:val="004F5818"/>
    <w:rsid w:val="00513A47"/>
    <w:rsid w:val="00521264"/>
    <w:rsid w:val="005253DF"/>
    <w:rsid w:val="00534177"/>
    <w:rsid w:val="00555335"/>
    <w:rsid w:val="00556B6E"/>
    <w:rsid w:val="00560246"/>
    <w:rsid w:val="00560755"/>
    <w:rsid w:val="00563B45"/>
    <w:rsid w:val="00572059"/>
    <w:rsid w:val="005774AC"/>
    <w:rsid w:val="00583173"/>
    <w:rsid w:val="005A32CC"/>
    <w:rsid w:val="005A4A21"/>
    <w:rsid w:val="005A76F6"/>
    <w:rsid w:val="005C0A50"/>
    <w:rsid w:val="005C735D"/>
    <w:rsid w:val="005D30B0"/>
    <w:rsid w:val="005E1125"/>
    <w:rsid w:val="005E1A3C"/>
    <w:rsid w:val="005E242B"/>
    <w:rsid w:val="005E30C1"/>
    <w:rsid w:val="005E3EC7"/>
    <w:rsid w:val="005E4030"/>
    <w:rsid w:val="005F0C47"/>
    <w:rsid w:val="005F1B92"/>
    <w:rsid w:val="00604808"/>
    <w:rsid w:val="006110D2"/>
    <w:rsid w:val="00612D57"/>
    <w:rsid w:val="00617140"/>
    <w:rsid w:val="0062564B"/>
    <w:rsid w:val="00627EE0"/>
    <w:rsid w:val="006554A1"/>
    <w:rsid w:val="00695263"/>
    <w:rsid w:val="006B6C9F"/>
    <w:rsid w:val="006D1CD6"/>
    <w:rsid w:val="006D748E"/>
    <w:rsid w:val="006E5D26"/>
    <w:rsid w:val="00712031"/>
    <w:rsid w:val="00724EDB"/>
    <w:rsid w:val="00732CE0"/>
    <w:rsid w:val="00734255"/>
    <w:rsid w:val="00740D1C"/>
    <w:rsid w:val="00751CD8"/>
    <w:rsid w:val="00754CAE"/>
    <w:rsid w:val="00756968"/>
    <w:rsid w:val="00777EC8"/>
    <w:rsid w:val="0078236C"/>
    <w:rsid w:val="007858F3"/>
    <w:rsid w:val="007869F6"/>
    <w:rsid w:val="007930AC"/>
    <w:rsid w:val="0079602F"/>
    <w:rsid w:val="007962B2"/>
    <w:rsid w:val="007A053A"/>
    <w:rsid w:val="007A3621"/>
    <w:rsid w:val="007B1347"/>
    <w:rsid w:val="007B22AF"/>
    <w:rsid w:val="007C4746"/>
    <w:rsid w:val="007D38D3"/>
    <w:rsid w:val="007D4B3A"/>
    <w:rsid w:val="007E5FEF"/>
    <w:rsid w:val="008013B1"/>
    <w:rsid w:val="00802976"/>
    <w:rsid w:val="00824370"/>
    <w:rsid w:val="00826EC2"/>
    <w:rsid w:val="008366F6"/>
    <w:rsid w:val="00841881"/>
    <w:rsid w:val="00842609"/>
    <w:rsid w:val="00843834"/>
    <w:rsid w:val="0086717B"/>
    <w:rsid w:val="0087152F"/>
    <w:rsid w:val="00887371"/>
    <w:rsid w:val="008A226F"/>
    <w:rsid w:val="008A52DE"/>
    <w:rsid w:val="008B0CE3"/>
    <w:rsid w:val="008B207C"/>
    <w:rsid w:val="008C3E88"/>
    <w:rsid w:val="008E0B54"/>
    <w:rsid w:val="008E13E4"/>
    <w:rsid w:val="008F0C64"/>
    <w:rsid w:val="009176A8"/>
    <w:rsid w:val="00925CBE"/>
    <w:rsid w:val="009321C3"/>
    <w:rsid w:val="00936451"/>
    <w:rsid w:val="00942768"/>
    <w:rsid w:val="00944A60"/>
    <w:rsid w:val="009472E0"/>
    <w:rsid w:val="00947A95"/>
    <w:rsid w:val="00966414"/>
    <w:rsid w:val="009726A9"/>
    <w:rsid w:val="009761E9"/>
    <w:rsid w:val="009847A8"/>
    <w:rsid w:val="009A477D"/>
    <w:rsid w:val="009B6F89"/>
    <w:rsid w:val="009C1638"/>
    <w:rsid w:val="009D08C1"/>
    <w:rsid w:val="009D14DA"/>
    <w:rsid w:val="009D34BC"/>
    <w:rsid w:val="009D40B6"/>
    <w:rsid w:val="009D4270"/>
    <w:rsid w:val="009E0F27"/>
    <w:rsid w:val="009F4798"/>
    <w:rsid w:val="00A065AE"/>
    <w:rsid w:val="00A1338D"/>
    <w:rsid w:val="00A37B1C"/>
    <w:rsid w:val="00A463A5"/>
    <w:rsid w:val="00A55307"/>
    <w:rsid w:val="00A61571"/>
    <w:rsid w:val="00A63BC3"/>
    <w:rsid w:val="00A6402B"/>
    <w:rsid w:val="00A66BFF"/>
    <w:rsid w:val="00A71795"/>
    <w:rsid w:val="00A73B68"/>
    <w:rsid w:val="00A94203"/>
    <w:rsid w:val="00A964E1"/>
    <w:rsid w:val="00AA6C78"/>
    <w:rsid w:val="00AB4CBF"/>
    <w:rsid w:val="00AB6841"/>
    <w:rsid w:val="00AB7D92"/>
    <w:rsid w:val="00AD1844"/>
    <w:rsid w:val="00AD2B7D"/>
    <w:rsid w:val="00AD65E2"/>
    <w:rsid w:val="00B01785"/>
    <w:rsid w:val="00B30F52"/>
    <w:rsid w:val="00B31324"/>
    <w:rsid w:val="00B31DF0"/>
    <w:rsid w:val="00B34548"/>
    <w:rsid w:val="00B36C88"/>
    <w:rsid w:val="00B405E8"/>
    <w:rsid w:val="00B65E6C"/>
    <w:rsid w:val="00BA2CCE"/>
    <w:rsid w:val="00BB0782"/>
    <w:rsid w:val="00BC2A8E"/>
    <w:rsid w:val="00BC59BF"/>
    <w:rsid w:val="00BD21E4"/>
    <w:rsid w:val="00BD2D44"/>
    <w:rsid w:val="00BE25A9"/>
    <w:rsid w:val="00C049EB"/>
    <w:rsid w:val="00C05831"/>
    <w:rsid w:val="00C11442"/>
    <w:rsid w:val="00C15A2A"/>
    <w:rsid w:val="00C178FC"/>
    <w:rsid w:val="00C230C9"/>
    <w:rsid w:val="00C3754D"/>
    <w:rsid w:val="00C448C4"/>
    <w:rsid w:val="00C53A9A"/>
    <w:rsid w:val="00C5621A"/>
    <w:rsid w:val="00C62945"/>
    <w:rsid w:val="00C708AE"/>
    <w:rsid w:val="00C87E8E"/>
    <w:rsid w:val="00C90A5F"/>
    <w:rsid w:val="00C91162"/>
    <w:rsid w:val="00CA588B"/>
    <w:rsid w:val="00CA7407"/>
    <w:rsid w:val="00CB7532"/>
    <w:rsid w:val="00CB78F2"/>
    <w:rsid w:val="00CC2AF6"/>
    <w:rsid w:val="00CC46F1"/>
    <w:rsid w:val="00CD037F"/>
    <w:rsid w:val="00CD2053"/>
    <w:rsid w:val="00CD3D6E"/>
    <w:rsid w:val="00CE28B6"/>
    <w:rsid w:val="00CE29E1"/>
    <w:rsid w:val="00CF3149"/>
    <w:rsid w:val="00CF34DF"/>
    <w:rsid w:val="00CF517D"/>
    <w:rsid w:val="00D035A7"/>
    <w:rsid w:val="00D03822"/>
    <w:rsid w:val="00D10FA4"/>
    <w:rsid w:val="00D249F6"/>
    <w:rsid w:val="00D50E20"/>
    <w:rsid w:val="00D65F2A"/>
    <w:rsid w:val="00D66041"/>
    <w:rsid w:val="00D67390"/>
    <w:rsid w:val="00D7056F"/>
    <w:rsid w:val="00D741C0"/>
    <w:rsid w:val="00DA33B4"/>
    <w:rsid w:val="00DA37F8"/>
    <w:rsid w:val="00DA42FD"/>
    <w:rsid w:val="00DB5D83"/>
    <w:rsid w:val="00DB6561"/>
    <w:rsid w:val="00DC69AF"/>
    <w:rsid w:val="00DF309C"/>
    <w:rsid w:val="00E103E4"/>
    <w:rsid w:val="00E11D6D"/>
    <w:rsid w:val="00E21A15"/>
    <w:rsid w:val="00E24BE9"/>
    <w:rsid w:val="00E26313"/>
    <w:rsid w:val="00E7268A"/>
    <w:rsid w:val="00E72CF0"/>
    <w:rsid w:val="00E849DC"/>
    <w:rsid w:val="00E92D22"/>
    <w:rsid w:val="00E956A6"/>
    <w:rsid w:val="00EA5B92"/>
    <w:rsid w:val="00EB5280"/>
    <w:rsid w:val="00EE503E"/>
    <w:rsid w:val="00EF01A3"/>
    <w:rsid w:val="00EF7316"/>
    <w:rsid w:val="00F05305"/>
    <w:rsid w:val="00F2120F"/>
    <w:rsid w:val="00F3719E"/>
    <w:rsid w:val="00F426CB"/>
    <w:rsid w:val="00F433B7"/>
    <w:rsid w:val="00F46522"/>
    <w:rsid w:val="00F70EE6"/>
    <w:rsid w:val="00F924F6"/>
    <w:rsid w:val="00F95F87"/>
    <w:rsid w:val="00FA3E68"/>
    <w:rsid w:val="00FA40CD"/>
    <w:rsid w:val="00FA4794"/>
    <w:rsid w:val="00FD0436"/>
    <w:rsid w:val="00FD0D17"/>
    <w:rsid w:val="00FD4FA5"/>
    <w:rsid w:val="00FE38C0"/>
    <w:rsid w:val="00FE6455"/>
    <w:rsid w:val="00FF13E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7092</TotalTime>
  <Pages>11</Pages>
  <Words>4703</Words>
  <Characters>26813</Characters>
  <Application>Microsoft Office Word</Application>
  <DocSecurity>0</DocSecurity>
  <Lines>223</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166</cp:revision>
  <dcterms:created xsi:type="dcterms:W3CDTF">2022-02-09T04:05:00Z</dcterms:created>
  <dcterms:modified xsi:type="dcterms:W3CDTF">2022-02-19T03:43:00Z</dcterms:modified>
</cp:coreProperties>
</file>