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318A28B5" w14:textId="1F975B83" w:rsidR="00CC2AF6" w:rsidRDefault="00556B6E">
      <w:r w:rsidRPr="00556B6E">
        <w:t xml:space="preserve">How does </w:t>
      </w:r>
      <w:r>
        <w:t>small-scale farming shape</w:t>
      </w:r>
      <w:r w:rsidR="00134917">
        <w:t>s regional patterns of AGB in tropical montane cloud forest across environmental gradients?</w:t>
      </w:r>
    </w:p>
    <w:p w14:paraId="0C9E6FC2" w14:textId="0EEDE77D" w:rsidR="008E13E4" w:rsidRDefault="008E13E4">
      <w:r>
        <w:t>How much AGB can TMCF hold and how is it distributed (big trees / tree density / etc)</w:t>
      </w:r>
    </w:p>
    <w:p w14:paraId="57D663DA" w14:textId="09413740" w:rsidR="008E13E4" w:rsidRDefault="008E13E4">
      <w:r>
        <w:t>Interaction between environmental gradient and AGB</w:t>
      </w:r>
    </w:p>
    <w:p w14:paraId="25F148A6" w14:textId="65443C9E" w:rsidR="008E13E4" w:rsidRDefault="008E13E4">
      <w:r>
        <w:t>Interaction between AGB and diversity</w:t>
      </w:r>
    </w:p>
    <w:p w14:paraId="23E21D62" w14:textId="0FE8E4E2" w:rsidR="00CC46F1" w:rsidRPr="00556B6E" w:rsidRDefault="00CC46F1">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774B6208"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6837DC30"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main sampling unit. 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E1A3C">
        <w:t>. 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0780BFCC"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Chave </w:t>
      </w:r>
      <w:r w:rsidRPr="006B4768">
        <w:rPr>
          <w:i/>
          <w:iCs/>
        </w:rPr>
        <w:t>et al.</w:t>
      </w:r>
      <w:r>
        <w:t xml:space="preserve"> (2014)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p w14:paraId="45CEDAB3" w14:textId="0988F02B" w:rsidR="00AB6841" w:rsidRDefault="00AB6841" w:rsidP="003C023A">
      <w:r w:rsidRPr="00ED1C75">
        <w:t>AGB = 0.0673 * (WD * H * D^2)^0.976</w:t>
      </w:r>
    </w:p>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r w:rsidRPr="00D70173">
        <w:t>Réjou‐Méchain</w:t>
      </w:r>
      <w:r>
        <w:t>, 2017).</w:t>
      </w:r>
    </w:p>
    <w:p w14:paraId="7EA1D91F" w14:textId="2ACC5429"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1872F6">
        <w:t>We assumed standard error independence to estimate site’s AGB error, and used</w:t>
      </w:r>
      <w:r>
        <w:t xml:space="preserve"> the following equation: </w:t>
      </w:r>
    </w:p>
    <w:p w14:paraId="133FBA8C" w14:textId="65F838A4" w:rsidR="003C023A" w:rsidRDefault="003C023A" w:rsidP="001872F6">
      <w:r>
        <w:t xml:space="preserve">AGBsite = (Eplot1^2+Eplot2^2+Eplot3^2+Eplot4^2)^1/2 </w:t>
      </w: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5E4030" w:rsidRPr="005E4030">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D4F473E"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8013B1">
        <w:t>Supporting Information</w:t>
      </w:r>
      <w:r w:rsidR="00DA37F8">
        <w:t>-</w:t>
      </w:r>
      <w:r w:rsidR="008013B1">
        <w:t>Figure 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2FC017A4"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value averaging and normalizing all successional stages within each site</w:t>
      </w:r>
      <w:r w:rsidR="00E11D6D">
        <w:t xml:space="preserve"> as follows: </w:t>
      </w:r>
    </w:p>
    <w:p w14:paraId="5D72974D" w14:textId="1B978819" w:rsidR="00E11D6D" w:rsidRDefault="00010F6C" w:rsidP="00E11D6D">
      <w:r>
        <w:t xml:space="preserve">Landscape composition </w:t>
      </w:r>
      <w:r w:rsidR="00E11D6D">
        <w:t>= 1 – (SS</w:t>
      </w:r>
      <w:r w:rsidR="00E11D6D" w:rsidRPr="00E11D6D">
        <w:t xml:space="preserve"> - min </w:t>
      </w:r>
      <w:r w:rsidR="00E11D6D">
        <w:t>SS</w:t>
      </w:r>
      <w:r w:rsidR="00E11D6D" w:rsidRPr="00E11D6D">
        <w:t xml:space="preserve"> / max </w:t>
      </w:r>
      <w:r w:rsidR="00E11D6D">
        <w:t>SS</w:t>
      </w:r>
      <w:r w:rsidR="00E11D6D" w:rsidRPr="00E11D6D">
        <w:t xml:space="preserve"> - min </w:t>
      </w:r>
      <w:r w:rsidR="00E11D6D">
        <w:t>SS)</w:t>
      </w:r>
    </w:p>
    <w:p w14:paraId="0D4B37E1" w14:textId="6BEFD713"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the region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604808">
        <w:t>. Therefore,</w:t>
      </w:r>
      <w:r w:rsidR="00604808">
        <w:t xml:space="preserv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7777777"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575A59C9" w:rsidR="00031DF0" w:rsidRDefault="00180313" w:rsidP="00CE29E1">
      <w:r>
        <w:t xml:space="preserve">We performed statistical analysis at two sampling levels. </w:t>
      </w:r>
      <w:r w:rsidR="00031DF0">
        <w:t>To assess the amount of AGB in TMCF, and its variation across space in relation to tree diversity, environmental, and land-use gradients, we used sites as our main unit</w:t>
      </w:r>
      <w:r w:rsidR="0032737F">
        <w:t xml:space="preserve"> of analysis</w:t>
      </w:r>
      <w:r w:rsidR="00031DF0">
        <w:t>.</w:t>
      </w:r>
      <w:r w:rsidR="00031DF0" w:rsidRPr="00031DF0">
        <w:t xml:space="preserve"> </w:t>
      </w:r>
      <w:r w:rsidR="00031DF0">
        <w:t xml:space="preserve">We used </w:t>
      </w:r>
      <w:r w:rsidR="00031DF0">
        <w:t>a</w:t>
      </w:r>
      <w:r w:rsidR="00031DF0">
        <w:t xml:space="preserve"> smaller sampling unit (plots) for understanding the contribution of tree size to AGB and stem density, as well as changes in structural attributes in forest at different successional stages.</w:t>
      </w:r>
    </w:p>
    <w:p w14:paraId="11659E58" w14:textId="02786360" w:rsidR="007D38D3" w:rsidRDefault="0016647D" w:rsidP="007D38D3">
      <w:pPr>
        <w:ind w:firstLine="720"/>
      </w:pPr>
      <w:r>
        <w:t xml:space="preserve">To </w:t>
      </w:r>
      <w:r w:rsidR="00031DF0">
        <w:t>gain</w:t>
      </w:r>
      <w:r>
        <w:t xml:space="preserve"> a general sense of the amount of AGB in TMCF and its variation, we performed basic summary statistics at site level.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w:t>
      </w:r>
      <w:r w:rsidR="003249DA">
        <w:t xml:space="preserve">calculated the proportion of AGB </w:t>
      </w:r>
      <w:r w:rsidR="003249DA">
        <w:t xml:space="preserve">and stem density </w:t>
      </w:r>
      <w:r w:rsidR="003249DA">
        <w:t xml:space="preserve">per </w:t>
      </w:r>
      <w:r w:rsidR="003249DA">
        <w:t>size</w:t>
      </w:r>
      <w:r w:rsidR="003249DA">
        <w:t xml:space="preserve"> class in each site</w:t>
      </w:r>
      <w:r w:rsidR="003249DA">
        <w:t xml:space="preserve"> and plot.</w:t>
      </w:r>
      <w:r w:rsidR="0078236C">
        <w:t xml:space="preserve"> W</w:t>
      </w:r>
      <w:r w:rsidR="0078236C">
        <w:t xml:space="preserve">e performed </w:t>
      </w:r>
      <w:r w:rsidR="0078236C">
        <w:t xml:space="preserve">a series of </w:t>
      </w:r>
      <w:r w:rsidR="0078236C">
        <w:t>analysis of variance</w:t>
      </w:r>
      <w:r w:rsidR="0078236C">
        <w:t xml:space="preserve"> (ANOVA) to assess the difference in the contribution of tree size to AGB and stem density </w:t>
      </w:r>
      <w:r w:rsidR="00D67390">
        <w:t>between</w:t>
      </w:r>
      <w:r w:rsidR="0078236C">
        <w:t xml:space="preserve"> forests at different successional stages.</w:t>
      </w:r>
      <w:r w:rsidR="00D67390">
        <w:t xml:space="preserve"> Likewise, we carried out three ANOVA to test whether tree density, tree height, and basal area are significantly different in forests at different successional stages.</w:t>
      </w:r>
      <w:r w:rsidR="007D38D3">
        <w:t xml:space="preserve"> </w:t>
      </w:r>
    </w:p>
    <w:p w14:paraId="00F460E4" w14:textId="7AA748B4" w:rsidR="00802976" w:rsidRDefault="00802976" w:rsidP="007D38D3">
      <w:pPr>
        <w:ind w:firstLine="720"/>
      </w:pPr>
      <w:r w:rsidRPr="00F0447B">
        <w:t>We explored the relationships among tree biomass, diversity, environmental variables</w:t>
      </w:r>
      <w:r>
        <w:t>,</w:t>
      </w:r>
      <w:r w:rsidRPr="00F0447B">
        <w:t xml:space="preserve"> and </w:t>
      </w:r>
      <w:r>
        <w:t xml:space="preserve">land-use in </w:t>
      </w:r>
      <w:r>
        <w:t>TMCF sites</w:t>
      </w:r>
      <w:r>
        <w:t xml:space="preserve"> </w:t>
      </w:r>
      <w:r w:rsidRPr="00F0447B">
        <w:t xml:space="preserve">using multiple </w:t>
      </w:r>
      <w:r>
        <w:t xml:space="preserve">linear </w:t>
      </w:r>
      <w:r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(PC1) explained XX</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(Supporting Information-Figure 2).</w:t>
      </w:r>
      <w:r w:rsidR="0087152F">
        <w:t xml:space="preserve"> </w:t>
      </w:r>
      <w:r w:rsidR="00FD0436">
        <w:t>Therefore</w:t>
      </w:r>
      <w:r w:rsidR="00CA7407">
        <w:t xml:space="preserve">, we selected PC1 and slope as our environmental </w:t>
      </w:r>
      <w:r w:rsidR="00FD0436">
        <w:t>predictors</w:t>
      </w:r>
      <w:r w:rsidR="00CA7407">
        <w:t>.</w:t>
      </w:r>
      <w:r w:rsidR="00CA7407">
        <w:t xml:space="preserve"> </w:t>
      </w:r>
      <w:r w:rsidR="00FD0436">
        <w:t>W</w:t>
      </w:r>
      <w:r>
        <w:t xml:space="preserve">e fitted a model with AGB as the response variable and tree diversity, </w:t>
      </w:r>
      <w:r w:rsidR="0087152F">
        <w:t>environmental gradient, slope, and the three</w:t>
      </w:r>
      <w:r>
        <w:t xml:space="preserve"> land-use variables as predictors. Because data is not normally distributed, we log-transformed AGB. Then, following a similar approach to Tredennick et al. (2021) for model exploration, we performed variable selection by comparing the full model against a series of reduced models in which each predictor is dropped in a stepwise fashion. </w:t>
      </w:r>
      <w:r>
        <w:t>We selected the best model comparing</w:t>
      </w:r>
      <w:r w:rsidR="000E7711">
        <w:t xml:space="preserve"> their</w:t>
      </w:r>
      <w:r>
        <w:t xml:space="preserve"> adjusted </w:t>
      </w:r>
      <w:r w:rsidR="000E7711">
        <w:t>R</w:t>
      </w:r>
      <w:r w:rsidR="000E7711" w:rsidRPr="000E7711">
        <w:rPr>
          <w:vertAlign w:val="superscript"/>
        </w:rPr>
        <w:t>2</w:t>
      </w:r>
      <w:r w:rsidR="000E7711">
        <w:t xml:space="preserve">, </w:t>
      </w:r>
      <w:r>
        <w:t>Mallows' C</w:t>
      </w:r>
      <w:r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t xml:space="preserve"> </w:t>
      </w:r>
      <w:r w:rsidR="000E7711">
        <w:t>(</w:t>
      </w:r>
      <w:r>
        <w:t>BIC</w:t>
      </w:r>
      <w:r w:rsidR="000E7711">
        <w:t>)</w:t>
      </w:r>
      <w:r w:rsidR="0087152F">
        <w:t>.</w:t>
      </w:r>
      <w:r w:rsidR="00C53A9A">
        <w:t xml:space="preserve"> </w:t>
      </w:r>
      <w:r>
        <w:t xml:space="preserve">To test for spatial autocorrelation, we calculated the Moran’s I of the residuals of the final model and visualized the spatial distribution of residuals with a map. </w:t>
      </w:r>
    </w:p>
    <w:p w14:paraId="36385D95" w14:textId="4CC89239" w:rsidR="00CA7407" w:rsidRDefault="00CA7407" w:rsidP="00CA7407">
      <w:pPr>
        <w:ind w:firstLine="720"/>
      </w:pPr>
      <w:r>
        <w:t>Finally, w</w:t>
      </w:r>
      <w:r>
        <w:t>e assessed the relationship between AGB and stem density with tree diversity at site level through nonparametric regression analysis. Nonparametric regressions allowed us to test if tree diversity increases as AGB or stem density increase, and the shape of these relationships.</w:t>
      </w:r>
    </w:p>
    <w:p w14:paraId="0F4C15B5" w14:textId="2B6AFEC3" w:rsidR="00CA7407" w:rsidRDefault="00CA7407" w:rsidP="007D38D3">
      <w:pPr>
        <w:ind w:firstLine="720"/>
      </w:pPr>
    </w:p>
    <w:p w14:paraId="2C6A7EB7" w14:textId="3A35B0D1" w:rsidR="00CD037F" w:rsidRDefault="00CD037F" w:rsidP="00CE29E1">
      <w:r>
        <w:tab/>
      </w:r>
      <w:r>
        <w:tab/>
      </w:r>
    </w:p>
    <w:p w14:paraId="53E857B7" w14:textId="11F92DFC"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77777777" w:rsidR="007B1347" w:rsidRDefault="007B1347" w:rsidP="007B1347">
      <w:r>
        <w:t>Non-hierarchical cluster analysis – plots categories in three ‘successional stages’</w:t>
      </w:r>
    </w:p>
    <w:p w14:paraId="4D0485B4" w14:textId="37F1BCA1" w:rsidR="007B1347" w:rsidRDefault="007B1347" w:rsidP="007B1347">
      <w:r>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6BC0"/>
    <w:rsid w:val="00031DF0"/>
    <w:rsid w:val="00032262"/>
    <w:rsid w:val="00033AC4"/>
    <w:rsid w:val="00045254"/>
    <w:rsid w:val="000459DF"/>
    <w:rsid w:val="00046A27"/>
    <w:rsid w:val="000D0B87"/>
    <w:rsid w:val="000D36D1"/>
    <w:rsid w:val="000E7711"/>
    <w:rsid w:val="000F3FCA"/>
    <w:rsid w:val="00130AE9"/>
    <w:rsid w:val="00134917"/>
    <w:rsid w:val="001424A3"/>
    <w:rsid w:val="0015163A"/>
    <w:rsid w:val="0016647D"/>
    <w:rsid w:val="00180313"/>
    <w:rsid w:val="001872F6"/>
    <w:rsid w:val="00220CB3"/>
    <w:rsid w:val="00246A0B"/>
    <w:rsid w:val="002502A4"/>
    <w:rsid w:val="0026099C"/>
    <w:rsid w:val="002B3B48"/>
    <w:rsid w:val="002B56B2"/>
    <w:rsid w:val="002B6B04"/>
    <w:rsid w:val="002F46BE"/>
    <w:rsid w:val="002F65B5"/>
    <w:rsid w:val="00310407"/>
    <w:rsid w:val="00323A21"/>
    <w:rsid w:val="003249DA"/>
    <w:rsid w:val="0032737F"/>
    <w:rsid w:val="00357A68"/>
    <w:rsid w:val="00367B62"/>
    <w:rsid w:val="003C023A"/>
    <w:rsid w:val="003C0426"/>
    <w:rsid w:val="004522E7"/>
    <w:rsid w:val="00467A11"/>
    <w:rsid w:val="004C7757"/>
    <w:rsid w:val="00555335"/>
    <w:rsid w:val="00556B6E"/>
    <w:rsid w:val="00563B45"/>
    <w:rsid w:val="00572059"/>
    <w:rsid w:val="005774AC"/>
    <w:rsid w:val="005A4A21"/>
    <w:rsid w:val="005D30B0"/>
    <w:rsid w:val="005E1125"/>
    <w:rsid w:val="005E1A3C"/>
    <w:rsid w:val="005E242B"/>
    <w:rsid w:val="005E4030"/>
    <w:rsid w:val="00604808"/>
    <w:rsid w:val="00617140"/>
    <w:rsid w:val="0062564B"/>
    <w:rsid w:val="006554A1"/>
    <w:rsid w:val="00712031"/>
    <w:rsid w:val="00734255"/>
    <w:rsid w:val="00754CAE"/>
    <w:rsid w:val="00756968"/>
    <w:rsid w:val="0078236C"/>
    <w:rsid w:val="007962B2"/>
    <w:rsid w:val="007B1347"/>
    <w:rsid w:val="007B22AF"/>
    <w:rsid w:val="007D38D3"/>
    <w:rsid w:val="007D4B3A"/>
    <w:rsid w:val="008013B1"/>
    <w:rsid w:val="00802976"/>
    <w:rsid w:val="00824370"/>
    <w:rsid w:val="008366F6"/>
    <w:rsid w:val="0087152F"/>
    <w:rsid w:val="00887371"/>
    <w:rsid w:val="008B0CE3"/>
    <w:rsid w:val="008E13E4"/>
    <w:rsid w:val="008F0C64"/>
    <w:rsid w:val="00925CBE"/>
    <w:rsid w:val="009321C3"/>
    <w:rsid w:val="00944A60"/>
    <w:rsid w:val="00966414"/>
    <w:rsid w:val="009726A9"/>
    <w:rsid w:val="009761E9"/>
    <w:rsid w:val="009847A8"/>
    <w:rsid w:val="009A477D"/>
    <w:rsid w:val="009D34BC"/>
    <w:rsid w:val="009D4270"/>
    <w:rsid w:val="00A065AE"/>
    <w:rsid w:val="00A55307"/>
    <w:rsid w:val="00A61571"/>
    <w:rsid w:val="00A6402B"/>
    <w:rsid w:val="00A73B68"/>
    <w:rsid w:val="00AA6C78"/>
    <w:rsid w:val="00AB4CBF"/>
    <w:rsid w:val="00AB6841"/>
    <w:rsid w:val="00B31DF0"/>
    <w:rsid w:val="00B34548"/>
    <w:rsid w:val="00BA2CCE"/>
    <w:rsid w:val="00BB0782"/>
    <w:rsid w:val="00BC59BF"/>
    <w:rsid w:val="00BD21E4"/>
    <w:rsid w:val="00BD2D44"/>
    <w:rsid w:val="00C049EB"/>
    <w:rsid w:val="00C05831"/>
    <w:rsid w:val="00C11442"/>
    <w:rsid w:val="00C178FC"/>
    <w:rsid w:val="00C448C4"/>
    <w:rsid w:val="00C53A9A"/>
    <w:rsid w:val="00C708AE"/>
    <w:rsid w:val="00C91162"/>
    <w:rsid w:val="00CA7407"/>
    <w:rsid w:val="00CC2AF6"/>
    <w:rsid w:val="00CC46F1"/>
    <w:rsid w:val="00CD037F"/>
    <w:rsid w:val="00CD2053"/>
    <w:rsid w:val="00CD3D6E"/>
    <w:rsid w:val="00CE29E1"/>
    <w:rsid w:val="00D035A7"/>
    <w:rsid w:val="00D50E20"/>
    <w:rsid w:val="00D66041"/>
    <w:rsid w:val="00D67390"/>
    <w:rsid w:val="00DA37F8"/>
    <w:rsid w:val="00DA42FD"/>
    <w:rsid w:val="00DF309C"/>
    <w:rsid w:val="00E11D6D"/>
    <w:rsid w:val="00E24BE9"/>
    <w:rsid w:val="00E26313"/>
    <w:rsid w:val="00E7268A"/>
    <w:rsid w:val="00E72CF0"/>
    <w:rsid w:val="00E849DC"/>
    <w:rsid w:val="00E92D22"/>
    <w:rsid w:val="00EA5B92"/>
    <w:rsid w:val="00EB5280"/>
    <w:rsid w:val="00EE503E"/>
    <w:rsid w:val="00EF7316"/>
    <w:rsid w:val="00F3719E"/>
    <w:rsid w:val="00F426CB"/>
    <w:rsid w:val="00F70EE6"/>
    <w:rsid w:val="00F924F6"/>
    <w:rsid w:val="00FA3E68"/>
    <w:rsid w:val="00FA4794"/>
    <w:rsid w:val="00FD0436"/>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2468</TotalTime>
  <Pages>7</Pages>
  <Words>2621</Words>
  <Characters>14941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55</cp:revision>
  <dcterms:created xsi:type="dcterms:W3CDTF">2022-02-09T04:05:00Z</dcterms:created>
  <dcterms:modified xsi:type="dcterms:W3CDTF">2022-02-12T23:04:00Z</dcterms:modified>
</cp:coreProperties>
</file>