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9AAAD9A"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6FD1F169"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0178D">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Australia","type":"article-journal","volume":"70"},"uris":["http://www.mendeley.com/documents/?uuid=18d0faf8-0939-458a-9e10-93c831df95e3"]}],"mendeley":{"formattedCitation":"(Asner et al., 2014; Ticehurst, Held, &amp; Phinn, 2004)","plainTextFormattedCitation":"(Asner et al., 2014; Ticehurst, Held, &amp; Phinn, 2004)","previouslyFormattedCitation":"(Asner et al., 2014; Ticehurst, Held, &amp; Phinn, 2004)"},"properties":{"noteIndex":0},"schema":"https://github.com/citation-style-language/schema/raw/master/csl-citation.json"}</w:instrText>
      </w:r>
      <w:r w:rsidR="00567B3D">
        <w:fldChar w:fldCharType="separate"/>
      </w:r>
      <w:r w:rsidR="006401BF" w:rsidRPr="006401BF">
        <w:rPr>
          <w:noProof/>
        </w:rPr>
        <w:t>(Asner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30178D">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0E343FAB"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lastRenderedPageBreak/>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30178D">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Hurtado, &amp; Saatchi,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(e.g. Cuni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(asner)</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WorldClim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National Commission of Biodiversity (CONABIO) GeoPortal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 (</w:t>
      </w:r>
      <w:r w:rsidR="00F66BB2" w:rsidRPr="00D70173">
        <w:t>Réjou‐Méchain</w:t>
      </w:r>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Chave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Chave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30178D"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r w:rsidR="004628C2" w:rsidRPr="004628C2">
        <w:rPr>
          <w:i/>
          <w:iCs/>
        </w:rPr>
        <w:t>H</w:t>
      </w:r>
      <w:r w:rsidR="004628C2">
        <w:t xml:space="preserve"> at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from Wor</w:t>
      </w:r>
      <w:r w:rsidR="00A42F66">
        <w:rPr>
          <w:rStyle w:val="textlayer--absolute"/>
          <w:rFonts w:cstheme="minorHAnsi"/>
        </w:rPr>
        <w:t xml:space="preserve">ldClim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nbclust)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(Velasco-Murguía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rsidRPr="00296D9D">
        <w:rPr>
          <w:i/>
          <w:iCs/>
        </w:rPr>
        <w:t>SS</w:t>
      </w:r>
      <w:r w:rsidR="008E6906">
        <w:t xml:space="preserve"> value present in a site and </w:t>
      </w:r>
      <w:r w:rsidR="008E6906" w:rsidRPr="008E6906">
        <w:rPr>
          <w:i/>
          <w:iCs/>
        </w:rPr>
        <w:t>maxSS</w:t>
      </w:r>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FC20BA" w:rsidRPr="00542864">
        <w:rPr>
          <w:highlight w:val="yellow"/>
        </w:rPr>
        <w:t>XPerfectoXVandermeerXEtc</w:t>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r w:rsidR="00A40048">
        <w:rPr>
          <w:rStyle w:val="textlayer--absolute"/>
          <w:rFonts w:cstheme="minorHAnsi"/>
        </w:rPr>
        <w:t>Jardel-Pelaez, et al., 2014</w:t>
      </w:r>
      <w:r w:rsidR="00521D5D">
        <w:rPr>
          <w:rStyle w:val="textlayer--absolute"/>
          <w:rFonts w:cstheme="minorHAnsi"/>
        </w:rPr>
        <w:t>; Scatena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(asner), in others, </w:t>
      </w:r>
      <w:r w:rsidR="003E71B7">
        <w:t xml:space="preserve">basal area and </w:t>
      </w:r>
      <w:r w:rsidR="0086797F">
        <w:t>the density of very large trees play</w:t>
      </w:r>
      <w:r w:rsidR="006A2513">
        <w:t xml:space="preserve"> </w:t>
      </w:r>
      <w:r w:rsidR="0086797F">
        <w:t>a larger role in explaining AGB distribution (cuni).</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to Tredennick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r w:rsidRPr="00620EF1">
        <w:rPr>
          <w:i/>
          <w:iCs/>
        </w:rPr>
        <w:t>Saurauia</w:t>
      </w:r>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1D14A029" w:rsidR="007E5FEF" w:rsidRDefault="002B6B04">
      <w:pPr>
        <w:rPr>
          <w:i/>
          <w:iCs/>
        </w:rPr>
      </w:pPr>
      <w:r>
        <w:tab/>
      </w:r>
      <w:r w:rsidR="00464F8A">
        <w:rPr>
          <w:i/>
          <w:iCs/>
        </w:rPr>
        <w:t>Patterns of AGB along land-use and environmental gradients</w:t>
      </w:r>
      <w:r w:rsidRPr="00FD0D17">
        <w:rPr>
          <w:i/>
          <w:iCs/>
        </w:rPr>
        <w:t xml:space="preserve"> </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77777777"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AF10AD">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AF10AD">
        <w:fldChar w:fldCharType="separate"/>
      </w:r>
      <w:r w:rsidR="00AF10AD" w:rsidRPr="00143A5C">
        <w:rPr>
          <w:noProof/>
        </w:rPr>
        <w:t>(Toledo-Aceves, Meave, González-Espinosa, &amp; Ramírez-Marcial, 2011)</w:t>
      </w:r>
      <w:r w:rsidR="00AF10AD">
        <w:fldChar w:fldCharType="end"/>
      </w:r>
      <w:r w:rsidR="00AF10AD">
        <w:t>.</w:t>
      </w:r>
    </w:p>
    <w:p w14:paraId="18E7C5DA" w14:textId="3EF5A93C"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383B1B">
        <w:t xml:space="preserve"> </w:t>
      </w:r>
      <w:r w:rsidR="00791583">
        <w:t xml:space="preserve">(refs).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(refs)</w:t>
      </w:r>
      <w:r w:rsidR="00020208">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65D6296B" w14:textId="10C01F97" w:rsidR="00464F8A" w:rsidRDefault="003357A6" w:rsidP="00464F8A">
      <w:pPr>
        <w:rPr>
          <w:i/>
          <w:iCs/>
        </w:rPr>
      </w:pPr>
      <w:r>
        <w:rPr>
          <w:i/>
          <w:iCs/>
        </w:rPr>
        <w:t xml:space="preserve">AGB in TMCF within the NMO is large and driven by basal area and the density of big trees </w:t>
      </w:r>
    </w:p>
    <w:p w14:paraId="14755BFB" w14:textId="11077312" w:rsidR="00EE645E"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 (</w:t>
      </w:r>
      <w:r w:rsidR="004C17D5">
        <w:t xml:space="preserve">Malhi et al. </w:t>
      </w:r>
      <w:r w:rsidR="00975619">
        <w:t>2014, Gardner et al., 2009</w:t>
      </w:r>
      <w:r w:rsidR="00305E64">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within the range found by Spracklen and Righelto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al’s (2021) and Avitabile et al’s (2012) </w:t>
      </w:r>
      <w:r w:rsidR="00AF10AD">
        <w:t>values</w:t>
      </w:r>
      <w:r w:rsidR="00532710">
        <w:t xml:space="preserve"> for the region</w:t>
      </w:r>
      <w:r w:rsidR="00AE7B70">
        <w:t xml:space="preserve">, but lower than those in Saatchi et al’s (2011). </w:t>
      </w:r>
      <w:r w:rsidR="009C7E1F">
        <w:t xml:space="preserve">When compared to AGB estimates </w:t>
      </w:r>
      <w:r w:rsidR="00EB651A">
        <w:t>in</w:t>
      </w:r>
      <w:r w:rsidR="009C7E1F">
        <w:t xml:space="preserve"> TMCF in Mexico, our results agree with those found by Álvarez-Arteaga et al. </w:t>
      </w:r>
      <w:r w:rsidR="009C7E1F" w:rsidRPr="002C6FA3">
        <w:t>(2013)</w:t>
      </w:r>
      <w:r w:rsidR="009C7E1F">
        <w:t xml:space="preserve"> and </w:t>
      </w:r>
      <w:r w:rsidR="009C7E1F" w:rsidRPr="009857AB">
        <w:t xml:space="preserve">Vizcaíno-Bravo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ha-1</w:t>
      </w:r>
      <w:r w:rsidR="009F73F7">
        <w:t xml:space="preserve">) </w:t>
      </w:r>
      <w:r w:rsidR="0073074E">
        <w:t>and that obtained by Leija-Loredo et al. (2018) in Hidalgo, Mexico,</w:t>
      </w:r>
      <w:r w:rsidR="00F77D88">
        <w:t xml:space="preserve"> (29 Mg ha-1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r w:rsidR="00FC6F96">
        <w:t xml:space="preserve"> </w:t>
      </w:r>
    </w:p>
    <w:p w14:paraId="43C8D54D" w14:textId="0AFD9C2D"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al’s (2011) estimate for the region and higher than AGB estimates found by Spracklen and Righleto (</w:t>
      </w:r>
      <w:r w:rsidR="003E5883">
        <w:t>2014</w:t>
      </w:r>
      <w:r w:rsidR="00FC6F96">
        <w:t xml:space="preserve">)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A3114D">
        <w:t xml:space="preserve"> (refs)</w:t>
      </w:r>
      <w:r w:rsidR="000C0BAA">
        <w:t xml:space="preserve">, </w:t>
      </w:r>
      <w:r w:rsidR="00F867AB">
        <w:t>although this difference is not always statistically significant</w:t>
      </w:r>
      <w:r w:rsidR="00A3114D">
        <w:t xml:space="preserve"> (e.g.,</w:t>
      </w:r>
      <w:r w:rsidR="00F867AB">
        <w:t xml:space="preserve"> </w:t>
      </w:r>
      <w:r w:rsidR="00F867AB" w:rsidRPr="009857AB">
        <w:t xml:space="preserve">Vizcaíno-Bravo et al. </w:t>
      </w:r>
      <w:r w:rsidR="00F867AB" w:rsidRPr="005D0C9A">
        <w:t>(2020)</w:t>
      </w:r>
      <w:r w:rsidR="00A3114D">
        <w:t xml:space="preserve">). </w:t>
      </w:r>
      <w:r w:rsidR="00F556CC">
        <w:t xml:space="preserve">These results show that forests in secondary succession can sequester carbon in large quantities, highlighting their ecological significance (refs).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04660B08"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53933BDD" w14:textId="7FCFE8A0" w:rsidR="00464F8A" w:rsidRDefault="003357A6">
      <w:pPr>
        <w:rPr>
          <w:i/>
          <w:iCs/>
        </w:rPr>
      </w:pPr>
      <w:r>
        <w:rPr>
          <w:i/>
          <w:iCs/>
        </w:rPr>
        <w:t>The r</w:t>
      </w:r>
      <w:r w:rsidR="00464F8A">
        <w:rPr>
          <w:i/>
          <w:iCs/>
        </w:rPr>
        <w:t>elationship between AGB and tree diversity</w:t>
      </w:r>
      <w:r>
        <w:rPr>
          <w:i/>
          <w:iCs/>
        </w:rPr>
        <w:t xml:space="preserve"> is weak and scale-dependent </w:t>
      </w:r>
      <w:r w:rsidR="00464F8A">
        <w:rPr>
          <w:i/>
          <w:iCs/>
        </w:rPr>
        <w:t xml:space="preserve"> </w:t>
      </w:r>
    </w:p>
    <w:p w14:paraId="6171590F" w14:textId="01B338B5" w:rsidR="001E26C3" w:rsidRDefault="00282052">
      <w:r>
        <w:t xml:space="preserve">Although a positive relationship between AGB and tree diversity has been found in tropical forests (Refs), 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129882C0" w14:textId="1A2A2C79" w:rsidR="00464F8A" w:rsidRDefault="000F025D">
      <w:r>
        <w:rPr>
          <w:i/>
          <w:iCs/>
        </w:rPr>
        <w:t xml:space="preserve">Environmental and land-use gradients: </w:t>
      </w:r>
      <w:r w:rsidR="00464F8A">
        <w:rPr>
          <w:i/>
          <w:iCs/>
        </w:rPr>
        <w:t xml:space="preserve">AGB </w:t>
      </w:r>
      <w:r w:rsidR="003357A6">
        <w:rPr>
          <w:i/>
          <w:iCs/>
        </w:rPr>
        <w:t xml:space="preserve">increases with elevation </w:t>
      </w:r>
      <w:r w:rsidR="00775A86">
        <w:rPr>
          <w:i/>
          <w:iCs/>
        </w:rPr>
        <w:t xml:space="preserve">and </w:t>
      </w:r>
      <w:r w:rsidR="003357A6">
        <w:rPr>
          <w:i/>
          <w:iCs/>
        </w:rPr>
        <w:t>decreases with land-use intensity</w:t>
      </w:r>
    </w:p>
    <w:p w14:paraId="70D65EC4" w14:textId="75F4F376"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2845C3DD" w:rsidR="003B798D" w:rsidRDefault="007C5F1E" w:rsidP="00726EF1">
      <w:pPr>
        <w:ind w:firstLine="720"/>
      </w:pPr>
      <w:r>
        <w:t>In our study area, both precipitation and temperature decrease with elevation. This environmental gradient has a significant relationship with AGB where AGB increases with elevation despite sites at higher elevation experience lower temperature and precipitation. This finding contradicts the general expectation of AGB declining with elevation driven by cooler temperatures (REFS). However, our results agree with Alvarez-Arteaga et al.’s study where the highest AGB in TMCF within the NMO was found at 2,500 m asl. Moreover,</w:t>
      </w:r>
      <w:r w:rsidRPr="00DB6AEE">
        <w:t xml:space="preserve"> </w:t>
      </w:r>
      <w:r>
        <w:t>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AGB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 (refs). 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3D2AD7">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Cuni-Sanchez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3E7980B"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refs – marshall 2012, de la Cruz-Amo 2020, waide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AGB in particular, has been studied for a long time (refs) but mainly at local scales, where AGB is measured in chronosequences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Erb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r w:rsidRPr="005853EF">
        <w:t>Vizcaíno-Bravo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r w:rsidRPr="009857AB">
        <w:t xml:space="preserve">Vizcaíno-Bravo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59413751" w:rsidR="00663BB3" w:rsidRPr="00663BB3" w:rsidRDefault="00663BB3" w:rsidP="006F0BD5">
      <w:pPr>
        <w:pStyle w:val="Prrafodelista"/>
        <w:numPr>
          <w:ilvl w:val="0"/>
          <w:numId w:val="3"/>
        </w:numPr>
      </w:pPr>
      <w:r>
        <w:rPr>
          <w:rFonts w:ascii="Times New Roman" w:hAnsi="Times New Roman" w:cs="Times New Roman"/>
          <w:sz w:val="24"/>
          <w:szCs w:val="24"/>
        </w:rPr>
        <w:t>Measurements of AGB in Mexican TMCF show that C stored in the vegetation ranges from 12.7 MgC ha</w:t>
      </w:r>
      <w:r>
        <w:rPr>
          <w:rFonts w:ascii="Times New Roman" w:hAnsi="Times New Roman" w:cs="Times New Roman"/>
          <w:sz w:val="24"/>
          <w:szCs w:val="24"/>
          <w:vertAlign w:val="superscript"/>
        </w:rPr>
        <w:t>-1</w:t>
      </w:r>
      <w:r>
        <w:rPr>
          <w:rFonts w:ascii="Times New Roman" w:hAnsi="Times New Roman" w:cs="Times New Roman"/>
          <w:sz w:val="24"/>
          <w:szCs w:val="24"/>
        </w:rPr>
        <w:t>, in the state of Hidalgo, to as high as 413.08 MgC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567B3D">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F87D39" w:rsidRPr="00F87D39">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Weg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Many of the allometric equations do not include tree height (according to Spracklen,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Add percentages of other non-tree spp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One consequence of the dynamic nature of the socio-economic systems that govern tropical forests is the fact that many modified landscapes exist as highly unstable spatio-temporal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r>
        <w:t xml:space="preserve">Malhi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(e.g.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Size class</w:t>
            </w:r>
            <w:r w:rsidR="004058D8">
              <w:t>:</w:t>
            </w:r>
            <w:r>
              <w:t>Successional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Size class</w:t>
            </w:r>
            <w:r w:rsidR="004058D8">
              <w:t>:</w:t>
            </w:r>
            <w:r>
              <w:t>Successional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511"/>
    <w:rsid w:val="000C1737"/>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6EF"/>
    <w:rsid w:val="00123C70"/>
    <w:rsid w:val="001255A6"/>
    <w:rsid w:val="001267D5"/>
    <w:rsid w:val="00130AE9"/>
    <w:rsid w:val="00131800"/>
    <w:rsid w:val="00132807"/>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70E"/>
    <w:rsid w:val="00230C7A"/>
    <w:rsid w:val="002325DA"/>
    <w:rsid w:val="0023260B"/>
    <w:rsid w:val="00233CD4"/>
    <w:rsid w:val="002353C5"/>
    <w:rsid w:val="00243235"/>
    <w:rsid w:val="00246A0B"/>
    <w:rsid w:val="00247A15"/>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178D"/>
    <w:rsid w:val="00305E64"/>
    <w:rsid w:val="00310407"/>
    <w:rsid w:val="00311201"/>
    <w:rsid w:val="003172A5"/>
    <w:rsid w:val="00320178"/>
    <w:rsid w:val="00323A21"/>
    <w:rsid w:val="003249DA"/>
    <w:rsid w:val="0032671E"/>
    <w:rsid w:val="00326770"/>
    <w:rsid w:val="0032737F"/>
    <w:rsid w:val="0033188C"/>
    <w:rsid w:val="00333C25"/>
    <w:rsid w:val="003357A6"/>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798D"/>
    <w:rsid w:val="003C023A"/>
    <w:rsid w:val="003C0426"/>
    <w:rsid w:val="003C10D7"/>
    <w:rsid w:val="003C1EFA"/>
    <w:rsid w:val="003C24F5"/>
    <w:rsid w:val="003C65DB"/>
    <w:rsid w:val="003C761F"/>
    <w:rsid w:val="003D0ED2"/>
    <w:rsid w:val="003D1D2D"/>
    <w:rsid w:val="003D2208"/>
    <w:rsid w:val="003D25C2"/>
    <w:rsid w:val="003D2AD7"/>
    <w:rsid w:val="003D324A"/>
    <w:rsid w:val="003D4556"/>
    <w:rsid w:val="003D53A5"/>
    <w:rsid w:val="003D5A98"/>
    <w:rsid w:val="003E046E"/>
    <w:rsid w:val="003E1C8A"/>
    <w:rsid w:val="003E3B7D"/>
    <w:rsid w:val="003E41BA"/>
    <w:rsid w:val="003E5883"/>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1E81"/>
    <w:rsid w:val="00432312"/>
    <w:rsid w:val="004351AC"/>
    <w:rsid w:val="0043692A"/>
    <w:rsid w:val="00436AE9"/>
    <w:rsid w:val="00437350"/>
    <w:rsid w:val="00443F76"/>
    <w:rsid w:val="004522E7"/>
    <w:rsid w:val="004539CA"/>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2C2A"/>
    <w:rsid w:val="00482E66"/>
    <w:rsid w:val="004835AE"/>
    <w:rsid w:val="004836F4"/>
    <w:rsid w:val="0048488E"/>
    <w:rsid w:val="0048621B"/>
    <w:rsid w:val="00486A20"/>
    <w:rsid w:val="00491AA6"/>
    <w:rsid w:val="004921C3"/>
    <w:rsid w:val="004932E4"/>
    <w:rsid w:val="00497C02"/>
    <w:rsid w:val="004A0033"/>
    <w:rsid w:val="004A19D6"/>
    <w:rsid w:val="004A3352"/>
    <w:rsid w:val="004A392D"/>
    <w:rsid w:val="004A4121"/>
    <w:rsid w:val="004A54D5"/>
    <w:rsid w:val="004A6FE9"/>
    <w:rsid w:val="004B0778"/>
    <w:rsid w:val="004B1AB9"/>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01BF"/>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6EC8"/>
    <w:rsid w:val="00757AF4"/>
    <w:rsid w:val="00760876"/>
    <w:rsid w:val="00765518"/>
    <w:rsid w:val="007671BD"/>
    <w:rsid w:val="007674A7"/>
    <w:rsid w:val="0077145A"/>
    <w:rsid w:val="007723EC"/>
    <w:rsid w:val="00773C54"/>
    <w:rsid w:val="00773CF9"/>
    <w:rsid w:val="00773E23"/>
    <w:rsid w:val="00775A86"/>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5F1E"/>
    <w:rsid w:val="007C6459"/>
    <w:rsid w:val="007C6D2C"/>
    <w:rsid w:val="007D1572"/>
    <w:rsid w:val="007D1DEA"/>
    <w:rsid w:val="007D38D3"/>
    <w:rsid w:val="007D3E16"/>
    <w:rsid w:val="007D4B3A"/>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46C9"/>
    <w:rsid w:val="008659A4"/>
    <w:rsid w:val="0086717B"/>
    <w:rsid w:val="0086797F"/>
    <w:rsid w:val="008705F5"/>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E88"/>
    <w:rsid w:val="008C58D6"/>
    <w:rsid w:val="008C5F9E"/>
    <w:rsid w:val="008C5FE4"/>
    <w:rsid w:val="008C6DB4"/>
    <w:rsid w:val="008C7903"/>
    <w:rsid w:val="008D0468"/>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8F9"/>
    <w:rsid w:val="00970CE5"/>
    <w:rsid w:val="0097178B"/>
    <w:rsid w:val="009726A9"/>
    <w:rsid w:val="00973350"/>
    <w:rsid w:val="00974B15"/>
    <w:rsid w:val="00975619"/>
    <w:rsid w:val="009756D3"/>
    <w:rsid w:val="009761E9"/>
    <w:rsid w:val="0097697B"/>
    <w:rsid w:val="009770A2"/>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79CE"/>
    <w:rsid w:val="009E0F27"/>
    <w:rsid w:val="009E6F59"/>
    <w:rsid w:val="009F1B09"/>
    <w:rsid w:val="009F2458"/>
    <w:rsid w:val="009F24A2"/>
    <w:rsid w:val="009F4798"/>
    <w:rsid w:val="009F70BB"/>
    <w:rsid w:val="009F73F7"/>
    <w:rsid w:val="00A05D4C"/>
    <w:rsid w:val="00A065AE"/>
    <w:rsid w:val="00A074C1"/>
    <w:rsid w:val="00A10102"/>
    <w:rsid w:val="00A1204D"/>
    <w:rsid w:val="00A1338D"/>
    <w:rsid w:val="00A13BB3"/>
    <w:rsid w:val="00A17444"/>
    <w:rsid w:val="00A20E6C"/>
    <w:rsid w:val="00A22A11"/>
    <w:rsid w:val="00A23F07"/>
    <w:rsid w:val="00A257D3"/>
    <w:rsid w:val="00A26B48"/>
    <w:rsid w:val="00A26B66"/>
    <w:rsid w:val="00A273CB"/>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681C"/>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3634"/>
    <w:rsid w:val="00B14A03"/>
    <w:rsid w:val="00B14B4F"/>
    <w:rsid w:val="00B1725A"/>
    <w:rsid w:val="00B17FD0"/>
    <w:rsid w:val="00B228A3"/>
    <w:rsid w:val="00B23197"/>
    <w:rsid w:val="00B235AB"/>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5E97"/>
    <w:rsid w:val="00DC69AF"/>
    <w:rsid w:val="00DD0A7B"/>
    <w:rsid w:val="00DD2385"/>
    <w:rsid w:val="00DD3626"/>
    <w:rsid w:val="00DD389F"/>
    <w:rsid w:val="00DE3089"/>
    <w:rsid w:val="00DE3370"/>
    <w:rsid w:val="00DE3F78"/>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509E"/>
    <w:rsid w:val="00E462DB"/>
    <w:rsid w:val="00E51C05"/>
    <w:rsid w:val="00E543A4"/>
    <w:rsid w:val="00E547BC"/>
    <w:rsid w:val="00E60A5D"/>
    <w:rsid w:val="00E60D84"/>
    <w:rsid w:val="00E6281A"/>
    <w:rsid w:val="00E63D10"/>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7F8"/>
    <w:rsid w:val="00F43A93"/>
    <w:rsid w:val="00F4471C"/>
    <w:rsid w:val="00F452E1"/>
    <w:rsid w:val="00F45770"/>
    <w:rsid w:val="00F46522"/>
    <w:rsid w:val="00F46FDD"/>
    <w:rsid w:val="00F50725"/>
    <w:rsid w:val="00F51417"/>
    <w:rsid w:val="00F526A5"/>
    <w:rsid w:val="00F5403C"/>
    <w:rsid w:val="00F540CF"/>
    <w:rsid w:val="00F556CC"/>
    <w:rsid w:val="00F56ECE"/>
    <w:rsid w:val="00F613CF"/>
    <w:rsid w:val="00F61F99"/>
    <w:rsid w:val="00F65744"/>
    <w:rsid w:val="00F66BB2"/>
    <w:rsid w:val="00F67113"/>
    <w:rsid w:val="00F70EE6"/>
    <w:rsid w:val="00F7161F"/>
    <w:rsid w:val="00F7236D"/>
    <w:rsid w:val="00F73583"/>
    <w:rsid w:val="00F74137"/>
    <w:rsid w:val="00F75EBD"/>
    <w:rsid w:val="00F77D88"/>
    <w:rsid w:val="00F8549D"/>
    <w:rsid w:val="00F867AB"/>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DCB"/>
    <w:rsid w:val="00FC6F96"/>
    <w:rsid w:val="00FD0436"/>
    <w:rsid w:val="00FD0B3D"/>
    <w:rsid w:val="00FD0D17"/>
    <w:rsid w:val="00FD0F2F"/>
    <w:rsid w:val="00FD2B17"/>
    <w:rsid w:val="00FD393C"/>
    <w:rsid w:val="00FD4D33"/>
    <w:rsid w:val="00FD4FA5"/>
    <w:rsid w:val="00FD57D2"/>
    <w:rsid w:val="00FE0B41"/>
    <w:rsid w:val="00FE0FCC"/>
    <w:rsid w:val="00FE38C0"/>
    <w:rsid w:val="00FE399D"/>
    <w:rsid w:val="00FE4F79"/>
    <w:rsid w:val="00FE5F54"/>
    <w:rsid w:val="00FE60A2"/>
    <w:rsid w:val="00FE6455"/>
    <w:rsid w:val="00FE662C"/>
    <w:rsid w:val="00FE69C6"/>
    <w:rsid w:val="00FF13E6"/>
    <w:rsid w:val="00FF1487"/>
    <w:rsid w:val="00FF14F0"/>
    <w:rsid w:val="00FF3291"/>
    <w:rsid w:val="00FF58B0"/>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29191</TotalTime>
  <Pages>38</Pages>
  <Words>30681</Words>
  <Characters>174886</Characters>
  <Application>Microsoft Office Word</Application>
  <DocSecurity>0</DocSecurity>
  <Lines>1457</Lines>
  <Paragraphs>410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672</cp:revision>
  <dcterms:created xsi:type="dcterms:W3CDTF">2022-02-09T04:05:00Z</dcterms:created>
  <dcterms:modified xsi:type="dcterms:W3CDTF">2022-04-01T21:29:00Z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