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6209710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962842">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5A5625" w:rsidRPr="005A5625">
        <w:rPr>
          <w:noProof/>
        </w:rPr>
        <w:t>(Poorter et al., 2015)</w:t>
      </w:r>
      <w:r w:rsidR="009A40B4">
        <w:fldChar w:fldCharType="end"/>
      </w:r>
      <w:r w:rsidR="00F43A93">
        <w:t>, two of the most threatened ecosystem features by current global environmental change.</w:t>
      </w:r>
    </w:p>
    <w:p w14:paraId="4A6F37A9" w14:textId="29BA5D09"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0178D">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Australia","type":"article-journal","volume":"70"},"uris":["http://www.mendeley.com/documents/?uuid=18d0faf8-0939-458a-9e10-93c831df95e3"]}],"mendeley":{"formattedCitation":"(Asner et al., 2014; Ticehurst, Held, &amp; Phinn, 2004)","plainTextFormattedCitation":"(Asner et al., 2014; Ticehurst, Held, &amp; Phinn, 2004)","previouslyFormattedCitation":"(Asner et al., 2014; Ticehurst, Held, &amp; Phinn, 2004)"},"properties":{"noteIndex":0},"schema":"https://github.com/citation-style-language/schema/raw/master/csl-citation.json"}</w:instrText>
      </w:r>
      <w:r w:rsidR="00567B3D">
        <w:fldChar w:fldCharType="separate"/>
      </w:r>
      <w:r w:rsidR="006401BF" w:rsidRPr="006401BF">
        <w:rPr>
          <w:noProof/>
        </w:rPr>
        <w:t>(Asner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13CFAC67"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B60A8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gradient","type":"article-journal","volume":"11"},"uris":["http://www.mendeley.com/documents/?uuid=418ea67c-8264-4a71-836b-220c8c8ef566"]},{"id":"ITEM-3","itemData":{"author":[{"dropping-particle":"","family":"Girardin","given":"C.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Biology","id":"ITEM-3","issued":{"date-parts":[["2010"]]},"page":"3176-3192","title":"Net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 Spracklen &amp; Righelato, 2014)","plainTextFormattedCitation":"(Asner et al., 2014; C. A. J. Girardin et al., 2010; Spracklen &amp; Righelato, 2014)","previouslyFormattedCitation":"(Asner et al., 2014; C. A. J. Girardin et al., 2010; Spracklen &amp; Righelato, 2014)"},"properties":{"noteIndex":0},"schema":"https://github.com/citation-style-language/schema/raw/master/csl-citation.json"}</w:instrText>
      </w:r>
      <w:r w:rsidR="002874FF">
        <w:fldChar w:fldCharType="separate"/>
      </w:r>
      <w:r w:rsidR="00B60A88" w:rsidRPr="00B60A88">
        <w:rPr>
          <w:noProof/>
        </w:rPr>
        <w:t>(Asner et al., 2014; C. A. J. Girardin et al., 2010; Spracklen &amp; Righelato, 2014)</w:t>
      </w:r>
      <w:r w:rsidR="002874FF">
        <w:fldChar w:fldCharType="end"/>
      </w:r>
      <w:r w:rsidR="002874FF">
        <w:t>.</w:t>
      </w:r>
      <w:r w:rsidR="0083205D">
        <w:t xml:space="preserve"> However, </w:t>
      </w:r>
      <w:r w:rsidR="00FD393C">
        <w:t xml:space="preserve">AGB patterns along </w:t>
      </w:r>
      <w:r w:rsidR="00FD393C">
        <w:lastRenderedPageBreak/>
        <w:t>elevation transects c</w:t>
      </w:r>
      <w:r w:rsidR="00A60886">
        <w:t>an be</w:t>
      </w:r>
      <w:r w:rsidR="00FD393C">
        <w:t xml:space="preserve"> </w:t>
      </w:r>
      <w:r w:rsidR="00A90C28">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3B32BC39"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962842">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forests","type":"article-journal","volume":"530"},"uris":["http://www.mendeley.com/documents/?uuid=a91933ca-8085-4e5a-852a-40681657b6a6"]}],"mendeley":{"formattedCitation":"(Poorter et al., 2016)","plainTextFormattedCitation":"(Poorter et al., 2016)","previouslyFormattedCitation":"(Poorter et al., 2016)"},"properties":{"noteIndex":0},"schema":"https://github.com/citation-style-language/schema/raw/master/csl-citation.json"}</w:instrText>
      </w:r>
      <w:r w:rsidR="000B4422">
        <w:fldChar w:fldCharType="separate"/>
      </w:r>
      <w:r w:rsidR="005A5625" w:rsidRPr="005A5625">
        <w:rPr>
          <w:noProof/>
        </w:rPr>
        <w:t>(Poorter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441AED">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Mexico","type":"article-journal","volume":"500"},"uris":["http://www.mendeley.com/documents/?uuid=33c9cbb1-6bef-44bf-b814-084bf035754c"]}],"mendeley":{"formattedCitation":"(R. L. Chazdon et al., 2016; Velasco-Murguía, del Castillo, Rös, &amp; Rivera-García, 2021)","plainTextFormattedCitation":"(R. L. Chazdon et al., 2016; Velasco-Murguía, del Castillo, Rös, &amp; Rivera-García, 2021)","previouslyFormattedCitation":"(R. L. Chazdon et al., 2016; Velasco-Murguía, del Castillo, Rös, &amp; Rivera-García, 2021)"},"properties":{"noteIndex":0},"schema":"https://github.com/citation-style-language/schema/raw/master/csl-citation.json"}</w:instrText>
      </w:r>
      <w:r w:rsidR="000B4422">
        <w:fldChar w:fldCharType="separate"/>
      </w:r>
      <w:r w:rsidR="00834348" w:rsidRPr="00834348">
        <w:rPr>
          <w:noProof/>
          <w:lang w:val="es-MX"/>
        </w:rPr>
        <w:t>(R. L. 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48065C">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Ivette Perfecto &amp; Vandermeer, 2008)","plainTextFormattedCitation":"(del Castillo, 2013; Gardner et al., 2009; Ivette Perfecto &amp; Vandermeer, 2008)","previouslyFormattedCitation":"(del Castillo, 2013; Gardner et al., 2009; Ivette Perfecto &amp; Vandermeer, 2008)"},"properties":{"noteIndex":0},"schema":"https://github.com/citation-style-language/schema/raw/master/csl-citation.json"}</w:instrText>
      </w:r>
      <w:r w:rsidR="00A156DF">
        <w:fldChar w:fldCharType="separate"/>
      </w:r>
      <w:r w:rsidR="00374DC9" w:rsidRPr="00374DC9">
        <w:rPr>
          <w:noProof/>
        </w:rPr>
        <w:t>(del Castillo, 2013; Gardner et al., 2009; Ivette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4DA53339"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FF5A0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transects","type":"article-journal","volume":"7"},"uris":["http://www.mendeley.com/documents/?uuid=0bdcea3c-7dd7-4d12-9a52-830b96ece727"]}],"mendeley":{"formattedCitation":"(Asner et al., 2014; C. Girardin et al., 2014)","plainTextFormattedCitation":"(Asner et al., 2014; C. Girardin et al., 2014)","previouslyFormattedCitation":"(Asner et al., 2014; C. Girardin et al., 2014)"},"properties":{"noteIndex":0},"schema":"https://github.com/citation-style-language/schema/raw/master/csl-citation.json"}</w:instrText>
      </w:r>
      <w:r w:rsidR="00962842">
        <w:fldChar w:fldCharType="separate"/>
      </w:r>
      <w:r w:rsidR="00962842" w:rsidRPr="00962842">
        <w:rPr>
          <w:noProof/>
        </w:rPr>
        <w:t>(Asner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FF5A02">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Poorter et al., 2015)","plainTextFormattedCitation":"(Arasa-Gisbert et al., 2018; Poorter et al., 2015)","previouslyFormattedCitation":"(Arasa-Gisbert et al., 2018; Poorter et al., 2015)"},"properties":{"noteIndex":0},"schema":"https://github.com/citation-style-language/schema/raw/master/csl-citation.json"}</w:instrText>
      </w:r>
      <w:r w:rsidR="00FF5A02">
        <w:fldChar w:fldCharType="separate"/>
      </w:r>
      <w:r w:rsidR="00FF5A02" w:rsidRPr="00FF5A02">
        <w:rPr>
          <w:noProof/>
        </w:rPr>
        <w:t>(Arasa-Gisbert et al., 2018;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3D0DE9"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7774C8BC"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are abandoned</w:t>
      </w:r>
      <w:r w:rsidR="005D67D3">
        <w:t xml:space="preserve"> or left fallow</w:t>
      </w:r>
      <w:r w:rsidR="002647BE">
        <w:t xml:space="preserve">,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83434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2015)","previouslyFormattedCitation":"(del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D842B3">
        <w:t xml:space="preserve">; </w:t>
      </w:r>
      <w:r w:rsidR="000B54CC">
        <w:t>cluster two as young forest</w:t>
      </w:r>
      <w:r w:rsidR="005D67D3">
        <w:t xml:space="preserve">; </w:t>
      </w:r>
      <w:r w:rsidR="000B54CC">
        <w:t>and cluster three as mature forest</w:t>
      </w:r>
      <w:r w:rsidR="005D67D3">
        <w:t xml:space="preserve">. </w:t>
      </w:r>
      <w:r w:rsidR="00755C5C">
        <w:t xml:space="preserve">We would like to acknowledge </w:t>
      </w:r>
      <w:r w:rsidR="000B54CC">
        <w:t>that forest succession is a continuum and a complex process</w:t>
      </w:r>
      <w:r w:rsidR="00755C5C">
        <w:t xml:space="preserve"> </w:t>
      </w:r>
      <w:r w:rsidR="00834348">
        <w:fldChar w:fldCharType="begin" w:fldLock="1"/>
      </w:r>
      <w:r w:rsidR="00441AED">
        <w:instrText>ADDIN CSL_CITATION {"citationItems":[{"id":"ITEM-1","itemData":{"DOI":"10.1078/1433-8319-00042","ISBN":"1433-8319","abstract":"Land-use history interacts with natural forces to influence the severity of disturbance events and the rate and nature of recovery processes in tropical forests. Although we are far from an integrated view of forest recovery processes, some generalizations can be made. Recovery of forest structure and composition is relatively rapid following disturbances that primarily impact forest canopies, such as hurricanes. Recovery is considerably slower following disturbances that heavily impact soils as well as aboveground vegetation, such as bulldozing, heavy or long-term grazing, and severe fires, often with long-lasting effects on species composition. The landscape matrix plays a critical role in local recovery processes. Proximity of disturbed areas to remnant forest patches promotes more rapid recovery, which depends heavily on seed dispersal. Recovery of aboveground biomass is constrained by soil fertility and texture across regions as well as across soil types within a region. Restoration of soil fertility may be a prerequisite for forest recovery on sites with severely degraded soils. Despite evidence of rapid forest recovery following large-scale deforestation, many degraded areas of today's tropics will require human assistance to recover forest structure, species composition, and species interactions typical of mature tropical forests.","author":[{"dropping-particle":"","family":"Chazdon","given":"RL","non-dropping-particle":"","parse-names":false,"suffix":""}],"container-title":"Perspectives in Plant Ecology, Evolution and Systematics","id":"ITEM-1","issue":"1–2","issued":{"date-parts":[["2003"]]},"page":"51-71","title":"Tropical forest recovery: legacies of human impact and natural disturbances","type":"article-journal","volume":"6"},"uris":["http://www.mendeley.com/documents/?uuid=6d1ab331-9f64-4f8e-a073-8039534ced26"]},{"id":"ITEM-2","itemData":{"DOI":"10.1073/pnas.1500403112","ISSN":"10916490","PMID":"26080411","abstract":"Although forest succession has traditionally been approached as a deterministic process, successional trajectories of vegetation change vary widely, even among nearby stands with similar environmental conditions and disturbance histories. Here, we provide the first attempt, to our knowledge, to quantify predictability and uncertainty during succession based on the most extensive long-term datasets ever assembled for Neotropical forests. We develop a novel approach that integrates deterministic and stochastic components into different candidate models describing the dynamical interactions among three widely used and interrelated forest attributes - stem density, basal area, and species density. Within each of the seven study sites, successional trajectories were highly idiosyncratic, even when controlling for prior land use, environment, and initial conditions in these attributes. Plot factors were far more important than stand age in explaining successional trajectories. For each site, the best-fit model was able to capture the complete set of time series in certain attributes only when both the deterministic and stochastic components were set to similar magnitudes. Surprisingly, predictability of stem density, basal area, and species density did not show consistent trends across attributes, study sites, or land use history, and was independent of plot size and time series length. The model developed here represents the best approach, to date, for characterizing autogenic successional dynamics and demonstrates the low predictability of successional trajectories. These high levels of uncertainty suggest that the impacts of allogenic factors on rates of change during tropical forest succession are far more pervasive than previously thought, challenging the way ecologists view and investigate forest regeneration.","author":[{"dropping-particle":"","family":"Norden","given":"Natalia","non-dropping-particle":"","parse-names":false,"suffix":""},{"dropping-particle":"","family":"Angarita","given":"Héctor A.","non-dropping-particle":"","parse-names":false,"suffix":""},{"dropping-particle":"","family":"Bongers","given":"Frans","non-dropping-particle":"","parse-names":false,"suffix":""},{"dropping-particle":"","family":"Martínez-Ramos","given":"Miguel","non-dropping-particle":"","parse-names":false,"suffix":""},{"dropping-particle":"La","family":"Cerda","given":"Iñigo Granzow De","non-dropping-particle":"","parse-names":false,"suffix":""},{"dropping-particle":"","family":"Breugel","given":"Michiel","non-dropping-particle":"Van","parse-names":false,"suffix":""},{"dropping-particle":"","family":"Lebrija-Trejos","given":"Edwin","non-dropping-particle":"","parse-names":false,"suffix":""},{"dropping-particle":"","family":"Meave","given":"Jorge A.","non-dropping-particle":"","parse-names":false,"suffix":""},{"dropping-particle":"","family":"Vandermeer","given":"John","non-dropping-particle":"","parse-names":false,"suffix":""},{"dropping-particle":"","family":"Williamson","given":"G. Bruce","non-dropping-particle":"","parse-names":false,"suffix":""},{"dropping-particle":"","family":"Finegan","given":"Bryan","non-dropping-particle":"","parse-names":false,"suffix":""},{"dropping-particle":"","family":"Mesquita","given":"Rita","non-dropping-particle":"","parse-names":false,"suffix":""},{"dropping-particle":"","family":"Chazdon","given":"Robin L.","non-dropping-particle":"","parse-names":false,"suffix":""}],"container-title":"Proceedings of the National Academy of Sciences of the United States of America","id":"ITEM-2","issue":"26","issued":{"date-parts":[["2015"]]},"page":"8013-8018","title":"Successional dynamics in Neotropical forests are as uncertain as they are predictable","type":"article-journal","volume":"112"},"uris":["http://www.mendeley.com/documents/?uuid=fa0934b1-7cbc-40fb-8397-ef1ccb51a2f0"]}],"mendeley":{"formattedCitation":"(R. Chazdon, 2003; Norden et al., 2015)","manualFormatting":"(Chazdon, 2003; Norden et al., 2015)","plainTextFormattedCitation":"(R. Chazdon, 2003; Norden et al., 2015)","previouslyFormattedCitation":"(R. Chazdon, 2003; Norden et al., 2015)"},"properties":{"noteIndex":0},"schema":"https://github.com/citation-style-language/schema/raw/master/csl-citation.json"}</w:instrText>
      </w:r>
      <w:r w:rsidR="00834348">
        <w:fldChar w:fldCharType="separate"/>
      </w:r>
      <w:r w:rsidR="00834348" w:rsidRPr="00834348">
        <w:rPr>
          <w:noProof/>
        </w:rPr>
        <w:t>(Chazdon, 2003; Norden et al., 2015)</w:t>
      </w:r>
      <w:r w:rsidR="00834348">
        <w:fldChar w:fldCharType="end"/>
      </w:r>
      <w:r w:rsidR="00834348">
        <w:t xml:space="preserve">. </w:t>
      </w:r>
      <w:r w:rsidR="000B54CC">
        <w:t xml:space="preserve">Here, </w:t>
      </w:r>
      <w:r w:rsidR="00755C5C">
        <w:t xml:space="preserve">however, </w:t>
      </w:r>
      <w:r w:rsidR="000B54CC">
        <w:t xml:space="preserve">we classified forest succession in discrete categories as a methodological approach conducted for the sake of the analysis. This approach has proven to be useful for understanding </w:t>
      </w:r>
      <w:r w:rsidR="00B77F2C">
        <w:t>biomass accumulation over time after forest disturbance</w:t>
      </w:r>
      <w:r w:rsidR="00441AED">
        <w:t xml:space="preserve"> </w:t>
      </w:r>
      <w:r w:rsidR="00441AED">
        <w:fldChar w:fldCharType="begin" w:fldLock="1"/>
      </w:r>
      <w:r w:rsidR="00777BA2">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forests","type":"article-journal","volume":"530"},"uris":["http://www.mendeley.com/documents/?uuid=a91933ca-8085-4e5a-852a-40681657b6a6"]},{"id":"ITEM-2","itemData":{"DOI":"10.1126/sciadv.1501639","ISSN":"23752548","PMID":"27386528","abstract":"Regrowth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Advances","id":"ITEM-2","issue":"5","issued":{"date-parts":[["2016"]]},"title":"Carbon sequestration potential of second-growth forest regeneration in the Latin American tropics","type":"article-journal","volume":"2"},"uris":["http://www.mendeley.com/documents/?uuid=f8e3482b-a9d9-44c4-8524-c17b81a0d609"]}],"mendeley":{"formattedCitation":"(R. L. Chazdon et al., 2016; Poorter et al., 2016)","manualFormatting":"(Chazdon et al., 2016; Poorter et al., 2016)","plainTextFormattedCitation":"(R. L. Chazdon et al., 2016; Poorter et al., 2016)","previouslyFormattedCitation":"(R. L. Chazdon et al., 2016; Poorter et al., 2016)"},"properties":{"noteIndex":0},"schema":"https://github.com/citation-style-language/schema/raw/master/csl-citation.json"}</w:instrText>
      </w:r>
      <w:r w:rsidR="00441AED">
        <w:fldChar w:fldCharType="separate"/>
      </w:r>
      <w:r w:rsidR="00B77F2C" w:rsidRPr="00B77F2C">
        <w:rPr>
          <w:noProof/>
        </w:rPr>
        <w:t>(Chazdon et al., 2016; Poorter et al., 2016)</w:t>
      </w:r>
      <w:r w:rsidR="00441AED">
        <w:fldChar w:fldCharType="end"/>
      </w:r>
      <w:r w:rsidR="00B77F2C">
        <w:t>.</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1834A787"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r w:rsidR="00777BA2">
        <w:fldChar w:fldCharType="begin" w:fldLock="1"/>
      </w:r>
      <w:r w:rsidR="0048065C">
        <w:instrText>ADDIN CSL_CITATION {"citationItems":[{"id":"ITEM-1","itemData":{"DOI":"10.1086/703413","ISSN":"00113204","abstract":"Coffee was introduced to Mexico in the late eighteenth century, but it was not until the late nineteenth century that wealthy European immigrants purchased “unregistered” land and invested in coffee cultivation. Displaced farmers, mostly indigenous, returned to the region as plantation workers and learned how to cultivate coffee. After the Mexican Revolution and when land reform reached the southern states, small farmers began cultivating coffee. Coffee transformed landscapes and people in southern Mexico and today continues to do so. Focusing on the Soconusco region of the state of Chiapas in southern Mexico, we examine how coffee landscapes affect people and nonhuman nature. In particular, we discuss how “technified” coffee landscapes affect biodiversity and created the conditions that may have led to the coffee rust outbreak in 2012.We also discuss the impact of the plantation system on social relations and the impact that this system has on permanent and temporary farmworkers. Finally, we explore potential connections between the ecological and social impacts of the plantation system in the Soconusco region.","author":[{"dropping-particle":"","family":"Perfecto","given":"Ivette","non-dropping-particle":"","parse-names":false,"suffix":""},{"dropping-particle":"","family":"Jiménez-Soto","given":"M. Estelí","non-dropping-particle":"","parse-names":false,"suffix":""},{"dropping-particle":"","family":"Vandermeer","given":"John","non-dropping-particle":"","parse-names":false,"suffix":""}],"container-title":"Current Anthropology","id":"ITEM-1","issue":"S20","issued":{"date-parts":[["2019"]]},"page":"S236-S250","title":"Coffee landscapes shaping the anthropocene: Forced simplification on a complex agroecological landscape","type":"article-journal","volume":"60"},"uris":["http://www.mendeley.com/documents/?uuid=7bbbeab5-245d-4ec4-8c38-9e95953a3f4e"]},{"id":"ITEM-2","itemData":{"DOI":"10.1111/j.1461-0248.2005.00782.x","ISSN":"1461023X","abstract":"Understanding the negative and positive effects of agricultural land use for the conservation of biodiversity, and its relation to ecosystem services, needs a landscape perspective. Agriculture can contribute to the conservation of high-diversity systems, which may provide important ecosystem services such as pollination and biological control via complementarity and sampling effects. Land-use management is often focused on few species and local processes, but in dynamic, agricultural landscapes, only a diversity of insurance species may guarantee resilience (the capacity to reorganize after disturbance). Interacting species experience their surrounding landscape at different spatial scales, which influences trophic interactions. Structurally complex landscapes enhance local diversity in agroecosystems, which may compensate for local high-intensity management. Organisms with high-dispersal abilities appear to drive these biodiversity patterns and ecosystem services, because of their recolonization ability and larger resources experienced. Agri-environment schemes (incentives for farmers to benefit the environment) need to broaden their perspective and to take the different responses to schemes in simple (high impact) and complex (low impact) agricultural landscapes into account. In simple landscapes, local allocation of habitat is more important than in complex landscapes, which are in total at risk. However, little knowledge of the relative importance of local and landscape management for biodiversity and its relation to ecosystem services make reliable recommendations difficult.","author":[{"dropping-particle":"","family":"Tscharntke","given":"Teja","non-dropping-particle":"","parse-names":false,"suffix":""},{"dropping-particle":"","family":"Klein","given":"Alexandra M.","non-dropping-particle":"","parse-names":false,"suffix":""},{"dropping-particle":"","family":"Kruess","given":"Andreas","non-dropping-particle":"","parse-names":false,"suffix":""},{"dropping-particle":"","family":"Steffan-Dewenter","given":"Ingolf","non-dropping-particle":"","parse-names":false,"suffix":""},{"dropping-particle":"","family":"Thies","given":"Carsten","non-dropping-particle":"","parse-names":false,"suffix":""}],"container-title":"Ecology Letters","id":"ITEM-2","issue":"8","issued":{"date-parts":[["2005"]]},"page":"857-874","title":"Landscape perspectives on agricultural intensification and biodiversity - Ecosystem service management","type":"article-journal","volume":"8"},"uris":["http://www.mendeley.com/documents/?uuid=4007b613-0dd6-4ef0-8e2b-f3c3b073f103"]}],"mendeley":{"formattedCitation":"(Ivette Perfecto, Jiménez-Soto, &amp; Vandermeer, 2019; Tscharntke, Klein, Kruess, Steffan-Dewenter, &amp; Thies, 2005)","plainTextFormattedCitation":"(Ivette Perfecto, Jiménez-Soto, &amp; Vandermeer, 2019; Tscharntke, Klein, Kruess, Steffan-Dewenter, &amp; Thies, 2005)","previouslyFormattedCitation":"(Ivette Perfecto, Jiménez-Soto, &amp; Vandermeer, 2019; Tscharntke, Klein, Kruess, Steffan-Dewenter, &amp; Thies, 2005)"},"properties":{"noteIndex":0},"schema":"https://github.com/citation-style-language/schema/raw/master/csl-citation.json"}</w:instrText>
      </w:r>
      <w:r w:rsidR="00777BA2">
        <w:fldChar w:fldCharType="separate"/>
      </w:r>
      <w:r w:rsidR="00374DC9" w:rsidRPr="00374DC9">
        <w:rPr>
          <w:noProof/>
        </w:rPr>
        <w:t>(Ivette Perfecto, Jiménez-Soto, &amp; Vandermeer, 2019; Tscharntke, Klein, Kruess, Steffan-Dewenter, &amp; Thies, 2005)</w:t>
      </w:r>
      <w:r w:rsidR="00777BA2">
        <w:fldChar w:fldCharType="end"/>
      </w:r>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842D584"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862CB2">
        <w:t xml:space="preserve"> </w:t>
      </w:r>
      <w:r w:rsidR="00862CB2">
        <w:fldChar w:fldCharType="begin" w:fldLock="1"/>
      </w:r>
      <w:r w:rsidR="00F86B1E">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Management","id":"ITEM-2","issue":"3","issued":{"date-parts":[["2011"]]},"page":"974-981","publisher":"Elsevier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Mexico","type":"article-journal","volume":"92"},"uris":["http://www.mendeley.com/documents/?uuid=3ad2d6c9-9873-435a-9e63-a9823081caba"]}],"mendeley":{"formattedCitation":"(Calderon-Aguilera et al., 2012; Toledo-Aceves et al., 2011)","plainTextFormattedCitation":"(Calderon-Aguilera et al., 2012; Toledo-Aceves et al., 2011)","previouslyFormattedCitation":"(Calderon-Aguilera et al., 2012; Toledo-Aceves et al., 2011)"},"properties":{"noteIndex":0},"schema":"https://github.com/citation-style-language/schema/raw/master/csl-citation.json"}</w:instrText>
      </w:r>
      <w:r w:rsidR="00862CB2">
        <w:fldChar w:fldCharType="separate"/>
      </w:r>
      <w:r w:rsidR="00862CB2" w:rsidRPr="00862CB2">
        <w:rPr>
          <w:noProof/>
        </w:rPr>
        <w:t>(Calderon-Aguilera et al., 2012; Toledo-Aceves et al., 2011)</w:t>
      </w:r>
      <w:r w:rsidR="00862CB2">
        <w:fldChar w:fldCharType="end"/>
      </w:r>
      <w:r w:rsidR="00862C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37DE127E" w:rsidR="000459DF" w:rsidRPr="00F86B1E" w:rsidRDefault="00555335">
      <w:pPr>
        <w:rPr>
          <w:rStyle w:val="textlayer--absolute"/>
          <w:rFonts w:cstheme="minorHAnsi"/>
          <w:lang w:val="es-MX"/>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F86B1E">
        <w:rPr>
          <w:rStyle w:val="textlayer--absolute"/>
          <w:rFonts w:cstheme="minorHAnsi"/>
        </w:rPr>
        <w:t xml:space="preserve"> </w:t>
      </w:r>
      <w:r w:rsidR="00F86B1E">
        <w:rPr>
          <w:rStyle w:val="textlayer--absolute"/>
          <w:rFonts w:cstheme="minorHAnsi"/>
        </w:rPr>
        <w:fldChar w:fldCharType="begin" w:fldLock="1"/>
      </w:r>
      <w:r w:rsidR="00CC3F47">
        <w:rPr>
          <w:rStyle w:val="textlayer--absolute"/>
          <w:rFonts w:cstheme="minorHAnsi"/>
        </w:rPr>
        <w:instrText>ADDIN CSL_CITATION {"citationItems":[{"id":"ITEM-1","itemData":{"DOI":"10.1017/s0266467415000176","ISBN":"0266467415","ISSN":"0266-4674","abstract":"Tropical montane cloud forests (TMCF) are characterized by short trees, often twisted with multiple stems, with many stems per ground area, a large stem diameter to height ratio, and small, often thick leaves. These forests exhibit high root to shoot ratio, with a moderate leaf area index, low above-ground production, low leaf nutrient concentrations and often with luxuriant epiphytic growth. These traits of TMCF are caused by climatic conditions not geological substrate, and are particularly associated with frequent or persistent fog and low cloud. There are several reasons why fog might result in these features. Firstly, the fog and clouds reduce the amount of light received per unit area of ground and as closed-canopy forests absorb most of the light that reaches them the reduction in the total amount of light reduces growth. Secondly, the rate of photosynthesis per leaf area declines in comparison with that in the lowlands, which leads to less carbon fixation. Nitrogen supply limits growth in several of the few TMCFs where it has been investigated experimentally. High root : shoot biomass and production ratios are common in TMCF, and soils are often wet which may contribute to N limitation. Further study is needed to clarify the causes of several key features of TMCF ecosystems including high tree diameter : height ratio.","author":[{"dropping-particle":"","family":"Fahey","given":"Timothy J.","non-dropping-particle":"","parse-names":false,"suffix":""},{"dropping-particle":"","family":"Sherman","given":"Ruth E.","non-dropping-particle":"","parse-names":false,"suffix":""},{"dropping-particle":"","family":"Tanner","given":"Edmund V.J.","non-dropping-particle":"","parse-names":false,"suffix":""}],"container-title":"Journal of Tropical Ecology","id":"ITEM-1","issue":"5","issued":{"date-parts":[["2016"]]},"note":"Cloud immersion and low temperatures can limit photosynthesis and hence, productivity.\nPArece ser que N es limitante, aún no se sabe si es porque el reciclaje de nutrientes es lento o porque hay pérdidas altas de N por leaching\nTMCF generalmente es un bosque limitado en nutrientes, aunque depende también del tipo de suelo","page":"355-367","title":"Tropical montane cloud forest: environmental drivers of vegetation structure and ecosystem function","type":"article-journal","volume":"32"},"uris":["http://www.mendeley.com/documents/?uuid=0693bf7b-5264-4b06-addb-6fb519770e53"]},{"id":"ITEM-2","itemData":{"ISBN":"978-607-8328-07-9","author":[{"dropping-particle":"","family":"Jardel Peláez","given":"E.J.","non-dropping-particle":"","parse-names":false,"suffix":""},{"dropping-particle":"","family":"Cuevas Guzmán","given":"R.","non-dropping-particle":"","parse-names":false,"suffix":""},{"dropping-particle":"","family":"Santiago Pérez","given":"A.L","non-dropping-particle":"","parse-names":false,"suffix":""},{"dropping-particle":"","family":"Rodríguez Gómez","given":"J.M.","non-dropping-particle":"","parse-names":false,"suffix":""}],"container-title":"Bosques mesóﬁlos de montaña de México: diversidad, ecología y manejo","editor":[{"dropping-particle":"","family":"Gual-Díaz","given":"M.","non-dropping-particle":"","parse-names":false,"suffix":""},{"dropping-particle":"","family":"Rendón-Correa","given":"A.","non-dropping-particle":"","parse-names":false,"suffix":""}],"id":"ITEM-2","issued":{"date-parts":[["2014"]]},"page":"352","publisher":"Comisión Nacional para el Conocimiento y Uso de la Biodiversidad","publisher-place":"Mexico","title":"Ecología y manejo de los bosques mesóﬁlos de montaña en México","type":"chapter"},"uris":["http://www.mendeley.com/documents/?uuid=18c54b61-501c-4fdd-8eba-571379e09934"]},{"id":"ITEM-3","itemData":{"DOI":"10.1017/CBO9780511778384.003","author":[{"dropping-particle":"","family":"Scatena","given":"F N","non-dropping-particle":"","parse-names":false,"suffix":""},{"dropping-particle":"","family":"Bruijnzeel","given":"L A","non-dropping-particle":"","parse-names":false,"suffix":""},{"dropping-particle":"","family":"Bubb","given":"P","non-dropping-particle":"","parse-names":false,"suffix":""},{"dropping-particle":"","family":"Das","given":"S","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S.Editors","non-dropping-particle":"","parse-names":false,"suffix":""}],"id":"ITEM-3","issued":{"date-parts":[["2011"]]},"page":"3–13","publisher":"Cambridge University Press","title":"Setting the stage","type":"chapter"},"uris":["http://www.mendeley.com/documents/?uuid=2ecea3f5-540d-466b-8fa6-4525baf02948"]},{"id":"ITEM-4","itemData":{"ISBN":"970-32-2045-2","author":[{"</w:instrText>
      </w:r>
      <w:r w:rsidR="00CC3F47" w:rsidRPr="00CC3F47">
        <w:rPr>
          <w:rStyle w:val="textlayer--absolute"/>
          <w:rFonts w:cstheme="minorHAnsi"/>
          <w:lang w:val="es-MX"/>
        </w:rPr>
        <w:instrText>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-4","issued":{"date-parts":[["2004"]]},"page":"605","publisher":"UNAM","publisher-place":"Mexico","title":"Tipos de vegetación","type":"chapter"},"uris":["http://www.mendeley.com/documents/?uuid=07154614-3ff3-4748-84fe-c2db580d7d20"]}],"mendeley":{"formattedCitation":"(Fahey, Sherman, &amp; Tanner, 2016; Jardel Peláez, Cuevas Guzmán, Santiago Pérez, &amp; Rodríguez Gómez, 2014; Scatena, Bruijnzeel, Bubb, &amp; Das, 2011; Torres Colín, 2004)","plainTextFormattedCitation":"(Fahey, Sherman, &amp; Tanner, 2016; Jardel Peláez, Cuevas Guzmán, Santiago Pérez, &amp; Rodríguez Gómez, 2014; Scatena, Bruijnzeel, Bubb, &amp; Das, 2011; Torres Colín, 2004)","previouslyFormattedCitation":"(Fahey, Sherman, &amp; Tanner, 2016; Jardel Peláez, Cuevas Guzmán, Santiago Pérez, &amp; Rodríguez Gómez, 2014; Scatena, Bruijnzeel, Bubb, &amp; Das, 2011; Torres Colín, 2004)"},"properties":{"noteIndex":0},"schema":"https://github.com/citation-style-language/schema/raw/master/csl-citation.json"}</w:instrText>
      </w:r>
      <w:r w:rsidR="00F86B1E">
        <w:rPr>
          <w:rStyle w:val="textlayer--absolute"/>
          <w:rFonts w:cstheme="minorHAnsi"/>
        </w:rPr>
        <w:fldChar w:fldCharType="separate"/>
      </w:r>
      <w:r w:rsidR="00F86B1E" w:rsidRPr="00F86B1E">
        <w:rPr>
          <w:rStyle w:val="textlayer--absolute"/>
          <w:rFonts w:cstheme="minorHAnsi"/>
          <w:noProof/>
          <w:lang w:val="es-MX"/>
        </w:rPr>
        <w:t>(Fahey, Sherman, &amp; Tanner, 2016; Jardel Peláez, Cuevas Guzmán, Santiago Pérez, &amp; Rodríguez Gómez, 2014; Scatena, Bruijnzeel, Bubb, &amp; Das, 2011; Torres Colín, 2004)</w:t>
      </w:r>
      <w:r w:rsidR="00F86B1E">
        <w:rPr>
          <w:rStyle w:val="textlayer--absolute"/>
          <w:rFonts w:cstheme="minorHAnsi"/>
        </w:rPr>
        <w:fldChar w:fldCharType="end"/>
      </w:r>
      <w:r w:rsidR="00F86B1E">
        <w:rPr>
          <w:rStyle w:val="textlayer--absolute"/>
          <w:rFonts w:cstheme="minorHAnsi"/>
          <w:lang w:val="es-MX"/>
        </w:rPr>
        <w:t>.</w:t>
      </w:r>
    </w:p>
    <w:p w14:paraId="56758587" w14:textId="5DA7AF91" w:rsidR="00555335" w:rsidRPr="00555335" w:rsidRDefault="000459DF" w:rsidP="000459DF">
      <w:pPr>
        <w:ind w:firstLine="720"/>
      </w:pPr>
      <w:r>
        <w:rPr>
          <w:rFonts w:cstheme="minorHAnsi"/>
        </w:rPr>
        <w:t>We performed data quality control homogenizing missing data values, correcting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0CE8441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w:t>
      </w:r>
      <w:r w:rsidR="00133607">
        <w:t xml:space="preserve">an </w:t>
      </w:r>
      <w:r w:rsidR="007305F7">
        <w:t xml:space="preserve">area of 1 ha.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4B45A007"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w:t>
      </w:r>
      <w:r w:rsidR="00CC3F47">
        <w:t xml:space="preserve"> </w:t>
      </w:r>
      <w:r w:rsidR="00CC3F47">
        <w:fldChar w:fldCharType="begin" w:fldLock="1"/>
      </w:r>
      <w:r w:rsidR="00CC3F47">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2014)","manualFormatting":"(e.g., Asner et al., 2014)","plainTextFormattedCitation":"(Asner et al., 2014)","previouslyFormattedCitation":"(Asner et al., 2014)"},"properties":{"noteIndex":0},"schema":"https://github.com/citation-style-language/schema/raw/master/csl-citation.json"}</w:instrText>
      </w:r>
      <w:r w:rsidR="00CC3F47">
        <w:fldChar w:fldCharType="separate"/>
      </w:r>
      <w:r w:rsidR="00CC3F47" w:rsidRPr="00CC3F47">
        <w:rPr>
          <w:noProof/>
        </w:rPr>
        <w:t>(</w:t>
      </w:r>
      <w:r w:rsidR="00CC3F47">
        <w:rPr>
          <w:noProof/>
        </w:rPr>
        <w:t xml:space="preserve">e.g., </w:t>
      </w:r>
      <w:r w:rsidR="00CC3F47" w:rsidRPr="00CC3F47">
        <w:rPr>
          <w:noProof/>
        </w:rPr>
        <w:t>Asner et al., 2014)</w:t>
      </w:r>
      <w:r w:rsidR="00CC3F47">
        <w:fldChar w:fldCharType="end"/>
      </w:r>
      <w:r w:rsidR="00CC3F47">
        <w:t xml:space="preserve">, </w:t>
      </w:r>
      <w:r w:rsidR="0086797F">
        <w:t xml:space="preserve">in others, </w:t>
      </w:r>
      <w:r w:rsidR="003E71B7">
        <w:t xml:space="preserve">basal area and </w:t>
      </w:r>
      <w:r w:rsidR="0086797F">
        <w:t>the density of very large trees play</w:t>
      </w:r>
      <w:r w:rsidR="006A2513">
        <w:t xml:space="preserve"> </w:t>
      </w:r>
      <w:r w:rsidR="0086797F">
        <w:t>a larger role in explaining AGB distribution</w:t>
      </w:r>
      <w:r w:rsidR="00CC3F47">
        <w:t xml:space="preserve"> </w:t>
      </w:r>
      <w:r w:rsidR="00CC3F47">
        <w:fldChar w:fldCharType="begin" w:fldLock="1"/>
      </w:r>
      <w:r w:rsidR="00CC3F47">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CC3F47">
        <w:fldChar w:fldCharType="separate"/>
      </w:r>
      <w:r w:rsidR="00CC3F47" w:rsidRPr="00CC3F47">
        <w:rPr>
          <w:noProof/>
        </w:rPr>
        <w:t>(Cuni-Sanchez et al., 2017)</w:t>
      </w:r>
      <w:r w:rsidR="00CC3F47">
        <w:fldChar w:fldCharType="end"/>
      </w:r>
      <w:r w:rsidR="00CC3F47">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w:t>
      </w:r>
      <w:r w:rsidR="00CD7633">
        <w:t>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6CA1843"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w:t>
      </w:r>
      <w:r w:rsidR="00CC3F47">
        <w:fldChar w:fldCharType="begin" w:fldLock="1"/>
      </w:r>
      <w:r w:rsidR="00FD58E9">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2015)","manualFormatting":"(as some studies have shown e.g., Poorter et al., 2015)","plainTextFormattedCitation":"(Poorter et al., 2015)","previouslyFormattedCitation":"(Poorter et al., 2015)"},"properties":{"noteIndex":0},"schema":"https://github.com/citation-style-language/schema/raw/master/csl-citation.json"}</w:instrText>
      </w:r>
      <w:r w:rsidR="00CC3F47">
        <w:fldChar w:fldCharType="separate"/>
      </w:r>
      <w:r w:rsidR="00CC3F47" w:rsidRPr="00CC3F47">
        <w:rPr>
          <w:noProof/>
        </w:rPr>
        <w:t>(</w:t>
      </w:r>
      <w:r w:rsidR="00CC3F47">
        <w:rPr>
          <w:noProof/>
        </w:rPr>
        <w:t>as some studies have shown e.g.,</w:t>
      </w:r>
      <w:r w:rsidR="00CC3F47">
        <w:rPr>
          <w:noProof/>
        </w:rPr>
        <w:t xml:space="preserve"> </w:t>
      </w:r>
      <w:r w:rsidR="00CC3F47" w:rsidRPr="00CC3F47">
        <w:rPr>
          <w:noProof/>
        </w:rPr>
        <w:t>Poorter et al., 2015)</w:t>
      </w:r>
      <w:r w:rsidR="00CC3F47">
        <w:fldChar w:fldCharType="end"/>
      </w:r>
      <w:r w:rsidR="00CC3F47">
        <w:t xml:space="preserve">, </w:t>
      </w:r>
      <w:r w:rsidR="00BC1BA6">
        <w:t xml:space="preserve">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3032ABA9"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rsidRPr="00FD58E9">
        <w:rPr>
          <w:highlight w:val="lightGray"/>
        </w:rPr>
        <w:t>Tredennick</w:t>
      </w:r>
      <w:proofErr w:type="spellEnd"/>
      <w:r w:rsidRPr="00FD58E9">
        <w:rPr>
          <w:highlight w:val="lightGray"/>
        </w:rPr>
        <w:t xml:space="preserve"> et al. (2021)</w:t>
      </w:r>
      <w:r>
        <w:t xml:space="preserve"> for model exploration, we performed variable selection by comparing the full model against a series of reduced models in which each predictor is dropped in a stepwise fashion</w:t>
      </w:r>
      <w:r w:rsidR="00FD58E9">
        <w:t xml:space="preserve"> </w:t>
      </w:r>
      <w:r w:rsidR="00FD58E9">
        <w:fldChar w:fldCharType="begin" w:fldLock="1"/>
      </w:r>
      <w:r w:rsidR="00E44405">
        <w:instrText>ADDIN CSL_CITATION {"citationItems":[{"id":"ITEM-1","itemData":{"author":[{"dropping-particle":"","family":"Lumley","given":"T","non-dropping-particle":"","parse-names":false,"suffix":""}],"id":"ITEM-1","issued":{"date-parts":[["2020"]]},"number":"R package version 3.1.","title":"leaps: Regression Subset Selection","type":"article"},"uris":["http://www.mendeley.com/documents/?uuid=cdd36f28-2780-403c-94a4-8a0ce3880efb"]}],"mendeley":{"formattedCitation":"(Lumley, 2020)","plainTextFormattedCitation":"(Lumley, 2020)","previouslyFormattedCitation":"(Lumley, 2020)"},"properties":{"noteIndex":0},"schema":"https://github.com/citation-style-language/schema/raw/master/csl-citation.json"}</w:instrText>
      </w:r>
      <w:r w:rsidR="00FD58E9">
        <w:fldChar w:fldCharType="separate"/>
      </w:r>
      <w:r w:rsidR="00FD58E9" w:rsidRPr="00FD58E9">
        <w:rPr>
          <w:noProof/>
        </w:rPr>
        <w:t>(Lumley, 2020)</w:t>
      </w:r>
      <w:r w:rsidR="00FD58E9">
        <w:fldChar w:fldCharType="end"/>
      </w:r>
      <w:r>
        <w:t>.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380DD7E5" w14:textId="72059849" w:rsidR="008D47A6" w:rsidRDefault="008D47A6" w:rsidP="008D47A6">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3F92CF89" w14:textId="39C913B3" w:rsidR="00E64305" w:rsidRDefault="00E64305" w:rsidP="00E64305">
      <w:pPr>
        <w:rPr>
          <w:i/>
          <w:iCs/>
        </w:rPr>
      </w:pPr>
      <w:r>
        <w:rPr>
          <w:i/>
          <w:iCs/>
        </w:rPr>
        <w:t xml:space="preserve">The relationship between AGB and tree diversity is weak and scale-dependent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D5057E0" w14:textId="6D578C74" w:rsidR="00E64305" w:rsidRDefault="00E64305" w:rsidP="00E64305">
      <w:r>
        <w:rPr>
          <w:i/>
          <w:iCs/>
        </w:rPr>
        <w:t>Environmental and land-use gradients: AGB increases with elevation and decreases with land-use intensity</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69DD1C73"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r w:rsidR="001860BC">
        <w:t>large amounts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w:t>
      </w:r>
      <w:r w:rsidR="00E44405">
        <w:fldChar w:fldCharType="begin" w:fldLock="1"/>
      </w:r>
      <w:r w:rsidR="00557377">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E44405">
        <w:fldChar w:fldCharType="separate"/>
      </w:r>
      <w:r w:rsidR="00E44405" w:rsidRPr="00E44405">
        <w:rPr>
          <w:noProof/>
        </w:rPr>
        <w:t>(Spracklen &amp; Righelato, 2014)</w:t>
      </w:r>
      <w:r w:rsidR="00E44405">
        <w:fldChar w:fldCharType="end"/>
      </w:r>
      <w:r w:rsidR="000C26E6">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557377">
        <w:t>1.8</w:t>
      </w:r>
      <w:r w:rsidR="00E97970">
        <w:t xml:space="preserve">% of </w:t>
      </w:r>
      <w:r w:rsidR="000405C7">
        <w:t xml:space="preserve">the </w:t>
      </w:r>
      <w:r w:rsidR="00E97970">
        <w:t>total forest area</w:t>
      </w:r>
      <w:r w:rsidR="000405C7">
        <w:t xml:space="preserve"> in the country</w:t>
      </w:r>
      <w:r w:rsidR="00B51B36">
        <w:t xml:space="preserve"> </w:t>
      </w:r>
      <w:r w:rsidR="00557377">
        <w:fldChar w:fldCharType="begin" w:fldLock="1"/>
      </w:r>
      <w:r w:rsidR="00B60A88">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557377">
        <w:fldChar w:fldCharType="separate"/>
      </w:r>
      <w:r w:rsidR="00557377" w:rsidRPr="00557377">
        <w:rPr>
          <w:noProof/>
        </w:rPr>
        <w:t>(CONAFOR, 2018)</w:t>
      </w:r>
      <w:r w:rsidR="00557377">
        <w:fldChar w:fldCharType="end"/>
      </w:r>
      <w:r w:rsidR="00557377">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0E56C5DC"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22551D">
        <w:t xml:space="preserve"> </w:t>
      </w:r>
      <w:r w:rsidR="003530C2">
        <w:fldChar w:fldCharType="begin" w:fldLock="1"/>
      </w:r>
      <w:r w:rsidR="004A43D3">
        <w:instrText>ADDIN CSL_CITATION {"citationItems":[{"id":"ITEM-1","itemData":{"author":[{"dropping-particle":"","family":"Girardin","given":"C.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Biology","id":"ITEM-1","issued":{"date-parts":[["2010"]]},"page":"3176-3192","title":"Net primary productivity allocation and cycling of carbon along a tropical forest elevational transect in the Peruvian Andes","type":"article-journal","volume":"16"},"uris":["http://www.mendeley.com/documents/?uuid=f299b269-758c-49ef-8de5-d022445e3900"]},{"id":"ITEM-2","itemData":{"DOI":"10.1016/j.biocon.2012.03.017","ISSN":"00063207","abstract":"Emerging international policy aimed at reducing carbon emissions from deforestation and forest degradation (REDD+) in developing countries, has resulted in numerous studies on above-ground live carbon (AGC) in tropical forests. However, few studies have addressed the relative importance of disturbance, topography, climate, soil and methods for stem measurement, on the estimation of AGC, or the costs of improving AGC estimates by altering sample regimes. We established 18 one hectare plots containing 7201 stems, stratified along forested elevation gradients in Tanzania. We recorded a broad set of physical, climatic and edaphic predictors of AGC and tree stature. AGC estimates using stem diameter, height and wood density, gave a mean value of 174.6tha -1, compared with 229.6tha -1 when height was excluded. Regression models revealed that stems were tallest for a given diameter at mid-elevation (1000-1250m), on south-facing slopes, and without past logging. High AGC was strongly associated with shallow slopes, followed by intermediate elevation, elephant absence, low potential evapotranspiration and low soil pH. Further regression models to investigate the structural habitat features associated with AGC, revealed significant positive influence of basal area, stem density, and height:diameter ratio, rather than the mean wood density of species present. Large stems (≥70cmdbh; 4.6% of stems) contained 52% of AGC in all plots, declining to 36% in lowland plots. We discuss the cost:benefit of different measurements and recommend a tiered approach to AGC monitoring, depending on available resources. AGC assessments in African forests could exclude small stems, but should aim to record disturbance, topography and species. Stem height is vital for AGC estimation and valuation; when excluding height our 55tha -1 over-estimation of AGC would have over-valued the carbon resource by 24% (US$3300ha -1). © 2012 Elsevier Ltd.","author":[{"dropping-particle":"","family":"Marshall","given":"A. R.","non-dropping-particle":"","parse-names":false,"suffix":""},{"dropping-particle":"","family":"Willcock","given":"S.","non-dropping-particle":"","parse-names":false,"suffix":""},{"dropping-particle":"","family":"Platts","given":"P. J.","non-dropping-particle":"","parse-names":false,"suffix":""},{"dropping-particle":"","family":"Lovett","given":"J. C.","non-dropping-particle":"","parse-names":false,"suffix":""},{"dropping-particle":"","family":"Balmford","given":"A.","non-dropping-particle":"","parse-names":false,"suffix":""},{"dropping-particle":"","family":"Burgess","given":"N. D.","non-dropping-particle":"","parse-names":false,"suffix":""},{"dropping-particle":"","family":"Latham","given":"J. E.","non-dropping-particle":"","parse-names":false,"suffix":""},{"dropping-particle":"","family":"Munishi","given":"P. K.T.","non-dropping-particle":"","parse-names":false,"suffix":""},{"dropping-particle":"","family":"Salter","given":"R.","non-dropping-particle":"","parse-names":false,"suffix":""},{"dropping-particle":"","family":"Shirima","given":"D. D.","non-dropping-particle":"","parse-names":false,"suffix":""},{"dropping-particle":"","family":"Lewis","given":"S. L.","non-dropping-particle":"","parse-names":false,"suffix":""}],"container-title":"Biological Conservation","id":"ITEM-2","issued":{"date-parts":[["2012"]]},"page":"20-33","publisher":"Elsevier Ltd","title":"Measuring and modelling above-ground carbon and tree allometry along a tropical elevation gradient","type":"article-journal","volume":"154"},"uris":["http://www.mendeley.com/documents/?uuid=42dfeeb3-6fcd-4722-9b2b-3a723992ecd8"]},{"id":"ITEM-3","itemData":{"DOI":"10.1371/journal.pone.0122905","ISSN":"19326203","PMID":"25856163","abstract":"Rapid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ONE","id":"ITEM-3","issue":"4","issued":{"date-parts":[["2015"]]},"page":"1-18","title":"Tropical rain forest structure, tree growth and dynamics along a 2700-m elevational transect in Costa Rica","type":"article-journal","volume":"10"},"uris":["http://www.mendeley.com/documents/?uuid=005be7d0-1f03-4ebe-a24e-19fa05b0866f"]},{"id":"ITEM-4","itemData":{"DOI":"10.1029/2018JG004777","ISSN":"2169-8953","author":[{"dropping-particle":"","family":"Xia","given":"Jiangzhou","non-dropping-particle":"","parse-names":false,"suffix":""},{"dropping-particle":"","family":"Yuan","given":"Wenping","non-dropping-particle":"","parse-names":false,"suffix":""},{"dropping-particle":"","family":"Lienert","given":"Sebastian","non-dropping-particle":"","parse-names":false,"suffix":""},{"dropping-particle":"","family":"Joos","given":"Fortunat","non-dropping-particle":"","parse-names":false,"suffix":""},{"dropping-particle":"","family":"Ciais","given":"Philippe","non-dropping-particle":"","parse-names":false,"suffix":""},{"dropping-particle":"","family":"Viovy","given":"Nicolas","non-dropping-particle":"","parse-names":false,"suffix":""},{"dropping-particle":"","family":"Wang","given":"Ying‐ping","non-dropping-particle":"","parse-names":false,"suffix":""},{"dropping-particle":"","family":"Wang","given":"Xufeng","non-dropping-particle":"","parse-names":false,"suffix":""},{"dropping-particle":"","family":"Zhang","given":"Haicheng","non-dropping-particle":"","parse-names":false,"suffix":""},{"dropping-particle":"","family":"Chen","given":"Yang","non-dropping-particle":"","parse-names":false,"suffix":""},{"dropping-particle":"","family":"Tian","given":"Xiangjun","non-dropping-particle":"","parse-names":false,"suffix":""}],"container-title":"Journal of Geophysical Research: Biogeosciences","id":"ITEM-4","issue":"7","issued":{"date-parts":[["2019","7","13"]]},"page":"2039-2059","title":"Global Patterns in Net Primary Production Allocation Regulated by Environmental Conditions and Forest Stand Age: A Model‐Data Comparison","type":"article-journal","volume":"124"},"uris":["http://www.mendeley.com/documents/?uuid=be9d8ca6-3b7d-42f6-b43f-5afe9cd4e53c"]},{"id":"ITEM-5","itemData":{"DOI":"10.1016/j.scitotenv.2018.08.072","ISSN":"00489697","author":[{"dropping-particle":"","family":"Ali","given":"Arshad","non-dropping-particle":"","parse-names":false,"suffix":""},{"dropping-particle":"","family":"Lin","given":"Si-Liang","non-dropping-particle":"","parse-names":false,"suffix":""},{"dropping-particle":"","family":"He","given":"Jie-Kun","non-dropping-particle":"","parse-names":false,"suffix":""},{"dropping-particle":"","family":"Kong","given":"Fan-Mao","non-dropping-particle":"","parse-names":false,"suffix":""},{"dropping-particle":"","family":"Yu","given":"Jie-Hua","non-dropping-particle":"","parse-names":false,"suffix":""},{"dropping-particle":"","family":"Jiang","given":"Hai-Sheng","non-dropping-particle":"","parse-names":false,"suffix":""}],"container-title":"Science of The Total Environment","id":"ITEM-5","issued":{"date-parts":[["2019","1"]]},"page":"1211-1221","title":"Climatic water availability is the main limiting factor of biotic attributes across large-scale elevational gradients in tropical forests","type":"article-journal","volume":"647"},"uris":["http://www.mendeley.com/documents/?uuid=31a3c4ab-5bfe-4d78-83ea-87f0e6b514b7"]}],"mendeley":{"formattedCitation":"(Ali et al., 2019; Clark et al., 2015; C. A. J. Girardin et al., 2010; Marshall et al., 2012; Xia et al., 2019)","plainTextFormattedCitation":"(Ali et al., 2019; Clark et al., 2015; C. A. J. Girardin et al., 2010; Marshall et al., 2012; Xia et al., 2019)","previouslyFormattedCitation":"(Ali et al., 2019; Clark et al., 2015; C. A. J. Girardin et al., 2010; Marshall et al., 2012; Xia et al., 2019)"},"properties":{"noteIndex":0},"schema":"https://github.com/citation-style-language/schema/raw/master/csl-citation.json"}</w:instrText>
      </w:r>
      <w:r w:rsidR="003530C2">
        <w:fldChar w:fldCharType="separate"/>
      </w:r>
      <w:r w:rsidR="003530C2" w:rsidRPr="003530C2">
        <w:rPr>
          <w:noProof/>
          <w:lang w:val="es-MX"/>
        </w:rPr>
        <w:t>(Ali et al., 2019; Clark et al., 2015; C. A. J. Girardin et al., 2010; Marshall et al., 2012; Xia et al., 2019)</w:t>
      </w:r>
      <w:r w:rsidR="003530C2">
        <w:fldChar w:fldCharType="end"/>
      </w:r>
      <w:r w:rsidR="0022551D" w:rsidRPr="00A979EB">
        <w:rPr>
          <w:lang w:val="es-MX"/>
        </w:rPr>
        <w:t>.</w:t>
      </w:r>
      <w:r w:rsidR="00791583" w:rsidRPr="00A979EB">
        <w:rPr>
          <w:lang w:val="es-MX"/>
        </w:rPr>
        <w:t xml:space="preserve">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w:t>
      </w:r>
      <w:r w:rsidR="004A43D3">
        <w:fldChar w:fldCharType="begin" w:fldLock="1"/>
      </w:r>
      <w:r w:rsidR="00374DC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Rica","type":"article-journal","volume":"10"},"uris":["http://www.mendeley.com/documents/?uuid=005be7d0-1f03-4ebe-a24e-19fa05b0866f"]},{"id":"ITEM-2","itemData":{"DOI":"10.1098/rstb.2003.1425","ISSN":"09628436","PMID":"15212093","abstract":"The above-ground biomass (AGB) of tropical forests is a crucial variable for ecologists, biogeochemists, foresters and policymakers. Tree inventories are an efficient way of assessing forest carbon stocks and emissions to the atmosphere during deforestation. To make correct inferences about long-term changes in biomass stocks, it is essential to know the uncertainty associated with AGB estimates, yet this uncertainty is rarely evaluated carefully. Here, we quantify four types of uncertainty that could lead to statistical error in AGB estimates: (i) error due to tree measurement; (ii) error due to the choice of an allometric model relating AGB to other tree dimensions; (iii) sampling uncertainty, related to the size of the study plot; (iv) representativeness of a network of small plots across a vast forest landscape. In previous studies, these sources of error were reported but rarely integrated into a consistent framework. We estimate all four terms in a 50 hectare (ha, where 1 ha = 10 4 m2) plot on Barro Colorado Island, Panama, and in a network of 1 ha plots scattered across central Panama. We find that the most important source of error is currently related to the choice of the allometric model. More work should be devoted to improving the predictive power of allometric models for biomass.","author":[{"dropping-particle":"","family":"Chave","given":"Jerome","non-dropping-particle":"","parse-names":false,"suffix":""},{"dropping-particle":"","family":"Condit","given":"Richard","non-dropping-particle":"","parse-names":false,"suffix":""},{"dropping-particle":"","family":"Aguilar","given":"Salomon","non-dropping-particle":"","parse-names":false,"suffix":""},{"dropping-particle":"","family":"Hernandez","given":"Andres","non-dropping-particle":"","parse-names":false,"suffix":""},{"dropping-particle":"","family":"Lao","given":"Suzanne","non-dropping-particle":"","parse-names":false,"suffix":""},{"dropping-particle":"","family":"Perez","given":"Rolando","non-dropping-particle":"","parse-names":false,"suffix":""}],"container-title":"Philosophical Transactions of the Royal Society B: Biological Sciences","id":"ITEM-2","issue":"1443","issued":{"date-parts":[["2004"]]},"page":"409-420","title":"Error propagation and sealing for tropical forest biomass estimates","type":"article-journal","volume":"359"},"uris":["http://www.mendeley.com/documents/?uuid=41312eb6-17ee-4c7e-aae3-d35ae9c9e2a3"]}],"mendeley":{"formattedCitation":"(Chave et al., 2004; Clark et al., 2015)","plainTextFormattedCitation":"(Chave et al., 2004; Clark et al., 2015)","previouslyFormattedCitation":"(Chave et al., 2004; Clark et al., 2015)"},"properties":{"noteIndex":0},"schema":"https://github.com/citation-style-language/schema/raw/master/csl-citation.json"}</w:instrText>
      </w:r>
      <w:r w:rsidR="004A43D3">
        <w:fldChar w:fldCharType="separate"/>
      </w:r>
      <w:r w:rsidR="004A43D3" w:rsidRPr="004A43D3">
        <w:rPr>
          <w:noProof/>
        </w:rPr>
        <w:t>(Chave et al., 2004; Clark et al., 2015)</w:t>
      </w:r>
      <w:r w:rsidR="004A43D3">
        <w:fldChar w:fldCharType="end"/>
      </w:r>
      <w:r w:rsidR="004A43D3">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52455794" w14:textId="2F9A9781" w:rsidR="00E64305" w:rsidRPr="00FD0D17" w:rsidRDefault="00E64305" w:rsidP="00E64305">
      <w:pPr>
        <w:rPr>
          <w:i/>
          <w:iCs/>
        </w:rPr>
      </w:pPr>
      <w:r w:rsidRPr="00FD0D17">
        <w:rPr>
          <w:i/>
          <w:iCs/>
        </w:rPr>
        <w:t xml:space="preserve">AGB </w:t>
      </w:r>
      <w:r>
        <w:rPr>
          <w:i/>
          <w:iCs/>
        </w:rPr>
        <w:t>magnitude and distribution</w:t>
      </w:r>
      <w:r w:rsidRPr="00FD0D17">
        <w:rPr>
          <w:i/>
          <w:iCs/>
        </w:rPr>
        <w:t xml:space="preserve"> in TMCF</w:t>
      </w:r>
      <w:r>
        <w:rPr>
          <w:i/>
          <w:iCs/>
        </w:rPr>
        <w:t xml:space="preserve"> </w:t>
      </w:r>
      <w:r w:rsidR="00C44FA9">
        <w:rPr>
          <w:i/>
          <w:iCs/>
        </w:rPr>
        <w:t>of</w:t>
      </w:r>
      <w:r>
        <w:rPr>
          <w:i/>
          <w:iCs/>
        </w:rPr>
        <w:t xml:space="preserve"> the NMO</w:t>
      </w:r>
    </w:p>
    <w:p w14:paraId="14755BFB" w14:textId="3CE3551B" w:rsidR="00EE645E"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w:t>
      </w:r>
      <w:r w:rsidR="00374DC9">
        <w:t xml:space="preserve"> </w:t>
      </w:r>
      <w:r w:rsidR="00374DC9">
        <w:fldChar w:fldCharType="begin" w:fldLock="1"/>
      </w:r>
      <w:r w:rsidR="0048065C">
        <w:instrText>ADDIN CSL_CITATION {"citationItems":[{"id":"ITEM-1","itemData":{"DOI":"10.1146/annurev-environ-030713-155141","ISSN":"15435938","abstract":"The Anthropocene is characterized as an epoch when human influence has begun to fundamentally alter many aspects of the Earth system and many of the planet's biomes. Here, we review and synthesize our understanding of Anthropocene changes in tropical forests. Key facets include deforestation driven by agricultural expansion, timber and wood extraction, the loss of fauna that maintain critical ecological connections, the spread of fire, landscape fragmentation, the spread of second-growth forests, new species invasion and pathogen spread, increasing CO2, and climate change. The patterns of change are spatially heterogeneous, are often characterized by strong interactions among different drivers, can have both large-scale and remote effects, and can play out through ecological cascades over long timescales. As a consequence, most tropical forests are on a trajectory to becoming altered ecosystems, with the degree of alteration dependent on the intensity and duration of the current bottleneck of human-induced pressures. We highlight the importance of this understanding to develop the strategies necessary for shaping the transition of tropical forests through the early Anthropocene, as well as highlight the opportunities and challenges for the tropical forest science community in the coming decades.","author":[{"dropping-particle":"","family":"Malhi","given":"Yadvinder","non-dropping-particle":"","parse-names":false,"suffix":""},{"dropping-particle":"","family":"Gardner","given":"Toby A.","non-dropping-particle":"","parse-names":false,"suffix":""},{"dropping-particle":"","family":"Goldsmith","given":"Gregory R.","non-dropping-particle":"","parse-names":false,"suffix":""},{"dropping-particle":"","family":"Silman","given":"Miles R.","non-dropping-particle":"","parse-names":false,"suffix":""},{"dropping-particle":"","family":"Zelazowski","given":"Przemyslaw","non-dropping-particle":"","parse-names":false,"suffix":""}],"container-title":"Annual Review of Environment and Resources","id":"ITEM-1","issued":{"date-parts":[["2014"]]},"page":"125-159","title":"Tropical forests in the anthropocene","type":"article-journal","volume":"39"},"uris":["http://www.mendeley.com/documents/?uuid=d3d0811a-9f39-40cb-8dbf-d2ff2250eba2"]},{"id":"ITEM-2","itemData":{"DOI":"10.1111/j.1461-0248.2009.01294.x","ISSN":"1461023X","abstract":"The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Letters","id":"ITEM-2","issue":"6","issued":{"date-parts":[["2009"]]},"page":"561-582","title":"Prospects for tropical forest biodiversity in a human-modified world","type":"article-journal","volume":"12"},"uris":["http://www.mendeley.com/documents/?uuid=3fca2202-bfe7-4922-9d33-ce6d1a67ef08"]},{"id":"ITEM-3","itemData":{"ISBN":"9781849770132","author":[{"dropping-particle":"","family":"Perfecto","given":"I","non-dropping-particle":"","parse-names":false,"suffix":""},{"dropping-particle":"","family":"Vandermeer","given":"J H","non-dropping-particle":"","parse-names":false,"suffix":""},{"dropping-particle":"","family":"Wright","given":"A L","non-dropping-particle":"","parse-names":false,"suffix":""}],"id":"ITEM-3","issued":{"date-parts":[["2009"]]},"publisher":"Earthscan","title":"Nature's Matrix: Linking Agriculture, Conservation and Food Sovereignty","type":"book"},"uris":["http://www.mendeley.com/documents/?uuid=c1cd52af-0fce-4969-a8ae-e1647f7276f6"]}],"mendeley":{"formattedCitation":"(Gardner et al., 2009; Malhi, Gardner, Goldsmith, Silman, &amp; Zelazowski, 2014; I Perfecto, Vandermeer, &amp; Wright, 2009)","plainTextFormattedCitation":"(Gardner et al., 2009; Malhi, Gardner, Goldsmith, Silman, &amp; Zelazowski, 2014; I Perfecto, Vandermeer, &amp; Wright, 2009)","previouslyFormattedCitation":"(Gardner et al., 2009; Malhi, Gardner, Goldsmith, Silman, &amp; Zelazowski, 2014; I Perfecto, Vandermeer, &amp; Wright, 2009)"},"properties":{"noteIndex":0},"schema":"https://github.com/citation-style-language/schema/raw/master/csl-citation.json"}</w:instrText>
      </w:r>
      <w:r w:rsidR="00374DC9">
        <w:fldChar w:fldCharType="separate"/>
      </w:r>
      <w:r w:rsidR="00374DC9" w:rsidRPr="00374DC9">
        <w:rPr>
          <w:noProof/>
        </w:rPr>
        <w:t>(Gardner et al., 2009; Malhi, Gardner, Goldsmith, Silman, &amp; Zelazowski, 2014; I Perfecto, Vandermeer, &amp; Wright, 2009)</w:t>
      </w:r>
      <w:r w:rsidR="00374DC9">
        <w:fldChar w:fldCharType="end"/>
      </w:r>
      <w:r w:rsidR="00374DC9">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635A9E" w:rsidRPr="00635A9E">
        <w:t>Spracklen</w:t>
      </w:r>
      <w:proofErr w:type="spellEnd"/>
      <w:r w:rsidR="00635A9E" w:rsidRPr="00635A9E">
        <w:t xml:space="preserve"> </w:t>
      </w:r>
      <w:r w:rsidR="00635A9E">
        <w:t>and</w:t>
      </w:r>
      <w:r w:rsidR="00635A9E" w:rsidRPr="00635A9E">
        <w:t xml:space="preserve"> </w:t>
      </w:r>
      <w:proofErr w:type="spellStart"/>
      <w:r w:rsidR="00635A9E" w:rsidRPr="00635A9E">
        <w:t>Righelato</w:t>
      </w:r>
      <w:proofErr w:type="spellEnd"/>
      <w:r w:rsidR="00635A9E" w:rsidRPr="00635A9E">
        <w:t xml:space="preserve"> </w:t>
      </w:r>
      <w:r w:rsidR="009A7289">
        <w:t>(</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w:t>
      </w:r>
      <w:r w:rsidR="009C7E1F" w:rsidRPr="0048065C">
        <w:rPr>
          <w:highlight w:val="lightGray"/>
        </w:rPr>
        <w:t>Álvarez-Arteaga et al. (2013)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48065C">
        <w:t xml:space="preserve"> </w:t>
      </w:r>
      <w:r w:rsidR="0048065C">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2018)","previouslyFormattedCitation":"(CONAFOR, 2018)"},"properties":{"noteIndex":0},"schema":"https://github.com/citation-style-language/schema/raw/master/csl-citation.json"}</w:instrText>
      </w:r>
      <w:r w:rsidR="0048065C">
        <w:fldChar w:fldCharType="separate"/>
      </w:r>
      <w:r w:rsidR="0048065C" w:rsidRPr="0048065C">
        <w:rPr>
          <w:noProof/>
        </w:rPr>
        <w:t>(CONAFOR, 2018)</w:t>
      </w:r>
      <w:r w:rsidR="0048065C">
        <w:fldChar w:fldCharType="end"/>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w:t>
      </w:r>
      <w:r w:rsidR="00F77D88" w:rsidRPr="0048065C">
        <w:rPr>
          <w:vertAlign w:val="superscript"/>
        </w:rPr>
        <w:t>-1</w:t>
      </w:r>
      <w:r w:rsidR="009F73F7">
        <w:t xml:space="preserve">) </w:t>
      </w:r>
      <w:r w:rsidR="0073074E">
        <w:t xml:space="preserve">and that obtained by </w:t>
      </w:r>
      <w:proofErr w:type="spellStart"/>
      <w:r w:rsidR="0073074E" w:rsidRPr="0048065C">
        <w:rPr>
          <w:highlight w:val="lightGray"/>
        </w:rPr>
        <w:t>Leija-Loredo</w:t>
      </w:r>
      <w:proofErr w:type="spellEnd"/>
      <w:r w:rsidR="0073074E" w:rsidRPr="0048065C">
        <w:rPr>
          <w:highlight w:val="lightGray"/>
        </w:rPr>
        <w:t xml:space="preserve"> et al. (2018)</w:t>
      </w:r>
      <w:r w:rsidR="0073074E">
        <w:t xml:space="preserve"> in Hidalgo, Mexico,</w:t>
      </w:r>
      <w:r w:rsidR="00F77D88">
        <w:t xml:space="preserve"> (29 Mg ha</w:t>
      </w:r>
      <w:r w:rsidR="00F77D88" w:rsidRPr="0048065C">
        <w:rPr>
          <w:vertAlign w:val="superscript"/>
        </w:rPr>
        <w:t>-1</w:t>
      </w:r>
      <w:r w:rsidR="00F77D88">
        <w:t xml:space="preserve">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r w:rsidR="00FC6F96">
        <w:t xml:space="preserve"> </w:t>
      </w:r>
    </w:p>
    <w:p w14:paraId="43C8D54D" w14:textId="11934131"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3D0DE9" w:rsidRPr="00635A9E">
        <w:t>Spracklen</w:t>
      </w:r>
      <w:proofErr w:type="spellEnd"/>
      <w:r w:rsidR="003D0DE9" w:rsidRPr="00635A9E">
        <w:t xml:space="preserve"> </w:t>
      </w:r>
      <w:r w:rsidR="003D0DE9">
        <w:t>and</w:t>
      </w:r>
      <w:r w:rsidR="003D0DE9" w:rsidRPr="00635A9E">
        <w:t xml:space="preserve"> </w:t>
      </w:r>
      <w:proofErr w:type="spellStart"/>
      <w:r w:rsidR="003D0DE9" w:rsidRPr="00635A9E">
        <w:t>Righelato</w:t>
      </w:r>
      <w:proofErr w:type="spellEnd"/>
      <w:r w:rsidR="003D0DE9" w:rsidRPr="00635A9E">
        <w:t xml:space="preserve"> </w:t>
      </w:r>
      <w:r w:rsidR="003D0DE9">
        <w:t xml:space="preserve">(2014) </w:t>
      </w:r>
      <w:r w:rsidR="00FC6F96">
        <w:t xml:space="preserve">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 xml:space="preserve">). </w:t>
      </w:r>
      <w:r w:rsidR="00F556CC">
        <w:t xml:space="preserve">These results show that forests in secondary succession can sequester carbon in </w:t>
      </w:r>
      <w:proofErr w:type="gramStart"/>
      <w:r w:rsidR="00F556CC">
        <w:t>large quantities</w:t>
      </w:r>
      <w:proofErr w:type="gramEnd"/>
      <w:r w:rsidR="00F556CC">
        <w:t xml:space="preserve">, highlighting their ecological significance (refs).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3D0DE9">
        <w:t xml:space="preserve"> </w:t>
      </w:r>
      <w:r w:rsidR="003D0DE9">
        <w:fldChar w:fldCharType="begin" w:fldLock="1"/>
      </w:r>
      <w:r w:rsidR="003D0DE9">
        <w:instrText>ADDIN CSL_CITATION {"citationItems":[{"id":"ITEM-1","itemData":{"author":[{"dropping-particle":"","family":"CONAFOR","given":"","non-dropping-particle":"","parse-names":false,"suffix":""}],"id":"ITEM-1","issued":{"date-parts":[["2018"]]},"number-of-pages":"199","publisher-place":"Jalisco, México","title":"Inventario Nacional Forestal y de Suelos – Informe de Resultados 2009-2014","type":"report"},"uris":["http://www.mendeley.com/documents/?uuid=81a0f977-e0bb-42b3-b969-f60eeb175619"]}],"mendeley":{"formattedCitation":"(CONAFOR, 2018)","plainTextFormattedCitation":"(CONAFOR, 2018)"},"properties":{"noteIndex":0},"schema":"https://github.com/citation-style-language/schema/raw/master/csl-citation.json"}</w:instrText>
      </w:r>
      <w:r w:rsidR="003D0DE9">
        <w:fldChar w:fldCharType="separate"/>
      </w:r>
      <w:r w:rsidR="003D0DE9" w:rsidRPr="003D0DE9">
        <w:rPr>
          <w:noProof/>
        </w:rPr>
        <w:t>(CONAFOR, 2018)</w:t>
      </w:r>
      <w:r w:rsidR="003D0DE9">
        <w:fldChar w:fldCharType="end"/>
      </w:r>
      <w:r w:rsidR="00FC6F96">
        <w:t>.</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1A8C7489"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96284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2010)","plainTextFormattedCitation":"(Asner et al., 2014; C. A. J. Girardin et al., 2010)","previouslyFormattedCitation":"(Asner et al., 2014; C. A. J. Girardin et al., 2010)"},"properties":{"noteIndex":0},"schema":"https://github.com/citation-style-language/schema/raw/master/csl-citation.json"}</w:instrText>
      </w:r>
      <w:r w:rsidR="003832FD">
        <w:fldChar w:fldCharType="separate"/>
      </w:r>
      <w:r w:rsidR="00962842" w:rsidRPr="00962842">
        <w:rPr>
          <w:noProof/>
        </w:rPr>
        <w:t>(Asner et al., 2014; C. A. J.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BB015B0" w14:textId="77777777" w:rsidR="00E64305" w:rsidRPr="002D07BE" w:rsidRDefault="00E64305" w:rsidP="00E64305">
      <w:pPr>
        <w:rPr>
          <w:i/>
          <w:iCs/>
        </w:rPr>
      </w:pPr>
      <w:r w:rsidRPr="002D07BE">
        <w:rPr>
          <w:i/>
          <w:iCs/>
        </w:rPr>
        <w:t xml:space="preserve">Relationship between AGB and tree diversity </w:t>
      </w:r>
    </w:p>
    <w:p w14:paraId="6171590F" w14:textId="6E9DCFEA" w:rsidR="001E26C3" w:rsidRDefault="00282052">
      <w:r>
        <w:t>Although a positive relationship between AGB and tree diversity has been found in tropical forests</w:t>
      </w:r>
      <w:r w:rsidR="007E23F8">
        <w:t xml:space="preserve"> </w:t>
      </w:r>
      <w:r w:rsidR="007E23F8">
        <w:fldChar w:fldCharType="begin" w:fldLock="1"/>
      </w:r>
      <w:r w:rsidR="00974825">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forests","type":"article-journal","volume":"415-416"},"uris":["http://www.mendeley.com/documents/?uuid=f0081b2f-d1e5-4ee7-97cd-21c941e87f03"]}],"mendeley":{"formattedCitation":"(Arasa-Gisbert et al., 2018)","plainTextFormattedCitation":"(Arasa-Gisbert et al., 2018)","previouslyFormattedCitation":"(Arasa-Gisbert et al., 2018)"},"properties":{"noteIndex":0},"schema":"https://github.com/citation-style-language/schema/raw/master/csl-citation.json"}</w:instrText>
      </w:r>
      <w:r w:rsidR="007E23F8">
        <w:fldChar w:fldCharType="separate"/>
      </w:r>
      <w:r w:rsidR="007E23F8" w:rsidRPr="007E23F8">
        <w:rPr>
          <w:noProof/>
        </w:rPr>
        <w:t>(Arasa-Gisbert et al., 2018)</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52B42B29" w14:textId="77777777" w:rsidR="00E64305" w:rsidRDefault="00E64305" w:rsidP="00E64305">
      <w:pPr>
        <w:rPr>
          <w:i/>
          <w:iCs/>
        </w:rPr>
      </w:pPr>
      <w:r>
        <w:rPr>
          <w:i/>
          <w:iCs/>
        </w:rPr>
        <w:t>Patterns of AGB along land-use and environmental gradients</w:t>
      </w:r>
      <w:r w:rsidRPr="00FD0D17">
        <w:rPr>
          <w:i/>
          <w:iCs/>
        </w:rPr>
        <w:t xml:space="preserve"> </w:t>
      </w:r>
    </w:p>
    <w:p w14:paraId="70D65EC4" w14:textId="75F4F376"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 xml:space="preserve">In our study area, both precipitation and temperature decrease with elevation. This environmental gradient has a </w:t>
      </w:r>
      <w:proofErr w:type="gramStart"/>
      <w:r>
        <w:t>significant relationship</w:t>
      </w:r>
      <w:proofErr w:type="gramEnd"/>
      <w:r>
        <w:t xml:space="preserve">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 xml:space="preserve">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w:t>
      </w:r>
      <w:proofErr w:type="gramStart"/>
      <w:r>
        <w:t>AGB</w:t>
      </w:r>
      <w:proofErr w:type="gramEnd"/>
      <w:r>
        <w:t xml:space="preserve">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w:t>
      </w:r>
      <w:proofErr w:type="gramStart"/>
      <w:r w:rsidR="00292F5A">
        <w:t>AGB in particular, has</w:t>
      </w:r>
      <w:proofErr w:type="gramEnd"/>
      <w:r w:rsidR="00292F5A">
        <w:t xml:space="preserve">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4422"/>
    <w:rsid w:val="000B54CC"/>
    <w:rsid w:val="000C015E"/>
    <w:rsid w:val="000C0BAA"/>
    <w:rsid w:val="000C1511"/>
    <w:rsid w:val="000C1737"/>
    <w:rsid w:val="000C26E6"/>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45B"/>
    <w:rsid w:val="001226EF"/>
    <w:rsid w:val="00123C70"/>
    <w:rsid w:val="001255A6"/>
    <w:rsid w:val="001267D5"/>
    <w:rsid w:val="00130AE9"/>
    <w:rsid w:val="00131800"/>
    <w:rsid w:val="00132807"/>
    <w:rsid w:val="00133607"/>
    <w:rsid w:val="00134917"/>
    <w:rsid w:val="00137628"/>
    <w:rsid w:val="00137C90"/>
    <w:rsid w:val="001424A3"/>
    <w:rsid w:val="00143A5C"/>
    <w:rsid w:val="00143E95"/>
    <w:rsid w:val="00144824"/>
    <w:rsid w:val="00146C9B"/>
    <w:rsid w:val="001473B2"/>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51D"/>
    <w:rsid w:val="0022570E"/>
    <w:rsid w:val="00230C7A"/>
    <w:rsid w:val="002325DA"/>
    <w:rsid w:val="0023260B"/>
    <w:rsid w:val="00233CD4"/>
    <w:rsid w:val="002353C5"/>
    <w:rsid w:val="00243235"/>
    <w:rsid w:val="00243319"/>
    <w:rsid w:val="00246A0B"/>
    <w:rsid w:val="00247A15"/>
    <w:rsid w:val="002502A4"/>
    <w:rsid w:val="0025062E"/>
    <w:rsid w:val="00253666"/>
    <w:rsid w:val="0025367A"/>
    <w:rsid w:val="00254338"/>
    <w:rsid w:val="00255E31"/>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30C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4DC9"/>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798D"/>
    <w:rsid w:val="003C023A"/>
    <w:rsid w:val="003C0426"/>
    <w:rsid w:val="003C10D7"/>
    <w:rsid w:val="003C1EFA"/>
    <w:rsid w:val="003C24F5"/>
    <w:rsid w:val="003C65DB"/>
    <w:rsid w:val="003C761F"/>
    <w:rsid w:val="003D0DE9"/>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92A"/>
    <w:rsid w:val="00436AE9"/>
    <w:rsid w:val="00437350"/>
    <w:rsid w:val="00441AED"/>
    <w:rsid w:val="00443F76"/>
    <w:rsid w:val="00447E37"/>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065C"/>
    <w:rsid w:val="00482C2A"/>
    <w:rsid w:val="00482E66"/>
    <w:rsid w:val="004835AE"/>
    <w:rsid w:val="004836F4"/>
    <w:rsid w:val="0048488E"/>
    <w:rsid w:val="0048621B"/>
    <w:rsid w:val="00486A20"/>
    <w:rsid w:val="004870D5"/>
    <w:rsid w:val="00490395"/>
    <w:rsid w:val="00491AA6"/>
    <w:rsid w:val="004921C3"/>
    <w:rsid w:val="004932E4"/>
    <w:rsid w:val="00497C02"/>
    <w:rsid w:val="004A0033"/>
    <w:rsid w:val="004A19D6"/>
    <w:rsid w:val="004A3352"/>
    <w:rsid w:val="004A392D"/>
    <w:rsid w:val="004A4121"/>
    <w:rsid w:val="004A43D3"/>
    <w:rsid w:val="004A54D5"/>
    <w:rsid w:val="004A6FE9"/>
    <w:rsid w:val="004B0778"/>
    <w:rsid w:val="004B1AB9"/>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57377"/>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67D3"/>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35A9E"/>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BA2"/>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5F1E"/>
    <w:rsid w:val="007C6459"/>
    <w:rsid w:val="007C6D2C"/>
    <w:rsid w:val="007D1572"/>
    <w:rsid w:val="007D1DEA"/>
    <w:rsid w:val="007D38D3"/>
    <w:rsid w:val="007D3E16"/>
    <w:rsid w:val="007D4B3A"/>
    <w:rsid w:val="007E2357"/>
    <w:rsid w:val="007E23F8"/>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4348"/>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2CB2"/>
    <w:rsid w:val="008646C9"/>
    <w:rsid w:val="008659A4"/>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F9E"/>
    <w:rsid w:val="008C5FE4"/>
    <w:rsid w:val="008C6DB4"/>
    <w:rsid w:val="008C7903"/>
    <w:rsid w:val="008D0468"/>
    <w:rsid w:val="008D0B39"/>
    <w:rsid w:val="008D1EF4"/>
    <w:rsid w:val="008D47A6"/>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9EB"/>
    <w:rsid w:val="00A97BF9"/>
    <w:rsid w:val="00AA2B44"/>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1B13"/>
    <w:rsid w:val="00B13634"/>
    <w:rsid w:val="00B14A03"/>
    <w:rsid w:val="00B14B4F"/>
    <w:rsid w:val="00B1725A"/>
    <w:rsid w:val="00B17FD0"/>
    <w:rsid w:val="00B228A3"/>
    <w:rsid w:val="00B22FC6"/>
    <w:rsid w:val="00B23197"/>
    <w:rsid w:val="00B235AB"/>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0A88"/>
    <w:rsid w:val="00B6180A"/>
    <w:rsid w:val="00B62CB2"/>
    <w:rsid w:val="00B65E6C"/>
    <w:rsid w:val="00B66E71"/>
    <w:rsid w:val="00B712EF"/>
    <w:rsid w:val="00B72679"/>
    <w:rsid w:val="00B76ADA"/>
    <w:rsid w:val="00B77F2C"/>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4FA9"/>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47"/>
    <w:rsid w:val="00CC3FB4"/>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4405"/>
    <w:rsid w:val="00E4509E"/>
    <w:rsid w:val="00E462DB"/>
    <w:rsid w:val="00E479C0"/>
    <w:rsid w:val="00E51C05"/>
    <w:rsid w:val="00E543A4"/>
    <w:rsid w:val="00E547BC"/>
    <w:rsid w:val="00E60A5D"/>
    <w:rsid w:val="00E60D84"/>
    <w:rsid w:val="00E6281A"/>
    <w:rsid w:val="00E63D10"/>
    <w:rsid w:val="00E64305"/>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56CC"/>
    <w:rsid w:val="00F56ECE"/>
    <w:rsid w:val="00F613CF"/>
    <w:rsid w:val="00F61F99"/>
    <w:rsid w:val="00F62685"/>
    <w:rsid w:val="00F65744"/>
    <w:rsid w:val="00F66BB2"/>
    <w:rsid w:val="00F67113"/>
    <w:rsid w:val="00F70EE6"/>
    <w:rsid w:val="00F7161F"/>
    <w:rsid w:val="00F7236D"/>
    <w:rsid w:val="00F73583"/>
    <w:rsid w:val="00F74137"/>
    <w:rsid w:val="00F75EBD"/>
    <w:rsid w:val="00F77D88"/>
    <w:rsid w:val="00F8549D"/>
    <w:rsid w:val="00F867AB"/>
    <w:rsid w:val="00F86B1E"/>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D58E9"/>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307629731">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628627167">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018198638">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30965</TotalTime>
  <Pages>38</Pages>
  <Words>62177</Words>
  <Characters>354411</Characters>
  <Application>Microsoft Office Word</Application>
  <DocSecurity>0</DocSecurity>
  <Lines>2953</Lines>
  <Paragraphs>831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720</cp:revision>
  <dcterms:created xsi:type="dcterms:W3CDTF">2022-02-09T04:05:00Z</dcterms:created>
  <dcterms:modified xsi:type="dcterms:W3CDTF">2022-04-03T03:03:00Z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