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 xml:space="preserve">high AGB have been described (e.g.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w:t>
      </w:r>
      <w:proofErr w:type="spellStart"/>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proofErr w:type="spellStart"/>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BF1347"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w:t>
      </w:r>
      <w:proofErr w:type="spellStart"/>
      <w:r w:rsidR="004158C1">
        <w:t>nbclust</w:t>
      </w:r>
      <w:proofErr w:type="spellEnd"/>
      <w:r w:rsidR="004158C1">
        <w: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w:t>
      </w:r>
      <w:proofErr w:type="spellStart"/>
      <w:r w:rsidR="000B54CC">
        <w:t>Murguía</w:t>
      </w:r>
      <w:proofErr w:type="spellEnd"/>
      <w:r w:rsidR="000B54CC">
        <w:t xml:space="preserve">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04159ACC"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22128CFF" w:rsidR="00170AEC" w:rsidRDefault="00066D9B">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0338C9">
        <w:t>However, tropical montane forests are less well-known and more difficult to study using remote sensing techniques</w:t>
      </w:r>
      <w:r w:rsidR="001F1ECC">
        <w:t xml:space="preserve"> (Refs)</w:t>
      </w:r>
      <w:r w:rsidR="000338C9">
        <w:t>.</w:t>
      </w:r>
      <w:r w:rsidR="001F1ECC">
        <w:t xml:space="preserve"> </w:t>
      </w:r>
      <w:r w:rsidR="00E97970">
        <w:t>In Mexico, TMCF cover</w:t>
      </w:r>
      <w:r w:rsidR="00684125">
        <w:t>s</w:t>
      </w:r>
      <w:r w:rsidR="00E97970">
        <w:t xml:space="preserve">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B51B36">
        <w:t xml:space="preserve"> (CONAFOR)</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1F4B95">
        <w:t xml:space="preserve">Here, </w:t>
      </w:r>
      <w:r w:rsidR="009A7289">
        <w:t xml:space="preserve">using the Mexican </w:t>
      </w:r>
      <w:r w:rsidR="003172A5">
        <w:t>FI</w:t>
      </w:r>
      <w:r w:rsidR="00AF5226">
        <w:t xml:space="preserve"> data</w:t>
      </w:r>
      <w:r w:rsidR="009A7289">
        <w:t xml:space="preserve"> </w:t>
      </w:r>
      <w:r w:rsidR="003172A5">
        <w:t xml:space="preserve">collected from </w:t>
      </w:r>
      <w:r w:rsidR="009A7289">
        <w:t>2009</w:t>
      </w:r>
      <w:r w:rsidR="00684125">
        <w:t xml:space="preserve"> to </w:t>
      </w:r>
      <w:r w:rsidR="009A7289">
        <w:t xml:space="preserve">2014, </w:t>
      </w:r>
      <w:r w:rsidR="001F4B95">
        <w:t>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r w:rsidR="00081A96">
        <w:t xml:space="preserve"> We focused on</w:t>
      </w:r>
      <w:r w:rsidR="00143A5C">
        <w:t xml:space="preserve"> the NMO, which harbors the largest and most continuous area of TMCF in the country</w:t>
      </w:r>
      <w:r w:rsidR="00AB7073">
        <w:t>, and where forest</w:t>
      </w:r>
      <w:r w:rsidR="00143A5C">
        <w:t xml:space="preserve"> conservation is considered a critical priority </w:t>
      </w:r>
      <w:r w:rsidR="00143A5C">
        <w:fldChar w:fldCharType="begin" w:fldLock="1"/>
      </w:r>
      <w:r w:rsidR="00A319F7">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2011)","previouslyFormattedCitation":"(Toledo-Aceves, Meave, González-Espinosa, &amp; Ramírez-Marcial, 2011)"},"properties":{"noteIndex":0},"schema":"https://github.com/citation-style-language/schema/raw/master/csl-citation.json"}</w:instrText>
      </w:r>
      <w:r w:rsidR="00143A5C">
        <w:fldChar w:fldCharType="separate"/>
      </w:r>
      <w:r w:rsidR="00143A5C" w:rsidRPr="00143A5C">
        <w:rPr>
          <w:noProof/>
        </w:rPr>
        <w:t>(Toledo-Aceves, Meave, González-Espinosa, &amp; Ramírez-Marcial, 2011)</w:t>
      </w:r>
      <w:r w:rsidR="00143A5C">
        <w:fldChar w:fldCharType="end"/>
      </w:r>
      <w:r w:rsidR="00143A5C">
        <w:t>.</w:t>
      </w:r>
    </w:p>
    <w:p w14:paraId="1C630CB5" w14:textId="67C94CD6" w:rsidR="00791583" w:rsidRDefault="00791583" w:rsidP="00791583">
      <w:pPr>
        <w:ind w:firstLine="720"/>
      </w:pPr>
      <w:r>
        <w:t xml:space="preserve">AGB </w:t>
      </w:r>
      <w:r w:rsidR="00906673">
        <w:t xml:space="preserve">estimates </w:t>
      </w:r>
      <w:r w:rsidR="00B51B36">
        <w:t xml:space="preserve">across </w:t>
      </w:r>
      <w:r w:rsidR="00063D2B">
        <w:t>TMCF</w:t>
      </w:r>
      <w:r w:rsidR="00906673">
        <w:t xml:space="preserve"> around the globe</w:t>
      </w:r>
      <w:r w:rsidR="00063D2B">
        <w:t xml:space="preserve"> </w:t>
      </w:r>
      <w:r>
        <w:t>show wide variation</w:t>
      </w:r>
      <w:r w:rsidR="005C0C82">
        <w:t>. F</w:t>
      </w:r>
      <w:r w:rsidR="00B51B36">
        <w:t xml:space="preserve">or instance, </w:t>
      </w:r>
      <w:proofErr w:type="spellStart"/>
      <w:r w:rsidR="00B51B36">
        <w:t>Spracklen</w:t>
      </w:r>
      <w:proofErr w:type="spellEnd"/>
      <w:r w:rsidR="00B51B36">
        <w:t xml:space="preserve"> and </w:t>
      </w:r>
      <w:proofErr w:type="spellStart"/>
      <w:r w:rsidR="00B51B36">
        <w:t>Righelato</w:t>
      </w:r>
      <w:proofErr w:type="spellEnd"/>
      <w:r w:rsidR="00B51B36">
        <w:t xml:space="preserve"> (201X) found in a pan-tropical study </w:t>
      </w:r>
      <w:r w:rsidR="00906673">
        <w:t>a range</w:t>
      </w:r>
      <w:r w:rsidR="00B51B36">
        <w:t xml:space="preserve"> from 77 to 785 Mg ha</w:t>
      </w:r>
      <w:r w:rsidR="00B51B36" w:rsidRPr="00B51B36">
        <w:rPr>
          <w:vertAlign w:val="superscript"/>
        </w:rPr>
        <w:t>-1</w:t>
      </w:r>
      <w:r w:rsidR="00B51B36">
        <w:t>.</w:t>
      </w:r>
      <w:r>
        <w:t xml:space="preserve"> Several reasons </w:t>
      </w:r>
      <w:r w:rsidR="00063D2B">
        <w:t xml:space="preserve">could explain this </w:t>
      </w:r>
      <w:r w:rsidR="00383B1B">
        <w:t>wide range</w:t>
      </w:r>
      <w:r w:rsidR="00063D2B">
        <w:t xml:space="preserve">, some of them </w:t>
      </w:r>
      <w:r w:rsidR="00CC172B">
        <w:t xml:space="preserve">related to the natural variation </w:t>
      </w:r>
      <w:r w:rsidR="00063D2B">
        <w:t xml:space="preserve">found </w:t>
      </w:r>
      <w:r w:rsidR="00CC172B">
        <w:t xml:space="preserve">in this ecosystem and </w:t>
      </w:r>
      <w:r w:rsidR="00063D2B">
        <w:t xml:space="preserve">others </w:t>
      </w:r>
      <w:r w:rsidR="00CC172B">
        <w:t xml:space="preserve">to methodological approaches </w:t>
      </w:r>
      <w:r w:rsidR="00063D2B">
        <w:t>for</w:t>
      </w:r>
      <w:r w:rsidR="00CC172B">
        <w:t xml:space="preserve"> estimating AGB</w:t>
      </w:r>
      <w:r w:rsidR="00063D2B">
        <w:t>.</w:t>
      </w:r>
      <w:r w:rsidR="00CC172B">
        <w:t xml:space="preserve"> </w:t>
      </w:r>
      <w:r>
        <w:t xml:space="preserve">First, </w:t>
      </w:r>
      <w:r w:rsidR="00063D2B">
        <w:t>AGB varies i</w:t>
      </w:r>
      <w:r>
        <w:t xml:space="preserve">n this ecosystem </w:t>
      </w:r>
      <w:r w:rsidR="005C0C82">
        <w:t>because of</w:t>
      </w:r>
      <w:r w:rsidR="00105230">
        <w:t xml:space="preserve"> forest</w:t>
      </w:r>
      <w:r>
        <w:t xml:space="preserve"> composition and environmental variables such as elevation, precipitation, and soil nutrients (refs). Second, the age of forest stands selected for study, as well as the effect of forest management and the amount of forest disturbance present in each site</w:t>
      </w:r>
      <w:r w:rsidR="00383B1B">
        <w:t xml:space="preserve"> </w:t>
      </w:r>
      <w:r>
        <w:t xml:space="preserve">(refs). Third, biases in </w:t>
      </w:r>
      <w:r w:rsidR="00105230">
        <w:t xml:space="preserve">fieldwork </w:t>
      </w:r>
      <w:r>
        <w:t>site selection, for instance, towards forests found in gentler slopes (</w:t>
      </w:r>
      <w:proofErr w:type="spellStart"/>
      <w:r>
        <w:t>Malhi</w:t>
      </w:r>
      <w:proofErr w:type="spellEnd"/>
      <w:r>
        <w:t xml:space="preserve">, </w:t>
      </w:r>
      <w:proofErr w:type="spellStart"/>
      <w:r>
        <w:t>Spracklen</w:t>
      </w:r>
      <w:proofErr w:type="spellEnd"/>
      <w:r>
        <w:t xml:space="preserve">). Fourth, the allometric equations used for estimating AGB. Despite research has found that different models usually yield similar results (refs), all allometric equations have some associated error because they are calculated with a finite sample of trees. This error can be exponentiated </w:t>
      </w:r>
      <w:r w:rsidRPr="006D68FC">
        <w:t>if tree</w:t>
      </w:r>
      <w:r>
        <w:t>s</w:t>
      </w:r>
      <w:r w:rsidRPr="006D68FC">
        <w:t xml:space="preserve"> whose biomass is to be </w:t>
      </w:r>
      <w:r>
        <w:t>estimated</w:t>
      </w:r>
      <w:r w:rsidRPr="006D68FC">
        <w:t xml:space="preserve"> ha</w:t>
      </w:r>
      <w:r>
        <w:t>ve</w:t>
      </w:r>
      <w:r w:rsidRPr="006D68FC">
        <w:t xml:space="preserve"> attributes outside the limits used to calculate the </w:t>
      </w:r>
      <w:r>
        <w:t xml:space="preserve">allometric </w:t>
      </w:r>
      <w:r w:rsidRPr="006D68FC">
        <w:t>equation</w:t>
      </w:r>
      <w:r>
        <w:t xml:space="preserve"> (e.g. if DBH is larger than the highest DBH used for deriving the equation). Finally, plot size can play a role in AGB estimates because biomass density is reported in hectares but often measured at smaller spatial scales, thus, extrapolating values from small plots with very large trees can result in an overestimated AGB (refs). Here, we approached these challenges by (1) analyzing AGB patterns across environmental gradients, (2) calculating the successional stage of all plots analyzed, (3) using a structured sampling design covering a wide spectrum of slope steepness, (4) using allometric equations explicitly designed for the trees and ecosystem under study and</w:t>
      </w:r>
      <w:r w:rsidR="00105230">
        <w:t>,</w:t>
      </w:r>
      <w:r>
        <w:t xml:space="preserve"> </w:t>
      </w:r>
      <w:r w:rsidR="00105230">
        <w:t>when specific equations were unavailable, complementing</w:t>
      </w:r>
      <w:r>
        <w:t xml:space="preserve"> with a well-tested generic equation, and (</w:t>
      </w:r>
      <w:r w:rsidR="001046F5">
        <w:t>5</w:t>
      </w:r>
      <w:r>
        <w:t>) using a nested sampling design with which we averaged AGB measured at four plots established in a one-hectare site in order to diminish scale-dependent errors</w:t>
      </w:r>
      <w:r w:rsidR="005C0C82">
        <w:t xml:space="preserve"> as well as </w:t>
      </w:r>
      <w:r w:rsidR="00773E23">
        <w:t>considering error propagation in our final estimates</w:t>
      </w:r>
      <w:r>
        <w:t xml:space="preserve">.   </w:t>
      </w:r>
    </w:p>
    <w:p w14:paraId="14755BFB" w14:textId="100BF3BF" w:rsidR="00EE645E" w:rsidRDefault="009B3484" w:rsidP="00EE645E">
      <w:r>
        <w:tab/>
      </w:r>
      <w:r w:rsidR="00990D49">
        <w:t xml:space="preserve">The studied sites </w:t>
      </w:r>
      <w:r w:rsidR="00F04680">
        <w:t xml:space="preserve">in the present project </w:t>
      </w:r>
      <w:r w:rsidR="002C6FA3">
        <w:t>consist of</w:t>
      </w:r>
      <w:r w:rsidR="00AE59CA">
        <w:t xml:space="preserve"> heterogeneous landscapes where forest patches are interspersed with agricultural and grazing lands</w:t>
      </w:r>
      <w:r w:rsidR="00305E64">
        <w:t xml:space="preserve">, as commonly found in tropical forests (Refs).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patterns in the region are </w:t>
      </w:r>
      <w:r w:rsidR="00A74D97">
        <w:t xml:space="preserve">highly variable. </w:t>
      </w:r>
      <w:r>
        <w:t xml:space="preserve">Average AGB </w:t>
      </w:r>
      <w:r w:rsidR="00990D49">
        <w:t xml:space="preserve">in the studied sites </w:t>
      </w:r>
      <w:r w:rsidR="00857429">
        <w:t xml:space="preserve">(n= 40) </w:t>
      </w:r>
      <w:r w:rsidR="00990D49">
        <w:t xml:space="preserve">is </w:t>
      </w:r>
      <w:r w:rsidR="00990D49" w:rsidRPr="001C6E1B">
        <w:rPr>
          <w:rFonts w:cstheme="minorHAnsi"/>
        </w:rPr>
        <w:t xml:space="preserve">137.49 </w:t>
      </w:r>
      <w:r w:rsidR="00990D49">
        <w:rPr>
          <w:rFonts w:ascii="French Script MT" w:hAnsi="French Script MT"/>
        </w:rPr>
        <w:t>±</w:t>
      </w:r>
      <w:r w:rsidR="00990D49">
        <w:t xml:space="preserve"> 121.29 Mg ha</w:t>
      </w:r>
      <w:r w:rsidR="00990D49" w:rsidRPr="003D324A">
        <w:rPr>
          <w:vertAlign w:val="superscript"/>
        </w:rPr>
        <w:t>-1</w:t>
      </w:r>
      <w:r w:rsidR="00A74D97">
        <w:t xml:space="preserve"> </w:t>
      </w:r>
      <w:r w:rsidR="00EA56E2">
        <w:t xml:space="preserve">falling </w:t>
      </w:r>
      <w:r w:rsidR="009A7289">
        <w:t xml:space="preserve">within the range found by </w:t>
      </w:r>
      <w:proofErr w:type="spellStart"/>
      <w:r w:rsidR="009A7289">
        <w:t>Spracklen</w:t>
      </w:r>
      <w:proofErr w:type="spellEnd"/>
      <w:r w:rsidR="009A7289">
        <w:t xml:space="preserve"> and </w:t>
      </w:r>
      <w:proofErr w:type="spellStart"/>
      <w:r w:rsidR="009A7289">
        <w:t>Righelto</w:t>
      </w:r>
      <w:proofErr w:type="spellEnd"/>
      <w:r w:rsidR="009A7289">
        <w:t xml:space="preserve"> (</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maps</w:t>
      </w:r>
      <w:r w:rsidR="00532710">
        <w:t xml:space="preserve"> </w:t>
      </w:r>
      <w:r w:rsidR="00532710">
        <w:t>for the region</w:t>
      </w:r>
      <w:r w:rsidR="00AE7B70">
        <w:t xml:space="preserve">, but lower than those in Saatchi et </w:t>
      </w:r>
      <w:proofErr w:type="spellStart"/>
      <w:r w:rsidR="00AE7B70">
        <w:t>al’s</w:t>
      </w:r>
      <w:proofErr w:type="spellEnd"/>
      <w:r w:rsidR="00AE7B70">
        <w:t xml:space="preserve"> (2011). </w:t>
      </w:r>
      <w:r w:rsidR="00EA5890">
        <w:t>Our AGB estimate is higher than the average value reported in the FI results for TMCF at the national level, where TMCF averages 75.41 Mg ha</w:t>
      </w:r>
      <w:r w:rsidR="00EA5890" w:rsidRPr="003D324A">
        <w:rPr>
          <w:vertAlign w:val="superscript"/>
        </w:rPr>
        <w:t>-1</w:t>
      </w:r>
      <w:r w:rsidR="00EA5890">
        <w:t xml:space="preserve">. </w:t>
      </w:r>
      <w:r w:rsidR="000C44DC">
        <w:t>This</w:t>
      </w:r>
      <w:r w:rsidR="00EA5890">
        <w:t xml:space="preserve"> discrepancy </w:t>
      </w:r>
      <w:r w:rsidR="000C44DC">
        <w:t>can be surprising at first because</w:t>
      </w:r>
      <w:r w:rsidR="00EA5890">
        <w:t xml:space="preserve"> </w:t>
      </w:r>
      <w:r w:rsidR="000C44DC">
        <w:t xml:space="preserve">our estimates were calculated from a subset of the FI data set. However, </w:t>
      </w:r>
      <w:r w:rsidR="003B2C33">
        <w:t xml:space="preserve">the fact that </w:t>
      </w:r>
      <w:r w:rsidR="000C44DC">
        <w:t>TMCF in the NMO probably contain</w:t>
      </w:r>
      <w:r w:rsidR="00532710">
        <w:t>s</w:t>
      </w:r>
      <w:r w:rsidR="000C44DC">
        <w:t xml:space="preserve"> more AGB than other </w:t>
      </w:r>
      <w:r w:rsidR="006318AA">
        <w:t>TMCF in the country</w:t>
      </w:r>
      <w:r w:rsidR="003B2C33">
        <w:t xml:space="preserve"> could explain this difference</w:t>
      </w:r>
      <w:r w:rsidR="006318AA">
        <w:t xml:space="preserve">. This is supported by results found in other studies </w:t>
      </w:r>
      <w:r w:rsidR="00EA5890">
        <w:t xml:space="preserve">conducted in TMCF at local scales </w:t>
      </w:r>
      <w:r w:rsidR="006318AA">
        <w:t>that show high</w:t>
      </w:r>
      <w:r w:rsidR="00532710">
        <w:t>er values for forests in the NMO than elsewhere</w:t>
      </w:r>
      <w:r w:rsidR="00EA5890">
        <w:t xml:space="preserve">. For instance, Álvarez-Arteaga et al. </w:t>
      </w:r>
      <w:r w:rsidR="00EA5890" w:rsidRPr="002C6FA3">
        <w:t xml:space="preserve">(2013) </w:t>
      </w:r>
      <w:r w:rsidR="00EA5890">
        <w:t xml:space="preserve">quantified AGB along an elevation transect in mature TMCF within the NMO obtaining values </w:t>
      </w:r>
      <w:r w:rsidR="00EA5890" w:rsidRPr="002C6FA3">
        <w:t>from 220 to 413 Mg ha</w:t>
      </w:r>
      <w:r w:rsidR="00EA5890" w:rsidRPr="002C6FA3">
        <w:rPr>
          <w:vertAlign w:val="superscript"/>
        </w:rPr>
        <w:t xml:space="preserve">-1 </w:t>
      </w:r>
      <w:r w:rsidR="00EA5890">
        <w:rPr>
          <w:vertAlign w:val="superscript"/>
        </w:rPr>
        <w:fldChar w:fldCharType="begin" w:fldLock="1"/>
      </w:r>
      <w:r w:rsidR="00EA5890" w:rsidRPr="002C6FA3">
        <w:rPr>
          <w:vertAlign w:val="superscript"/>
        </w:rPr>
        <w:instrText>ADDIN CSL_CITATION {"citationItems":[{"id":"ITEM-1","itemData":{"author":[{"dropping-particle":"","family":"Álvarez-Arteaga","given":"G","non-dropping-particle":"","parse-names":false,"suffix":""},{"dropping-particle":"","family":"García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-1","issued":{"date-parts":[["2013"]]},"page":"171-180","title":"Almacenes de carbono en bosques montanos de niebla de la sierra norte de oaxaca, México","type":"article-journal","volume":"47"},"uris":["http://www.mendeley.com/documents/?uuid=31c5694f-8074-45b3-a2ec-76e219d254c8"]}],"mendeley":{"formattedCitation":"(Álvarez-Arteaga, García Calderón, Krasilnikov, &amp; García-Oliva, 2013)","plainTextFormattedCitation":"(Álvarez-Arteaga, García Calderón, Krasilnikov, &amp; García-Oliva, 2013)","previouslyFormattedCitation":"(Álvarez-Arteaga, García Calderón, Krasilnikov, &amp; García-Oliva, 2013)"},"properties":{"noteIndex":0},"schema":"https://github.com/citation-style-language/schema/raw/master/csl-citation.json"}</w:instrText>
      </w:r>
      <w:r w:rsidR="00EA5890">
        <w:rPr>
          <w:vertAlign w:val="superscript"/>
        </w:rPr>
        <w:fldChar w:fldCharType="separate"/>
      </w:r>
      <w:r w:rsidR="00EA5890" w:rsidRPr="002C6FA3">
        <w:rPr>
          <w:noProof/>
        </w:rPr>
        <w:t>(Álvarez-Arteaga, García Calderón, Krasilnikov, &amp; García-Oliva, 2013)</w:t>
      </w:r>
      <w:r w:rsidR="00EA5890">
        <w:rPr>
          <w:vertAlign w:val="superscript"/>
        </w:rPr>
        <w:fldChar w:fldCharType="end"/>
      </w:r>
      <w:r w:rsidR="00EA5890" w:rsidRPr="002C6FA3">
        <w:t xml:space="preserve">. </w:t>
      </w:r>
      <w:r w:rsidR="00EA5890">
        <w:t xml:space="preserve">In contrast, AGB estimated in a TMCF in Hidalgo, Mexico, </w:t>
      </w:r>
      <w:r w:rsidR="006318AA">
        <w:t>exhibit</w:t>
      </w:r>
      <w:r w:rsidR="00EA5890">
        <w:t xml:space="preserve"> values of about 29 Mg ha</w:t>
      </w:r>
      <w:r w:rsidR="00EA5890" w:rsidRPr="00D955E4">
        <w:rPr>
          <w:vertAlign w:val="superscript"/>
        </w:rPr>
        <w:t>-1</w:t>
      </w:r>
      <w:r w:rsidR="00EA5890">
        <w:t xml:space="preserve"> on average, with some sites exhibiting AGB values close to 100 Mg ha</w:t>
      </w:r>
      <w:r w:rsidR="00EA5890" w:rsidRPr="0029651B">
        <w:rPr>
          <w:vertAlign w:val="superscript"/>
        </w:rPr>
        <w:t>-1</w:t>
      </w:r>
      <w:r w:rsidR="000C44DC">
        <w:rPr>
          <w:vertAlign w:val="superscript"/>
        </w:rPr>
        <w:t xml:space="preserve"> </w:t>
      </w:r>
      <w:r w:rsidR="00EA5890">
        <w:rPr>
          <w:vertAlign w:val="superscript"/>
        </w:rPr>
        <w:fldChar w:fldCharType="begin" w:fldLock="1"/>
      </w:r>
      <w:r w:rsidR="00EA5890">
        <w:rPr>
          <w:vertAlign w:val="superscript"/>
        </w:rPr>
        <w:instrText>ADDIN CSL_CITATION {"citationItems":[{"id":"ITEM-1","itemData":{"DOI":"10.1007/s11629-018-4937-y","ISSN":"16726316","abstract":"©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w:instrText>
      </w:r>
      <w:r w:rsidR="00EA5890" w:rsidRPr="006318AA">
        <w:rPr>
          <w:vertAlign w:val="superscript"/>
          <w:lang w:val="es-MX"/>
        </w:rPr>
        <w:instrText xml:space="preserve">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Science","id":"ITEM-1","issue":"10","issued":{"date-parts":[["2018"]]},"page":"2136-2147","title":"Land cover change and carbon stores in a tropical montane cloud forest in the Sierra Madre Oriental, Mexico","type":"article-journal","volume":"15"},"uris":["http://www.mendeley.com/documents/?uuid=35339124-ef18-4fa4-aafb-f1a6849b65fe"]}],"mendeley":{"formattedCitation":"(Leija-Loredo, Pavón, Sánchez-González, Rodriguez-Laguna, &amp; Ángeles-Pérez, 2018)","plainTextFormattedCitation":"(Leija-Loredo, Pavón, Sánchez-González, Rodriguez-Laguna, &amp; Ángeles-Pérez, 2018)","previouslyFormattedCitation":"(Leija-Loredo, Pavón, Sánchez-González, Rodriguez-Laguna, &amp; Ángeles-Pérez, 2018)"},"properties":{"noteIndex":0},"schema":"https://github.com/citation-style-language/schema/raw/master/csl-citation.json"}</w:instrText>
      </w:r>
      <w:r w:rsidR="00EA5890">
        <w:rPr>
          <w:vertAlign w:val="superscript"/>
        </w:rPr>
        <w:fldChar w:fldCharType="separate"/>
      </w:r>
      <w:r w:rsidR="00EA5890" w:rsidRPr="006318AA">
        <w:rPr>
          <w:noProof/>
          <w:lang w:val="es-MX"/>
        </w:rPr>
        <w:t>(Leija-Loredo, Pavón, Sánchez-González, Rodriguez-Laguna, &amp; Ángeles-Pérez, 2018)</w:t>
      </w:r>
      <w:r w:rsidR="00EA5890">
        <w:rPr>
          <w:vertAlign w:val="superscript"/>
        </w:rPr>
        <w:fldChar w:fldCharType="end"/>
      </w:r>
      <w:r w:rsidR="00EA5890" w:rsidRPr="006318AA">
        <w:rPr>
          <w:lang w:val="es-MX"/>
        </w:rPr>
        <w:t>.</w:t>
      </w:r>
      <w:r w:rsidR="006318AA" w:rsidRPr="006318AA">
        <w:rPr>
          <w:lang w:val="es-MX"/>
        </w:rPr>
        <w:t xml:space="preserve"> </w:t>
      </w:r>
      <w:r w:rsidR="006318AA" w:rsidRPr="004C4DB4">
        <w:t xml:space="preserve">The difference between these two sites is </w:t>
      </w:r>
      <w:r w:rsidR="000C0BAA" w:rsidRPr="004C4DB4">
        <w:t>significant</w:t>
      </w:r>
      <w:r w:rsidR="006318AA" w:rsidRPr="004C4DB4">
        <w:t xml:space="preserve">. </w:t>
      </w:r>
      <w:r w:rsidR="00532710">
        <w:t>On the other hand, i</w:t>
      </w:r>
      <w:r w:rsidR="00F867AB">
        <w:t xml:space="preserve">t </w:t>
      </w:r>
      <w:r w:rsidR="00FC6F96">
        <w:t xml:space="preserve">is important to note that </w:t>
      </w:r>
      <w:r w:rsidR="00FA09A3">
        <w:t>in FI</w:t>
      </w:r>
      <w:r w:rsidR="00A319F7">
        <w:t>’s</w:t>
      </w:r>
      <w:r w:rsidR="00FA09A3">
        <w:t xml:space="preserve"> AGB quantification</w:t>
      </w:r>
      <w:r w:rsidR="00A23F07">
        <w:t>,</w:t>
      </w:r>
      <w:r w:rsidR="00FA09A3">
        <w:t xml:space="preserve"> </w:t>
      </w:r>
      <w:r w:rsidR="00EE3607">
        <w:t>forests at different successional stages are</w:t>
      </w:r>
      <w:r w:rsidR="00FC6F96">
        <w:t xml:space="preserve"> not distinguishe</w:t>
      </w:r>
      <w:r w:rsidR="00EE3607">
        <w:t>d</w:t>
      </w:r>
      <w:r w:rsidR="00FC6F96">
        <w:t xml:space="preserve">, nor </w:t>
      </w:r>
      <w:r w:rsidR="00A23F07">
        <w:t>are</w:t>
      </w:r>
      <w:r w:rsidR="00FC6F96">
        <w:t xml:space="preserve"> land use intensity or other types of disturbance</w:t>
      </w:r>
      <w:r w:rsidR="00A23F07">
        <w:t xml:space="preserve"> considered</w:t>
      </w:r>
      <w:r w:rsidR="00FC6F96">
        <w:t xml:space="preserve">. </w:t>
      </w:r>
    </w:p>
    <w:p w14:paraId="43C8D54D" w14:textId="65E49414"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FC6F96">
        <w:t>Spracklen</w:t>
      </w:r>
      <w:proofErr w:type="spellEnd"/>
      <w:r w:rsidR="00FC6F96">
        <w:t xml:space="preserve"> and </w:t>
      </w:r>
      <w:proofErr w:type="spellStart"/>
      <w:r w:rsidR="00FC6F96">
        <w:t>Righleto</w:t>
      </w:r>
      <w:proofErr w:type="spellEnd"/>
      <w:r w:rsidR="00FC6F96">
        <w:t xml:space="preserve"> () 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mature forests</w:t>
      </w:r>
      <w:r w:rsidR="000C0BAA">
        <w:t xml:space="preserve">, </w:t>
      </w:r>
      <w:r w:rsidR="00F867AB">
        <w:t xml:space="preserve">although this difference is not always statistically significant. For example, </w:t>
      </w:r>
      <w:proofErr w:type="spellStart"/>
      <w:r w:rsidR="00F867AB" w:rsidRPr="009857AB">
        <w:t>Vizcaíno</w:t>
      </w:r>
      <w:proofErr w:type="spellEnd"/>
      <w:r w:rsidR="00F867AB" w:rsidRPr="009857AB">
        <w:t xml:space="preserve">-Bravo et al. </w:t>
      </w:r>
      <w:r w:rsidR="00F867AB" w:rsidRPr="005D0C9A">
        <w:t>(2020)</w:t>
      </w:r>
      <w:r w:rsidR="00F867AB">
        <w:t xml:space="preserve"> compared AGB in TMCF at different successional stages and coffee farms and found that </w:t>
      </w:r>
      <w:r w:rsidR="00273568">
        <w:t>while</w:t>
      </w:r>
      <w:r w:rsidR="00F867AB">
        <w:t xml:space="preserve"> mature forests show greater AGB than secondary forests, the difference is not statistically different. In contrast, XXX. </w:t>
      </w:r>
      <w:r w:rsidR="00273568">
        <w:t>These results show the ecological significance of secondary succession in sequestering carbon</w:t>
      </w:r>
      <w:r w:rsidR="000C0BAA">
        <w:t>, as has been pointed out elsewhere (REFS)</w:t>
      </w:r>
      <w:r w:rsidR="00273568">
        <w:t xml:space="preserve">. On the one hand, </w:t>
      </w:r>
      <w:r w:rsidR="006650E7">
        <w:t>forests in secondary succession store high quantities of carbon as AGB, a magnitude that, if allowed, will only increase until these forests grow to maturity or are disturbed</w:t>
      </w:r>
      <w:r w:rsidR="00254338">
        <w:t xml:space="preserve"> again</w:t>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FC6F96">
        <w:t xml:space="preserve"> (CONAFOR).</w:t>
      </w:r>
      <w:r w:rsidR="007C6D2C">
        <w:t xml:space="preserve"> </w:t>
      </w:r>
      <w:r w:rsidR="00CD5D9A">
        <w:t>Our results highlight the potential of secondary forests to store carbon in the future and their current relevance as a main component of total biomass.</w:t>
      </w:r>
    </w:p>
    <w:p w14:paraId="2024D51B" w14:textId="2BE0479D" w:rsidR="00290DAF" w:rsidRDefault="00DC23C1">
      <w:r>
        <w:tab/>
      </w:r>
      <w:r w:rsidR="009708F9">
        <w:t xml:space="preserve">The magnitude of AGB and its variation is defined </w:t>
      </w:r>
      <w:r w:rsidR="00132807">
        <w:t xml:space="preserve">mostly </w:t>
      </w:r>
      <w:r w:rsidR="009708F9">
        <w:t xml:space="preserve">by forest structural attributes. </w:t>
      </w:r>
      <w:r w:rsidR="00A45BC3">
        <w:t xml:space="preserve">Basal area, stem density, and tree height studied here 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2E45F8">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Girardin et al., 2010)","plainTextFormattedCitation":"(Asner et al., 2014; Girardin et al., 2010)","previouslyFormattedCitation":"(Asner et al., 2014; Girardin et al., 2010)"},"properties":{"noteIndex":0},"schema":"https://github.com/citation-style-language/schema/raw/master/csl-citation.json"}</w:instrText>
      </w:r>
      <w:r w:rsidR="003832FD">
        <w:fldChar w:fldCharType="separate"/>
      </w:r>
      <w:r w:rsidR="00BE34DF" w:rsidRPr="00BE34DF">
        <w:rPr>
          <w:noProof/>
        </w:rPr>
        <w:t>(Asner et al., 2014;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FD0F2F">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2021)","previouslyFormattedCitation":"(Cuni-Sanchez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different size are equally relevant </w:t>
      </w:r>
      <w:r w:rsidR="002C50B6">
        <w:t>for accounting to the total biomass of a site.</w:t>
      </w:r>
    </w:p>
    <w:p w14:paraId="6171590F" w14:textId="1FEE47A6" w:rsidR="001E26C3" w:rsidRDefault="0046467B">
      <w:r>
        <w:tab/>
      </w:r>
      <w:r w:rsidR="00282052">
        <w:t xml:space="preserve">Although a positive relationship between AGB and tree diversity has been found in tropical forests (Refs), 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(REFS).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(REFS)</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TMCF (REFS), where diversity estimated with Shannon diversity index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(REFS).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70D65EC4" w14:textId="77777777" w:rsidR="00A30BE2" w:rsidRDefault="00C626DD">
      <w:r>
        <w:tab/>
      </w:r>
      <w:r w:rsidR="003E3B7D">
        <w:t xml:space="preserve">From all factors analyzed in this </w:t>
      </w:r>
      <w:r w:rsidR="000C1511">
        <w:t>study</w:t>
      </w:r>
      <w:r w:rsidR="003E3B7D">
        <w:t xml:space="preserve">, land use and forest disturbance represented the most influential </w:t>
      </w:r>
      <w:r w:rsidR="00165770">
        <w:t>ones on</w:t>
      </w:r>
      <w:r w:rsidR="003E3B7D">
        <w:t xml:space="preserve"> AGB patterns across the region</w:t>
      </w:r>
      <w:r w:rsidR="005171A4">
        <w:t>, even overshadowing the effect of climate and topography</w:t>
      </w:r>
      <w:r w:rsidR="003E3B7D">
        <w:t xml:space="preserve">. </w:t>
      </w:r>
      <w:r w:rsidR="00075226">
        <w:t xml:space="preserve">This does not mean climate and topography have no effect on AGB as ample evidence </w:t>
      </w:r>
      <w:r w:rsidR="00E14D59">
        <w:t xml:space="preserve">suggest </w:t>
      </w:r>
      <w:r w:rsidR="00925D81">
        <w:t>they do</w:t>
      </w:r>
      <w:r w:rsidR="00075226">
        <w:t xml:space="preserve"> (Refs)</w:t>
      </w:r>
      <w:r w:rsidR="00E14D59">
        <w:t xml:space="preserve">, 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4F73F821" w14:textId="77777777" w:rsidR="003B798D" w:rsidRDefault="007C5F1E" w:rsidP="00726EF1">
      <w:pPr>
        <w:ind w:firstLine="720"/>
      </w:pPr>
      <w:r>
        <w:t xml:space="preserve">In our study area, both precipitation and temperature decrease with elevation. This environmental gradient has a significant relationship with AGB where </w:t>
      </w:r>
      <w:r>
        <w:t>AGB increases with elevation despite sites at higher elevation experience lower temperature and precipitation</w:t>
      </w:r>
      <w:r>
        <w:t xml:space="preserve">. </w:t>
      </w:r>
      <w:r>
        <w:t>This finding contradicts the general expectation of AGB declining with elevation driven by cooler temperatures (REFS). However, our results agree with Alvarez-Arteaga</w:t>
      </w:r>
      <w:r>
        <w:t xml:space="preserve"> et al.’s</w:t>
      </w:r>
      <w:r>
        <w:t xml:space="preserve"> study where the highest AGB in TMCF within the NMO was found at 2,500 m asl. Moreover,</w:t>
      </w:r>
      <w:r w:rsidRPr="00DB6AEE">
        <w:t xml:space="preserve"> </w:t>
      </w:r>
      <w:r>
        <w:t>our findings are in line with other studies conducted in XXX that show a unimodal distribution of AGB along elevation gradients (i.e., higher AGB at mid-elevation). Although we found a linear and not a unimodal pattern, it is possible that we are only covering part of this elevational pattern and that the relationship between AGB and elevation could change if we expand the altitudinal range to include sites in neighboring ecosystems at lower and higher elevations.</w:t>
      </w:r>
      <w:r w:rsidR="00A30BE2">
        <w:t xml:space="preserve"> </w:t>
      </w:r>
      <w:r w:rsidR="00A30BE2">
        <w:t xml:space="preserve">Other studies have found AGB </w:t>
      </w:r>
      <w:r w:rsidR="00A30BE2">
        <w:t xml:space="preserve">in TMCF </w:t>
      </w:r>
      <w:r w:rsidR="00A30BE2">
        <w:t>remains almost constant along elevation transects</w:t>
      </w:r>
      <w:r w:rsidR="00A30BE2">
        <w:t xml:space="preserve">, suggesting </w:t>
      </w:r>
      <w:r w:rsidR="00A30BE2">
        <w:t>week relationships between environmental variables</w:t>
      </w:r>
      <w:r w:rsidR="00A30BE2">
        <w:t xml:space="preserve"> linked to elevation</w:t>
      </w:r>
      <w:r w:rsidR="00A30BE2">
        <w:t xml:space="preserve"> and AGB (refs)</w:t>
      </w:r>
      <w:r w:rsidR="00A30BE2">
        <w:t xml:space="preserve">. This </w:t>
      </w:r>
      <w:r w:rsidR="00A30BE2">
        <w:t xml:space="preserve">has led researchers to conclude upper montane sites can hold large amounts of AGB in spite of experiencing lower temperatures and that environmental factors other than temperature may be controlling AGB patterns </w:t>
      </w:r>
      <w:r w:rsidR="00A30BE2">
        <w:fldChar w:fldCharType="begin" w:fldLock="1"/>
      </w:r>
      <w:r w:rsidR="00A30BE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2015)"},"properties":{"noteIndex":0},"schema":"https://github.com/citation-style-language/schema/raw/master/csl-citation.json"}</w:instrText>
      </w:r>
      <w:r w:rsidR="00A30BE2">
        <w:fldChar w:fldCharType="separate"/>
      </w:r>
      <w:r w:rsidR="00A30BE2" w:rsidRPr="001929FB">
        <w:rPr>
          <w:noProof/>
        </w:rPr>
        <w:t>(Clark et al., 2015)</w:t>
      </w:r>
      <w:r w:rsidR="00A30BE2">
        <w:fldChar w:fldCharType="end"/>
      </w:r>
      <w:r w:rsidR="00A30BE2">
        <w:t>.</w:t>
      </w:r>
      <w:r w:rsidR="00A30BE2">
        <w:t xml:space="preserve"> For instance, f</w:t>
      </w:r>
      <w:r w:rsidR="00A30BE2">
        <w:t>actors such as soil nutrients, seasonality, microclimate, and</w:t>
      </w:r>
      <w:r w:rsidR="00D37F16">
        <w:t xml:space="preserve"> topography</w:t>
      </w:r>
      <w:r w:rsidR="00A30BE2">
        <w:t xml:space="preserve"> may be more influential than mean annual temperature and precipitation (refs).</w:t>
      </w:r>
    </w:p>
    <w:p w14:paraId="3B11057A" w14:textId="610DA7C1" w:rsidR="00726EF1" w:rsidRDefault="00C8473D" w:rsidP="00726EF1">
      <w:pPr>
        <w:ind w:firstLine="720"/>
      </w:pPr>
      <w:r>
        <w:t xml:space="preserve">Here, we found slope is a relevant factor in shaping AGB patterns in TMCF. </w:t>
      </w:r>
      <w:r w:rsidR="00A26B66">
        <w:t>Slope steepness influences soil erosion</w:t>
      </w:r>
      <w:r w:rsidR="0072383A">
        <w:t xml:space="preserve">, </w:t>
      </w:r>
      <w:r w:rsidR="00A26B66">
        <w:t>nutrients distribution and leaching</w:t>
      </w:r>
      <w:r w:rsidR="0072383A">
        <w:t>,</w:t>
      </w:r>
      <w:r w:rsidR="00A26B66">
        <w:t xml:space="preserve"> affecting in turn</w:t>
      </w:r>
      <w:r w:rsidR="004657D7">
        <w:t xml:space="preserve"> </w:t>
      </w:r>
      <w:r w:rsidR="00991936">
        <w:t xml:space="preserve">tree growth and </w:t>
      </w:r>
      <w:r w:rsidR="004657D7">
        <w:t>biomass accumulation</w:t>
      </w:r>
      <w:r w:rsidR="00A26B66">
        <w:t xml:space="preserve"> (refs, Marshall 2012). </w:t>
      </w:r>
      <w:r w:rsidR="00726EF1">
        <w:t>Slope has been found to be relevant for driving AGB patterns in X and X (refs), although i</w:t>
      </w:r>
      <w:r w:rsidR="000D75B0">
        <w:t xml:space="preserve">n African TMCF </w:t>
      </w:r>
      <w:proofErr w:type="spellStart"/>
      <w:r w:rsidR="000D75B0">
        <w:t>Cuni</w:t>
      </w:r>
      <w:proofErr w:type="spellEnd"/>
      <w:r w:rsidR="000D75B0">
        <w:t xml:space="preserve">-Sanchez et al (year) found topographic position index and soil fertility to be stronger drivers than slope steepness. These results suggest the role of soil and topography in driving AGB patterns deserves more attention. </w:t>
      </w:r>
      <w:r w:rsidR="00726EF1">
        <w:t>Future work</w:t>
      </w:r>
      <w:r w:rsidR="001A363C">
        <w:t xml:space="preserve"> dedicated to exploring</w:t>
      </w:r>
      <w:r w:rsidR="001A363C">
        <w:t xml:space="preserve"> environmental drivers of AGB</w:t>
      </w:r>
      <w:r w:rsidR="00726EF1">
        <w:t xml:space="preserve"> </w:t>
      </w:r>
      <w:r w:rsidR="001A363C">
        <w:t xml:space="preserve">in tropical mountains </w:t>
      </w:r>
      <w:r w:rsidR="00726EF1">
        <w:t xml:space="preserve">should include more variables, especially those related to soil fertility and topography, and a larger elevation transect. </w:t>
      </w:r>
    </w:p>
    <w:p w14:paraId="334CB4D0" w14:textId="77777777" w:rsidR="00D61BC3" w:rsidRDefault="006E2780" w:rsidP="00201ED0">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 xml:space="preserve">or shift the effect of environmental factors </w:t>
      </w:r>
      <w:r w:rsidR="00726EF1">
        <w:t>(</w:t>
      </w:r>
      <w:r w:rsidR="00D2483A">
        <w:t xml:space="preserve">refs – </w:t>
      </w:r>
      <w:proofErr w:type="spellStart"/>
      <w:r w:rsidR="00D2483A">
        <w:t>marshall</w:t>
      </w:r>
      <w:proofErr w:type="spellEnd"/>
      <w:r w:rsidR="00D2483A">
        <w:t xml:space="preserve"> 2012, de la Cruz-Amo 2020, </w:t>
      </w:r>
      <w:proofErr w:type="spellStart"/>
      <w:r w:rsidR="00D2483A">
        <w:t>waide</w:t>
      </w:r>
      <w:proofErr w:type="spellEnd"/>
      <w:r w:rsidR="00D2483A">
        <w:t xml:space="preserve"> 1998?</w:t>
      </w:r>
      <w:r w:rsidR="00726EF1">
        <w:t xml:space="preserve">). </w:t>
      </w:r>
      <w:r w:rsidR="00E41290">
        <w:t>In our study, land use seems to reinforce the effect of the environmental gradient</w:t>
      </w:r>
      <w:r w:rsidR="00D22B19">
        <w:t xml:space="preserve"> because sites experiencing stronger land-use intensity are located at lower elevations. </w:t>
      </w:r>
      <w:r w:rsidR="003D25C2">
        <w:t xml:space="preserve">The effect of forest disturbance and land use on </w:t>
      </w:r>
      <w:r w:rsidR="00292F5A">
        <w:t xml:space="preserve">carbon stocks in general, and AGB in particular, has been studied for a long time (refs) but mainly at local scales, where AGB is measured in </w:t>
      </w:r>
      <w:proofErr w:type="spellStart"/>
      <w:r w:rsidR="00292F5A">
        <w:t>chronosequences</w:t>
      </w:r>
      <w:proofErr w:type="spellEnd"/>
      <w:r w:rsidR="00292F5A">
        <w:t xml:space="preserve"> after disturbance or along land-use intensity gradients (refs). </w:t>
      </w:r>
      <w:r w:rsidR="006F2E29">
        <w:t xml:space="preserve">Fewer studies, however, have delved into land use effects on AGB distribution in tropical mountains across scales (refs). </w:t>
      </w:r>
      <w:r w:rsidR="00201ED0">
        <w:t>In TMCF within the NMO AGB varies significantly due to land use and forest disturbance at small spatial scales. In fact, it</w:t>
      </w:r>
      <w:r w:rsidR="00201ED0">
        <w:t xml:space="preserve"> is possible to find forests at different successional stages in which </w:t>
      </w:r>
      <w:r w:rsidR="00085A60">
        <w:t xml:space="preserve">average </w:t>
      </w:r>
      <w:r w:rsidR="00201ED0">
        <w:t>AGB ranges from as low as 33 to as high as 354</w:t>
      </w:r>
      <w:r w:rsidR="00201ED0" w:rsidRPr="00FD4D33">
        <w:t xml:space="preserve"> </w:t>
      </w:r>
      <w:r w:rsidR="00201ED0">
        <w:t>Mg ha</w:t>
      </w:r>
      <w:r w:rsidR="00201ED0" w:rsidRPr="00FD4D33">
        <w:rPr>
          <w:vertAlign w:val="superscript"/>
        </w:rPr>
        <w:t>-1</w:t>
      </w:r>
      <w:r w:rsidR="00201ED0" w:rsidRPr="00B14B4F">
        <w:t xml:space="preserve"> </w:t>
      </w:r>
      <w:r w:rsidR="00201ED0">
        <w:t>within one-hectare landscapes.</w:t>
      </w:r>
      <w:r w:rsidR="00201ED0">
        <w:t xml:space="preserve"> </w:t>
      </w:r>
      <w:r w:rsidR="00292F5A">
        <w:t>Surprisingly, the influence of land use in these forests is not constrained to the landscape level but it shapes AGB patterns across the region.</w:t>
      </w:r>
      <w:r w:rsidR="00085A60">
        <w:t xml:space="preserve"> These results highlight the need to better understand land use across scales. </w:t>
      </w:r>
    </w:p>
    <w:p w14:paraId="1658FF09" w14:textId="6467D4F2"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 xml:space="preserve">this knowledge could broaden the understanding </w:t>
      </w:r>
      <w:r w:rsidR="00F20CD5">
        <w:t>of the current state and future potential of these landscapes to store carbon</w:t>
      </w:r>
      <w:r w:rsidR="00F20CD5">
        <w:t xml:space="preserve">, which </w:t>
      </w:r>
      <w:r w:rsidR="00BF1347">
        <w:t xml:space="preserve">under the current climate crisis </w:t>
      </w:r>
      <w:r w:rsidR="00F20CD5">
        <w:t>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0B1B4566" w14:textId="128CFE1E"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23E90D24"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A45BC3">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w:instrText>
      </w:r>
      <w:r w:rsidR="00A45BC3" w:rsidRPr="009857AB">
        <w:rPr>
          <w:rFonts w:ascii="Times New Roman" w:hAnsi="Times New Roman" w:cs="Times New Roman"/>
          <w:sz w:val="24"/>
          <w:szCs w:val="24"/>
          <w:lang w:val="es-MX"/>
        </w:rPr>
        <w:instrText>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et al., 2013; Cartus et al., 2014; Leija-Loredo et al., 2018; Murray-Tortarolo et al., 2016; Rodríguez, Jiménez, Aguirre, &amp; Treviño, 2006)","plainTextFormattedCitation":"(Acosta, Vargas, Velázquez, &amp; Etchevers-Barra, 2002; Álvarez-Arteaga et al., 2013; Cartus et al., 2014; Leija-Loredo et al., 2018; Murray-Tortarolo et al., 2016; Rodríguez, Jiménez, Aguirre, &amp; Treviño, 2006)","previouslyFormattedCitation":"(Acosta, Vargas, Velázquez, &amp; Etchevers-Barra, 2002; Álvarez-Arteaga et al., 2013; Cartus et al., 2014; Leija-Loredo et al.,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A319F7" w:rsidRPr="00A319F7">
        <w:rPr>
          <w:rFonts w:ascii="Times New Roman" w:hAnsi="Times New Roman" w:cs="Times New Roman"/>
          <w:noProof/>
          <w:sz w:val="24"/>
          <w:szCs w:val="24"/>
          <w:lang w:val="es-MX"/>
        </w:rPr>
        <w:t>(Acosta, Vargas, Velázquez, &amp; Etchevers-Barra, 2002; Álvarez-Arteaga et al., 2013; Cartus et al., 2014; Leija-Loredo et al.,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7A48719"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616F07F6" w14:textId="133F67DA" w:rsidR="00CC2AF6" w:rsidRDefault="00CC2AF6">
      <w:pPr>
        <w:rPr>
          <w:b/>
          <w:bCs/>
        </w:rPr>
      </w:pPr>
      <w:r w:rsidRPr="00CC2AF6">
        <w:rPr>
          <w:b/>
          <w:bCs/>
        </w:rPr>
        <w:t>Conclusions</w:t>
      </w:r>
    </w:p>
    <w:p w14:paraId="0B09C83E" w14:textId="77777777" w:rsidR="00E05622" w:rsidRDefault="005E10A6">
      <w:r>
        <w:t>TMCF in the NMO hold large amounts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60D8AA24"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xml:space="preserve">. Analyzing other environmental factors (e.g. soil nutrients) and studying a larger elevation gradient that includes other types of ecosystems could shed more light on the role of the environment in shaping AGB patterns.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This means that studying the effect of land use across scales is fundamental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5F7616">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5F7616">
        <w:tc>
          <w:tcPr>
            <w:tcW w:w="8828" w:type="dxa"/>
          </w:tcPr>
          <w:p w14:paraId="75B4674F" w14:textId="3AEC6CC6" w:rsidR="008C5FE4" w:rsidRDefault="008C5FE4" w:rsidP="005F7616">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684125"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r>
              <w:t>class</w:t>
            </w:r>
            <w:r w:rsidR="004058D8">
              <w:t>:</w:t>
            </w:r>
            <w:r>
              <w:t>Successional</w:t>
            </w:r>
            <w:proofErr w:type="spell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r>
              <w:t>class</w:t>
            </w:r>
            <w:r w:rsidR="004058D8">
              <w:t>:</w:t>
            </w:r>
            <w:r>
              <w:t>Successional</w:t>
            </w:r>
            <w:proofErr w:type="spell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5956"/>
    <w:rsid w:val="000A7556"/>
    <w:rsid w:val="000B07DA"/>
    <w:rsid w:val="000B0B45"/>
    <w:rsid w:val="000B0DD6"/>
    <w:rsid w:val="000B34BF"/>
    <w:rsid w:val="000B43D1"/>
    <w:rsid w:val="000B54CC"/>
    <w:rsid w:val="000C0BAA"/>
    <w:rsid w:val="000C1511"/>
    <w:rsid w:val="000C1737"/>
    <w:rsid w:val="000C28C9"/>
    <w:rsid w:val="000C44DC"/>
    <w:rsid w:val="000C5F30"/>
    <w:rsid w:val="000D0B87"/>
    <w:rsid w:val="000D1E55"/>
    <w:rsid w:val="000D236A"/>
    <w:rsid w:val="000D36D1"/>
    <w:rsid w:val="000D64AC"/>
    <w:rsid w:val="000D75B0"/>
    <w:rsid w:val="000D762C"/>
    <w:rsid w:val="000E22F5"/>
    <w:rsid w:val="000E6858"/>
    <w:rsid w:val="000E7711"/>
    <w:rsid w:val="000F133A"/>
    <w:rsid w:val="000F133D"/>
    <w:rsid w:val="000F14DD"/>
    <w:rsid w:val="000F17F7"/>
    <w:rsid w:val="000F3FCA"/>
    <w:rsid w:val="000F5D6C"/>
    <w:rsid w:val="000F7D41"/>
    <w:rsid w:val="000F7DED"/>
    <w:rsid w:val="001033D1"/>
    <w:rsid w:val="001045B7"/>
    <w:rsid w:val="001046F5"/>
    <w:rsid w:val="00105230"/>
    <w:rsid w:val="001148E6"/>
    <w:rsid w:val="001157C5"/>
    <w:rsid w:val="001202BC"/>
    <w:rsid w:val="00121329"/>
    <w:rsid w:val="001226EF"/>
    <w:rsid w:val="00123C70"/>
    <w:rsid w:val="001255A6"/>
    <w:rsid w:val="001267D5"/>
    <w:rsid w:val="00130AE9"/>
    <w:rsid w:val="00131800"/>
    <w:rsid w:val="00132807"/>
    <w:rsid w:val="00134917"/>
    <w:rsid w:val="00137628"/>
    <w:rsid w:val="00137C90"/>
    <w:rsid w:val="001424A3"/>
    <w:rsid w:val="00143A5C"/>
    <w:rsid w:val="00143E95"/>
    <w:rsid w:val="00146C9B"/>
    <w:rsid w:val="00147903"/>
    <w:rsid w:val="0015006C"/>
    <w:rsid w:val="0015163A"/>
    <w:rsid w:val="00152618"/>
    <w:rsid w:val="00153894"/>
    <w:rsid w:val="00153CE5"/>
    <w:rsid w:val="00154A9F"/>
    <w:rsid w:val="001565EA"/>
    <w:rsid w:val="0016428E"/>
    <w:rsid w:val="00165770"/>
    <w:rsid w:val="00165B7E"/>
    <w:rsid w:val="0016647D"/>
    <w:rsid w:val="00170871"/>
    <w:rsid w:val="00170AEC"/>
    <w:rsid w:val="001715F4"/>
    <w:rsid w:val="001731D6"/>
    <w:rsid w:val="00180313"/>
    <w:rsid w:val="001860BC"/>
    <w:rsid w:val="001871AF"/>
    <w:rsid w:val="001872F6"/>
    <w:rsid w:val="001927E4"/>
    <w:rsid w:val="001929FB"/>
    <w:rsid w:val="00196FA7"/>
    <w:rsid w:val="00197BF3"/>
    <w:rsid w:val="001A297B"/>
    <w:rsid w:val="001A363C"/>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26C3"/>
    <w:rsid w:val="001E48BE"/>
    <w:rsid w:val="001F1ECC"/>
    <w:rsid w:val="001F2367"/>
    <w:rsid w:val="001F241B"/>
    <w:rsid w:val="001F34D1"/>
    <w:rsid w:val="001F4B95"/>
    <w:rsid w:val="00201ED0"/>
    <w:rsid w:val="00202681"/>
    <w:rsid w:val="00206844"/>
    <w:rsid w:val="002115D0"/>
    <w:rsid w:val="00212030"/>
    <w:rsid w:val="00220CB3"/>
    <w:rsid w:val="0022137E"/>
    <w:rsid w:val="00224730"/>
    <w:rsid w:val="0022570E"/>
    <w:rsid w:val="00230C7A"/>
    <w:rsid w:val="002325DA"/>
    <w:rsid w:val="00233CD4"/>
    <w:rsid w:val="002353C5"/>
    <w:rsid w:val="00243235"/>
    <w:rsid w:val="00246A0B"/>
    <w:rsid w:val="002502A4"/>
    <w:rsid w:val="0025062E"/>
    <w:rsid w:val="00253666"/>
    <w:rsid w:val="0025367A"/>
    <w:rsid w:val="00254338"/>
    <w:rsid w:val="00256CDE"/>
    <w:rsid w:val="0026099C"/>
    <w:rsid w:val="002621A4"/>
    <w:rsid w:val="002647BE"/>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5E64"/>
    <w:rsid w:val="00310407"/>
    <w:rsid w:val="00311201"/>
    <w:rsid w:val="003172A5"/>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72CB"/>
    <w:rsid w:val="0037736E"/>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139F"/>
    <w:rsid w:val="003B27E7"/>
    <w:rsid w:val="003B2C33"/>
    <w:rsid w:val="003B30D6"/>
    <w:rsid w:val="003B3E22"/>
    <w:rsid w:val="003B798D"/>
    <w:rsid w:val="003C023A"/>
    <w:rsid w:val="003C0426"/>
    <w:rsid w:val="003C10D7"/>
    <w:rsid w:val="003C1EFA"/>
    <w:rsid w:val="003C24F5"/>
    <w:rsid w:val="003C65DB"/>
    <w:rsid w:val="003C761F"/>
    <w:rsid w:val="003D0ED2"/>
    <w:rsid w:val="003D1D2D"/>
    <w:rsid w:val="003D2208"/>
    <w:rsid w:val="003D25C2"/>
    <w:rsid w:val="003D324A"/>
    <w:rsid w:val="003D4556"/>
    <w:rsid w:val="003D53A5"/>
    <w:rsid w:val="003D5A98"/>
    <w:rsid w:val="003E046E"/>
    <w:rsid w:val="003E1C8A"/>
    <w:rsid w:val="003E3B7D"/>
    <w:rsid w:val="003E41BA"/>
    <w:rsid w:val="003E71B7"/>
    <w:rsid w:val="003F025A"/>
    <w:rsid w:val="003F0A35"/>
    <w:rsid w:val="003F58FD"/>
    <w:rsid w:val="003F7D3F"/>
    <w:rsid w:val="00400137"/>
    <w:rsid w:val="0040309B"/>
    <w:rsid w:val="004058D8"/>
    <w:rsid w:val="00405B4A"/>
    <w:rsid w:val="00407773"/>
    <w:rsid w:val="004133CA"/>
    <w:rsid w:val="00413A53"/>
    <w:rsid w:val="004158C1"/>
    <w:rsid w:val="00415A47"/>
    <w:rsid w:val="004171D1"/>
    <w:rsid w:val="004243B7"/>
    <w:rsid w:val="0042465F"/>
    <w:rsid w:val="004268ED"/>
    <w:rsid w:val="00431E81"/>
    <w:rsid w:val="00432312"/>
    <w:rsid w:val="004351AC"/>
    <w:rsid w:val="00436AE9"/>
    <w:rsid w:val="00437350"/>
    <w:rsid w:val="00443F76"/>
    <w:rsid w:val="004522E7"/>
    <w:rsid w:val="004539CA"/>
    <w:rsid w:val="0045599D"/>
    <w:rsid w:val="00455ACB"/>
    <w:rsid w:val="00461FED"/>
    <w:rsid w:val="00462827"/>
    <w:rsid w:val="004628C2"/>
    <w:rsid w:val="0046467B"/>
    <w:rsid w:val="0046496D"/>
    <w:rsid w:val="004657D7"/>
    <w:rsid w:val="004664C4"/>
    <w:rsid w:val="004677AF"/>
    <w:rsid w:val="00467A11"/>
    <w:rsid w:val="00467A84"/>
    <w:rsid w:val="00472738"/>
    <w:rsid w:val="004742D0"/>
    <w:rsid w:val="0047648D"/>
    <w:rsid w:val="00477AD7"/>
    <w:rsid w:val="004802E9"/>
    <w:rsid w:val="00482C2A"/>
    <w:rsid w:val="00482E66"/>
    <w:rsid w:val="004835AE"/>
    <w:rsid w:val="004836F4"/>
    <w:rsid w:val="0048488E"/>
    <w:rsid w:val="0048621B"/>
    <w:rsid w:val="00486A20"/>
    <w:rsid w:val="00491AA6"/>
    <w:rsid w:val="004921C3"/>
    <w:rsid w:val="004932E4"/>
    <w:rsid w:val="00497C02"/>
    <w:rsid w:val="004A0033"/>
    <w:rsid w:val="004A19D6"/>
    <w:rsid w:val="004A3352"/>
    <w:rsid w:val="004A392D"/>
    <w:rsid w:val="004A4121"/>
    <w:rsid w:val="004A54D5"/>
    <w:rsid w:val="004A6FE9"/>
    <w:rsid w:val="004B0778"/>
    <w:rsid w:val="004B1AB9"/>
    <w:rsid w:val="004C4A01"/>
    <w:rsid w:val="004C4DB4"/>
    <w:rsid w:val="004C6BA6"/>
    <w:rsid w:val="004C7757"/>
    <w:rsid w:val="004D2629"/>
    <w:rsid w:val="004D3D5D"/>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7479"/>
    <w:rsid w:val="005D7C12"/>
    <w:rsid w:val="005E10A6"/>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564B"/>
    <w:rsid w:val="00625F72"/>
    <w:rsid w:val="00625FFB"/>
    <w:rsid w:val="0062717D"/>
    <w:rsid w:val="00627EE0"/>
    <w:rsid w:val="006311B7"/>
    <w:rsid w:val="006318AA"/>
    <w:rsid w:val="00633651"/>
    <w:rsid w:val="00645C2E"/>
    <w:rsid w:val="006460FA"/>
    <w:rsid w:val="00650618"/>
    <w:rsid w:val="00650B6A"/>
    <w:rsid w:val="00651389"/>
    <w:rsid w:val="00652431"/>
    <w:rsid w:val="006554A1"/>
    <w:rsid w:val="00662CC6"/>
    <w:rsid w:val="00663BB3"/>
    <w:rsid w:val="006650E7"/>
    <w:rsid w:val="006660A7"/>
    <w:rsid w:val="006669C3"/>
    <w:rsid w:val="00666CEE"/>
    <w:rsid w:val="00671C80"/>
    <w:rsid w:val="00675792"/>
    <w:rsid w:val="006802C9"/>
    <w:rsid w:val="006803A8"/>
    <w:rsid w:val="00680A64"/>
    <w:rsid w:val="00683A74"/>
    <w:rsid w:val="00684125"/>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2780"/>
    <w:rsid w:val="006E3054"/>
    <w:rsid w:val="006E5D26"/>
    <w:rsid w:val="006E6EFF"/>
    <w:rsid w:val="006E78A9"/>
    <w:rsid w:val="006F0BD5"/>
    <w:rsid w:val="006F2E29"/>
    <w:rsid w:val="006F3767"/>
    <w:rsid w:val="006F515E"/>
    <w:rsid w:val="006F746E"/>
    <w:rsid w:val="00701833"/>
    <w:rsid w:val="007031A0"/>
    <w:rsid w:val="00703F2A"/>
    <w:rsid w:val="0070419E"/>
    <w:rsid w:val="007066EF"/>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EF5"/>
    <w:rsid w:val="007305F7"/>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7AF4"/>
    <w:rsid w:val="00760876"/>
    <w:rsid w:val="00765518"/>
    <w:rsid w:val="007671BD"/>
    <w:rsid w:val="007674A7"/>
    <w:rsid w:val="0077145A"/>
    <w:rsid w:val="007723EC"/>
    <w:rsid w:val="00773C54"/>
    <w:rsid w:val="00773CF9"/>
    <w:rsid w:val="00773E23"/>
    <w:rsid w:val="00775F4C"/>
    <w:rsid w:val="00776910"/>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A053A"/>
    <w:rsid w:val="007A10E8"/>
    <w:rsid w:val="007A3621"/>
    <w:rsid w:val="007A5282"/>
    <w:rsid w:val="007B1347"/>
    <w:rsid w:val="007B1F6B"/>
    <w:rsid w:val="007B22AF"/>
    <w:rsid w:val="007B410E"/>
    <w:rsid w:val="007B65B8"/>
    <w:rsid w:val="007B7A5F"/>
    <w:rsid w:val="007C2AB6"/>
    <w:rsid w:val="007C4746"/>
    <w:rsid w:val="007C5F1E"/>
    <w:rsid w:val="007C6D2C"/>
    <w:rsid w:val="007D1572"/>
    <w:rsid w:val="007D1DEA"/>
    <w:rsid w:val="007D38D3"/>
    <w:rsid w:val="007D3E16"/>
    <w:rsid w:val="007D4B3A"/>
    <w:rsid w:val="007E5FEF"/>
    <w:rsid w:val="007E612A"/>
    <w:rsid w:val="00800F5C"/>
    <w:rsid w:val="008013B1"/>
    <w:rsid w:val="00802976"/>
    <w:rsid w:val="008054DD"/>
    <w:rsid w:val="00806B15"/>
    <w:rsid w:val="00810593"/>
    <w:rsid w:val="0081260F"/>
    <w:rsid w:val="00813382"/>
    <w:rsid w:val="0081686B"/>
    <w:rsid w:val="00824370"/>
    <w:rsid w:val="0082514E"/>
    <w:rsid w:val="008263D7"/>
    <w:rsid w:val="00826EC2"/>
    <w:rsid w:val="00826EDC"/>
    <w:rsid w:val="0083205D"/>
    <w:rsid w:val="008330B5"/>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46C9"/>
    <w:rsid w:val="008659A4"/>
    <w:rsid w:val="0086717B"/>
    <w:rsid w:val="0086797F"/>
    <w:rsid w:val="008705F5"/>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0E52"/>
    <w:rsid w:val="008C1108"/>
    <w:rsid w:val="008C23EE"/>
    <w:rsid w:val="008C3E88"/>
    <w:rsid w:val="008C58D6"/>
    <w:rsid w:val="008C5F9E"/>
    <w:rsid w:val="008C5FE4"/>
    <w:rsid w:val="008C7903"/>
    <w:rsid w:val="008D0468"/>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2771"/>
    <w:rsid w:val="009534EB"/>
    <w:rsid w:val="00955A45"/>
    <w:rsid w:val="00956958"/>
    <w:rsid w:val="00961FAF"/>
    <w:rsid w:val="00966414"/>
    <w:rsid w:val="00966AD4"/>
    <w:rsid w:val="0096756D"/>
    <w:rsid w:val="009708F9"/>
    <w:rsid w:val="00970CE5"/>
    <w:rsid w:val="0097178B"/>
    <w:rsid w:val="009726A9"/>
    <w:rsid w:val="00973350"/>
    <w:rsid w:val="00974B15"/>
    <w:rsid w:val="009756D3"/>
    <w:rsid w:val="009761E9"/>
    <w:rsid w:val="0097697B"/>
    <w:rsid w:val="009770A2"/>
    <w:rsid w:val="009807DE"/>
    <w:rsid w:val="009847A8"/>
    <w:rsid w:val="009853A5"/>
    <w:rsid w:val="009857AB"/>
    <w:rsid w:val="00986261"/>
    <w:rsid w:val="00990D49"/>
    <w:rsid w:val="00991936"/>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D08C1"/>
    <w:rsid w:val="009D14DA"/>
    <w:rsid w:val="009D24CD"/>
    <w:rsid w:val="009D34BC"/>
    <w:rsid w:val="009D40B6"/>
    <w:rsid w:val="009D4270"/>
    <w:rsid w:val="009E0F27"/>
    <w:rsid w:val="009E6F59"/>
    <w:rsid w:val="009F1B09"/>
    <w:rsid w:val="009F2458"/>
    <w:rsid w:val="009F24A2"/>
    <w:rsid w:val="009F4798"/>
    <w:rsid w:val="009F70BB"/>
    <w:rsid w:val="00A05D4C"/>
    <w:rsid w:val="00A065AE"/>
    <w:rsid w:val="00A074C1"/>
    <w:rsid w:val="00A1204D"/>
    <w:rsid w:val="00A1338D"/>
    <w:rsid w:val="00A13BB3"/>
    <w:rsid w:val="00A17444"/>
    <w:rsid w:val="00A20E6C"/>
    <w:rsid w:val="00A22A11"/>
    <w:rsid w:val="00A23F07"/>
    <w:rsid w:val="00A257D3"/>
    <w:rsid w:val="00A26B48"/>
    <w:rsid w:val="00A26B66"/>
    <w:rsid w:val="00A273CB"/>
    <w:rsid w:val="00A30BE2"/>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5DD8"/>
    <w:rsid w:val="00A9097A"/>
    <w:rsid w:val="00A90C28"/>
    <w:rsid w:val="00A9106E"/>
    <w:rsid w:val="00A9187E"/>
    <w:rsid w:val="00A930E0"/>
    <w:rsid w:val="00A94203"/>
    <w:rsid w:val="00A95160"/>
    <w:rsid w:val="00A964E1"/>
    <w:rsid w:val="00A97BF9"/>
    <w:rsid w:val="00AA2B44"/>
    <w:rsid w:val="00AA6C78"/>
    <w:rsid w:val="00AA77E2"/>
    <w:rsid w:val="00AB4B35"/>
    <w:rsid w:val="00AB4CBF"/>
    <w:rsid w:val="00AB5FB4"/>
    <w:rsid w:val="00AB6841"/>
    <w:rsid w:val="00AB6DD6"/>
    <w:rsid w:val="00AB7073"/>
    <w:rsid w:val="00AB7D92"/>
    <w:rsid w:val="00AC03C9"/>
    <w:rsid w:val="00AC34F0"/>
    <w:rsid w:val="00AC5525"/>
    <w:rsid w:val="00AD0F17"/>
    <w:rsid w:val="00AD1844"/>
    <w:rsid w:val="00AD1D6E"/>
    <w:rsid w:val="00AD2275"/>
    <w:rsid w:val="00AD2B7D"/>
    <w:rsid w:val="00AD5E23"/>
    <w:rsid w:val="00AD65E2"/>
    <w:rsid w:val="00AD6677"/>
    <w:rsid w:val="00AD7B6D"/>
    <w:rsid w:val="00AE349C"/>
    <w:rsid w:val="00AE3C93"/>
    <w:rsid w:val="00AE5137"/>
    <w:rsid w:val="00AE59CA"/>
    <w:rsid w:val="00AE6B95"/>
    <w:rsid w:val="00AE7B70"/>
    <w:rsid w:val="00AF2DD0"/>
    <w:rsid w:val="00AF5226"/>
    <w:rsid w:val="00AF5B8C"/>
    <w:rsid w:val="00AF5C8E"/>
    <w:rsid w:val="00B00F5D"/>
    <w:rsid w:val="00B01785"/>
    <w:rsid w:val="00B03BDF"/>
    <w:rsid w:val="00B0639A"/>
    <w:rsid w:val="00B07AE2"/>
    <w:rsid w:val="00B13634"/>
    <w:rsid w:val="00B14A03"/>
    <w:rsid w:val="00B14B4F"/>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0C95"/>
    <w:rsid w:val="00B47729"/>
    <w:rsid w:val="00B51B36"/>
    <w:rsid w:val="00B53E7F"/>
    <w:rsid w:val="00B54D88"/>
    <w:rsid w:val="00B54EE7"/>
    <w:rsid w:val="00B55C91"/>
    <w:rsid w:val="00B5719B"/>
    <w:rsid w:val="00B6180A"/>
    <w:rsid w:val="00B62CB2"/>
    <w:rsid w:val="00B65E6C"/>
    <w:rsid w:val="00B66E71"/>
    <w:rsid w:val="00B712EF"/>
    <w:rsid w:val="00B72679"/>
    <w:rsid w:val="00B76ADA"/>
    <w:rsid w:val="00B81BAE"/>
    <w:rsid w:val="00B81E94"/>
    <w:rsid w:val="00B83AC4"/>
    <w:rsid w:val="00B903B0"/>
    <w:rsid w:val="00B9368B"/>
    <w:rsid w:val="00B979E9"/>
    <w:rsid w:val="00BA2CCE"/>
    <w:rsid w:val="00BA3C3F"/>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5DE3"/>
    <w:rsid w:val="00BE6A18"/>
    <w:rsid w:val="00BE7D15"/>
    <w:rsid w:val="00BF1347"/>
    <w:rsid w:val="00BF4C30"/>
    <w:rsid w:val="00BF5C0C"/>
    <w:rsid w:val="00BF6C53"/>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4E28"/>
    <w:rsid w:val="00C3754D"/>
    <w:rsid w:val="00C43914"/>
    <w:rsid w:val="00C43B0D"/>
    <w:rsid w:val="00C448C4"/>
    <w:rsid w:val="00C4547E"/>
    <w:rsid w:val="00C45B5D"/>
    <w:rsid w:val="00C53A9A"/>
    <w:rsid w:val="00C5612F"/>
    <w:rsid w:val="00C5621A"/>
    <w:rsid w:val="00C61CDB"/>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0227"/>
    <w:rsid w:val="00CC172B"/>
    <w:rsid w:val="00CC2AF6"/>
    <w:rsid w:val="00CC46F1"/>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E20"/>
    <w:rsid w:val="00D53E11"/>
    <w:rsid w:val="00D54FC2"/>
    <w:rsid w:val="00D567E8"/>
    <w:rsid w:val="00D61217"/>
    <w:rsid w:val="00D61BC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B6AEE"/>
    <w:rsid w:val="00DC1F00"/>
    <w:rsid w:val="00DC23C1"/>
    <w:rsid w:val="00DC69AF"/>
    <w:rsid w:val="00DD0A7B"/>
    <w:rsid w:val="00DD2385"/>
    <w:rsid w:val="00DD389F"/>
    <w:rsid w:val="00DE3089"/>
    <w:rsid w:val="00DE3370"/>
    <w:rsid w:val="00DE6399"/>
    <w:rsid w:val="00DF2185"/>
    <w:rsid w:val="00DF2308"/>
    <w:rsid w:val="00DF2D08"/>
    <w:rsid w:val="00DF2DCF"/>
    <w:rsid w:val="00DF309C"/>
    <w:rsid w:val="00DF447D"/>
    <w:rsid w:val="00DF4556"/>
    <w:rsid w:val="00DF64B9"/>
    <w:rsid w:val="00DF6A23"/>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1290"/>
    <w:rsid w:val="00E422E7"/>
    <w:rsid w:val="00E429AD"/>
    <w:rsid w:val="00E4509E"/>
    <w:rsid w:val="00E462DB"/>
    <w:rsid w:val="00E51C05"/>
    <w:rsid w:val="00E543A4"/>
    <w:rsid w:val="00E547BC"/>
    <w:rsid w:val="00E60A5D"/>
    <w:rsid w:val="00E60D84"/>
    <w:rsid w:val="00E6281A"/>
    <w:rsid w:val="00E63D10"/>
    <w:rsid w:val="00E7268A"/>
    <w:rsid w:val="00E72CF0"/>
    <w:rsid w:val="00E736FE"/>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890"/>
    <w:rsid w:val="00EA5B92"/>
    <w:rsid w:val="00EB1185"/>
    <w:rsid w:val="00EB5280"/>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05F96"/>
    <w:rsid w:val="00F132E4"/>
    <w:rsid w:val="00F20CD5"/>
    <w:rsid w:val="00F20EB7"/>
    <w:rsid w:val="00F21002"/>
    <w:rsid w:val="00F2120F"/>
    <w:rsid w:val="00F2533A"/>
    <w:rsid w:val="00F30F93"/>
    <w:rsid w:val="00F310E8"/>
    <w:rsid w:val="00F3112C"/>
    <w:rsid w:val="00F324E7"/>
    <w:rsid w:val="00F32C3D"/>
    <w:rsid w:val="00F32EDD"/>
    <w:rsid w:val="00F334ED"/>
    <w:rsid w:val="00F351C6"/>
    <w:rsid w:val="00F35DBB"/>
    <w:rsid w:val="00F3719E"/>
    <w:rsid w:val="00F40B08"/>
    <w:rsid w:val="00F41276"/>
    <w:rsid w:val="00F4260E"/>
    <w:rsid w:val="00F426CB"/>
    <w:rsid w:val="00F426E5"/>
    <w:rsid w:val="00F43046"/>
    <w:rsid w:val="00F433B7"/>
    <w:rsid w:val="00F43A93"/>
    <w:rsid w:val="00F4471C"/>
    <w:rsid w:val="00F452E1"/>
    <w:rsid w:val="00F46522"/>
    <w:rsid w:val="00F46FDD"/>
    <w:rsid w:val="00F50725"/>
    <w:rsid w:val="00F51417"/>
    <w:rsid w:val="00F526A5"/>
    <w:rsid w:val="00F5403C"/>
    <w:rsid w:val="00F540CF"/>
    <w:rsid w:val="00F56ECE"/>
    <w:rsid w:val="00F613CF"/>
    <w:rsid w:val="00F61F99"/>
    <w:rsid w:val="00F65744"/>
    <w:rsid w:val="00F66BB2"/>
    <w:rsid w:val="00F70EE6"/>
    <w:rsid w:val="00F7161F"/>
    <w:rsid w:val="00F7236D"/>
    <w:rsid w:val="00F73583"/>
    <w:rsid w:val="00F74137"/>
    <w:rsid w:val="00F75EBD"/>
    <w:rsid w:val="00F8549D"/>
    <w:rsid w:val="00F867AB"/>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DCB"/>
    <w:rsid w:val="00FC6F96"/>
    <w:rsid w:val="00FD0436"/>
    <w:rsid w:val="00FD0B3D"/>
    <w:rsid w:val="00FD0D17"/>
    <w:rsid w:val="00FD0F2F"/>
    <w:rsid w:val="00FD2B17"/>
    <w:rsid w:val="00FD393C"/>
    <w:rsid w:val="00FD4D33"/>
    <w:rsid w:val="00FD4FA5"/>
    <w:rsid w:val="00FD57D2"/>
    <w:rsid w:val="00FE0B41"/>
    <w:rsid w:val="00FE38C0"/>
    <w:rsid w:val="00FE399D"/>
    <w:rsid w:val="00FE4F79"/>
    <w:rsid w:val="00FE5F54"/>
    <w:rsid w:val="00FE60A2"/>
    <w:rsid w:val="00FE6455"/>
    <w:rsid w:val="00FE662C"/>
    <w:rsid w:val="00FE69C6"/>
    <w:rsid w:val="00FF13E6"/>
    <w:rsid w:val="00FF1487"/>
    <w:rsid w:val="00FF14F0"/>
    <w:rsid w:val="00FF3291"/>
    <w:rsid w:val="00FF58B0"/>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28558</TotalTime>
  <Pages>38</Pages>
  <Words>28074</Words>
  <Characters>160027</Characters>
  <Application>Microsoft Office Word</Application>
  <DocSecurity>0</DocSecurity>
  <Lines>1333</Lines>
  <Paragraphs>375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645</cp:revision>
  <dcterms:created xsi:type="dcterms:W3CDTF">2022-02-09T04:05:00Z</dcterms:created>
  <dcterms:modified xsi:type="dcterms:W3CDTF">2022-03-30T21:57:00Z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