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774B6208"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4F6F2C3D"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main sampling unit. 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026BC0">
        <w:t xml:space="preserve">All sites </w:t>
      </w:r>
      <w:r w:rsidR="00046A27">
        <w:t>were</w:t>
      </w:r>
      <w:r w:rsidR="00026BC0">
        <w:t xml:space="preserve"> established </w:t>
      </w:r>
      <w:r w:rsidR="00E92D22">
        <w:t>25 km apart from each other in a grid-like fashion</w:t>
      </w:r>
      <w:r w:rsidR="00521264">
        <w:t xml:space="preserve"> </w:t>
      </w:r>
      <w:r w:rsidR="00521264">
        <w:t xml:space="preserve">(CONAFOR, 2018). </w:t>
      </w:r>
      <w:r w:rsidR="005E1A3C">
        <w:t>For selecting FI sites relevant to our study, we performed an intersection of sites within the NMO</w:t>
      </w:r>
      <w:r w:rsidR="00966414">
        <w:t xml:space="preserve"> using the open software QGIS 3.16.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3215FFC8"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Chave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8366F6">
        <w:t xml:space="preserve">, height and </w:t>
      </w:r>
      <w:r w:rsidR="009761E9">
        <w:t>DBH</w:t>
      </w:r>
      <w:r w:rsidR="00AB6841">
        <w:t>:</w:t>
      </w:r>
      <w:r w:rsidR="008366F6">
        <w:t xml:space="preserve"> </w:t>
      </w:r>
    </w:p>
    <w:tbl>
      <w:tblPr>
        <w:tblStyle w:val="Tablaconcuadrcula"/>
        <w:tblW w:w="0" w:type="auto"/>
        <w:tblLook w:val="04A0" w:firstRow="1" w:lastRow="0" w:firstColumn="1" w:lastColumn="0" w:noHBand="0" w:noVBand="1"/>
      </w:tblPr>
      <w:tblGrid>
        <w:gridCol w:w="4414"/>
        <w:gridCol w:w="4414"/>
      </w:tblGrid>
      <w:tr w:rsidR="00E103E4" w14:paraId="1677BA9F" w14:textId="77777777" w:rsidTr="00E103E4">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77777777" w:rsidR="00E103E4" w:rsidRDefault="00E103E4" w:rsidP="003C023A"/>
        </w:tc>
      </w:tr>
    </w:tbl>
    <w:p w14:paraId="491FB1BC" w14:textId="77777777" w:rsidR="00E103E4" w:rsidRDefault="00E103E4" w:rsidP="003C023A"/>
    <w:p w14:paraId="1E4DAE51" w14:textId="2D85735F"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t xml:space="preserve"> </w:t>
      </w:r>
      <w:r w:rsidR="00C049EB">
        <w:t>Functions to correct taxonomic names and search for wood density values are</w:t>
      </w:r>
      <w:r w:rsidR="009761E9">
        <w:t xml:space="preserve"> available </w:t>
      </w:r>
      <w:r w:rsidR="00C049EB">
        <w:t xml:space="preserve">in the </w:t>
      </w:r>
      <w:r>
        <w:t>R package BIOMASS (</w:t>
      </w:r>
      <w:r w:rsidRPr="00D70173">
        <w:t>Réjou‐Méchain</w:t>
      </w:r>
      <w:r>
        <w:t>, 2017).</w:t>
      </w:r>
    </w:p>
    <w:p w14:paraId="7EA1D91F" w14:textId="676DE041"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F95F87">
        <w:t>T</w:t>
      </w:r>
      <w:r w:rsidR="00F95F87">
        <w:t>o estimate site’s AGB error</w:t>
      </w:r>
      <w:r w:rsidR="00F95F87">
        <w:t>, w</w:t>
      </w:r>
      <w:r w:rsidR="001872F6">
        <w:t>e assumed standard error independence and used</w:t>
      </w:r>
      <w:r>
        <w:t xml:space="preserve"> the following equation: </w:t>
      </w:r>
    </w:p>
    <w:tbl>
      <w:tblPr>
        <w:tblStyle w:val="Tablaconcuadrcula"/>
        <w:tblW w:w="0" w:type="auto"/>
        <w:tblLook w:val="04A0" w:firstRow="1" w:lastRow="0" w:firstColumn="1" w:lastColumn="0" w:noHBand="0" w:noVBand="1"/>
      </w:tblPr>
      <w:tblGrid>
        <w:gridCol w:w="4414"/>
        <w:gridCol w:w="4414"/>
      </w:tblGrid>
      <w:tr w:rsidR="00E21A15" w14:paraId="21E98212" w14:textId="77777777" w:rsidTr="00E21A15">
        <w:tc>
          <w:tcPr>
            <w:tcW w:w="4414" w:type="dxa"/>
          </w:tcPr>
          <w:p w14:paraId="77FABDA8" w14:textId="77777777" w:rsidR="00E21A15" w:rsidRDefault="00E21A15"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77777777" w:rsidR="00E21A15" w:rsidRDefault="00E21A15" w:rsidP="00FE38C0"/>
        </w:tc>
      </w:tr>
    </w:tbl>
    <w:p w14:paraId="038A7B28" w14:textId="77777777" w:rsidR="00E21A15" w:rsidRDefault="00E21A15" w:rsidP="00FE38C0">
      <w:pPr>
        <w:ind w:firstLine="720"/>
      </w:pP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r w:rsidR="00756968" w14:paraId="1A09409B" w14:textId="77777777" w:rsidTr="00563B45">
        <w:tc>
          <w:tcPr>
            <w:tcW w:w="4414" w:type="dxa"/>
          </w:tcPr>
          <w:p w14:paraId="224F3B8A" w14:textId="77777777" w:rsidR="00756968" w:rsidRPr="002F46BE" w:rsidRDefault="00756968" w:rsidP="00563B45">
            <w:pPr>
              <w:rPr>
                <w:rFonts w:eastAsiaTheme="minorEastAsia"/>
              </w:rPr>
            </w:pPr>
            <m:oMathPara>
              <m:oMath>
                <m:r>
                  <w:rPr>
                    <w:rFonts w:ascii="Cambria Math" w:hAnsi="Cambria Math"/>
                  </w:rPr>
                  <m:t xml:space="preserve">D=1-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2</m:t>
                        </m:r>
                      </m:sup>
                    </m:sSup>
                  </m:e>
                </m:nary>
              </m:oMath>
            </m:oMathPara>
          </w:p>
          <w:p w14:paraId="244333B8" w14:textId="1A75551F" w:rsidR="002F46BE" w:rsidRDefault="002F46BE" w:rsidP="00563B45"/>
        </w:tc>
        <w:tc>
          <w:tcPr>
            <w:tcW w:w="4414" w:type="dxa"/>
          </w:tcPr>
          <w:p w14:paraId="4123EB5E" w14:textId="77777777" w:rsidR="00756968" w:rsidRDefault="00756968"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5E4030" w:rsidRPr="005E4030">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4EA7BC4F"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went over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31F1DE99"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9D14DA">
        <w:t xml:space="preserve">adding up all successional stages within a site and normalizing the value as follows: </w:t>
      </w:r>
    </w:p>
    <w:tbl>
      <w:tblPr>
        <w:tblStyle w:val="Tablaconcuadrcula"/>
        <w:tblW w:w="0" w:type="auto"/>
        <w:tblLook w:val="04A0" w:firstRow="1" w:lastRow="0" w:firstColumn="1" w:lastColumn="0" w:noHBand="0" w:noVBand="1"/>
      </w:tblPr>
      <w:tblGrid>
        <w:gridCol w:w="5807"/>
        <w:gridCol w:w="3021"/>
      </w:tblGrid>
      <w:tr w:rsidR="009D14DA" w14:paraId="103C5796" w14:textId="77777777" w:rsidTr="009D14DA">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77777777" w:rsidR="009D14DA" w:rsidRDefault="009D14DA" w:rsidP="00220CB3"/>
        </w:tc>
      </w:tr>
    </w:tbl>
    <w:p w14:paraId="26F5579E" w14:textId="77777777" w:rsidR="009D14DA" w:rsidRDefault="009D14DA" w:rsidP="00220CB3">
      <w:pPr>
        <w:ind w:firstLine="720"/>
      </w:pPr>
    </w:p>
    <w:p w14:paraId="0D4B37E1" w14:textId="40F7AA76"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S2)</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763A20C9" w:rsidR="00031DF0" w:rsidRDefault="00180313" w:rsidP="00CE29E1">
      <w:r>
        <w:t xml:space="preserve">We performed statistical analysis at two sampling levels. </w:t>
      </w:r>
      <w:r w:rsidR="001715F4">
        <w:t>On the one hand, we used sites 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p>
    <w:p w14:paraId="047BDB3B" w14:textId="53B11710"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78236C">
        <w:t xml:space="preserve"> We performed a series of analysis of variance (ANOVA) to assess the difference in the contribution of tree size to AGB and stem density </w:t>
      </w:r>
      <w:r w:rsidR="00D67390">
        <w:t>between</w:t>
      </w:r>
      <w:r w:rsidR="0078236C">
        <w:t xml:space="preserve"> forests at different successional stages.</w:t>
      </w:r>
      <w:r w:rsidR="00D67390">
        <w:t xml:space="preserve"> Likewise, we carried out three ANOVA to test whether tree density, tree height, basal area </w:t>
      </w:r>
      <w:r w:rsidR="00F46522">
        <w:t xml:space="preserve">and AGB </w:t>
      </w:r>
      <w:r w:rsidR="00D67390">
        <w:t>are significantly different in forests at different successional stages.</w:t>
      </w:r>
    </w:p>
    <w:p w14:paraId="46B8A3D6" w14:textId="1A588F90"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To test for spatial autocorrelation, we calculated the Moran’s I of the residuals of the final model and visualized the spatial distribution of residuals with a map.</w:t>
      </w:r>
    </w:p>
    <w:p w14:paraId="01E631FF" w14:textId="5B9C12A1" w:rsidR="003878AB" w:rsidRDefault="003878AB" w:rsidP="003878AB">
      <w:r w:rsidRPr="00F46522">
        <w:rPr>
          <w:i/>
          <w:iCs/>
        </w:rPr>
        <w:t>AGB relationship with tree diversity.</w:t>
      </w:r>
      <w:r>
        <w:t xml:space="preserve"> To understand the relationship between AGB and 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stem density with Simpson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07EE1F77" w14:textId="77777777" w:rsidR="003878AB" w:rsidRDefault="003878AB">
      <w:pPr>
        <w:rPr>
          <w:b/>
          <w:bCs/>
        </w:rPr>
      </w:pPr>
    </w:p>
    <w:p w14:paraId="53E857B7" w14:textId="7718A7E6" w:rsidR="00A61571" w:rsidRDefault="00A61571">
      <w:pPr>
        <w:rPr>
          <w:b/>
          <w:bCs/>
        </w:rPr>
      </w:pPr>
      <w:r w:rsidRPr="00CE29E1">
        <w:rPr>
          <w:b/>
          <w:bCs/>
        </w:rPr>
        <w:t>Results</w:t>
      </w:r>
    </w:p>
    <w:p w14:paraId="1F65D977" w14:textId="39923636" w:rsidR="00CE29E1" w:rsidRDefault="00CE29E1">
      <w:r>
        <w:rPr>
          <w:b/>
          <w:bCs/>
        </w:rPr>
        <w:tab/>
      </w:r>
      <w:r w:rsidR="000F3FCA">
        <w:t xml:space="preserve">Tree </w:t>
      </w:r>
      <w:r w:rsidR="002B6B04">
        <w:t>AGB</w:t>
      </w:r>
      <w:r w:rsidR="000F3FCA">
        <w:t xml:space="preserve"> and Diversity </w:t>
      </w:r>
      <w:r w:rsidR="002B6B04">
        <w:t>in TMCF</w:t>
      </w:r>
    </w:p>
    <w:p w14:paraId="34F9E8D8" w14:textId="382C9833" w:rsidR="002B6B04" w:rsidRDefault="002B6B04">
      <w:r>
        <w:tab/>
        <w:t xml:space="preserve">Patterns of Tree AGB and Diversity Across Land-use and Environmental Gradients </w:t>
      </w:r>
    </w:p>
    <w:p w14:paraId="63A23AC4" w14:textId="13FCD567" w:rsidR="00CC2AF6" w:rsidRDefault="00CC2AF6">
      <w:pPr>
        <w:rPr>
          <w:b/>
          <w:bCs/>
        </w:rPr>
      </w:pPr>
      <w:r w:rsidRPr="00CC2AF6">
        <w:rPr>
          <w:b/>
          <w:bCs/>
        </w:rPr>
        <w:t>Discussion</w:t>
      </w:r>
    </w:p>
    <w:p w14:paraId="65938F95" w14:textId="075965BE"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62C36512" w14:textId="37B25F69" w:rsidR="00E72CF0" w:rsidRDefault="00E72CF0">
      <w:r w:rsidRPr="009847A8">
        <w:t>Table 3.</w:t>
      </w:r>
      <w:r>
        <w:t xml:space="preserve"> Structural attributes, tree AGB and diversity</w:t>
      </w:r>
    </w:p>
    <w:p w14:paraId="5103117D" w14:textId="05A36639" w:rsidR="00E72CF0" w:rsidRDefault="00E72CF0">
      <w:r>
        <w:t>Table 4.</w:t>
      </w:r>
      <w:r w:rsidR="00AA6C78">
        <w:t xml:space="preserve"> Multiple regression model-AGB</w:t>
      </w:r>
    </w:p>
    <w:p w14:paraId="689547AF" w14:textId="6946B6D2" w:rsidR="00AA6C78" w:rsidRDefault="00AA6C78">
      <w:r>
        <w:t>Table 5. Multiple regression model- diversity</w:t>
      </w:r>
    </w:p>
    <w:p w14:paraId="58E086FB" w14:textId="66166EE9" w:rsidR="00AA6C78" w:rsidRPr="00E72CF0" w:rsidRDefault="00AA6C78">
      <w:r>
        <w:t>Table 6.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049E8524" w:rsidR="007B1347" w:rsidRDefault="00A66BFF" w:rsidP="007B1347">
      <w:r>
        <w:t xml:space="preserve">Figure S1. </w:t>
      </w:r>
      <w:r w:rsidR="007B1347">
        <w:t>Non-hierarchical cluster analysis – plots categories in three ‘successional stages’</w:t>
      </w:r>
    </w:p>
    <w:p w14:paraId="097425D6" w14:textId="0128C5E9" w:rsidR="008E0B54" w:rsidRDefault="00A66BFF" w:rsidP="007B1347">
      <w:r>
        <w:t xml:space="preserve">Figure S2. </w:t>
      </w:r>
      <w:r w:rsidR="008E0B54">
        <w:t>Relationship between landscape composition value and forest disturbance</w:t>
      </w:r>
    </w:p>
    <w:p w14:paraId="4D0485B4" w14:textId="2C10CB12" w:rsidR="007B1347" w:rsidRDefault="008E0B54" w:rsidP="007B1347">
      <w:r>
        <w:t xml:space="preserve">Figure S3. </w:t>
      </w:r>
      <w:r w:rsidR="007B1347">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6BC0"/>
    <w:rsid w:val="00031DF0"/>
    <w:rsid w:val="00032262"/>
    <w:rsid w:val="00033AC4"/>
    <w:rsid w:val="00045254"/>
    <w:rsid w:val="000459DF"/>
    <w:rsid w:val="00046A27"/>
    <w:rsid w:val="000D0B87"/>
    <w:rsid w:val="000D36D1"/>
    <w:rsid w:val="000E7711"/>
    <w:rsid w:val="000F3FCA"/>
    <w:rsid w:val="001157C5"/>
    <w:rsid w:val="00130AE9"/>
    <w:rsid w:val="00131800"/>
    <w:rsid w:val="00134917"/>
    <w:rsid w:val="001424A3"/>
    <w:rsid w:val="00147903"/>
    <w:rsid w:val="0015163A"/>
    <w:rsid w:val="0016647D"/>
    <w:rsid w:val="001715F4"/>
    <w:rsid w:val="00180313"/>
    <w:rsid w:val="001872F6"/>
    <w:rsid w:val="00220CB3"/>
    <w:rsid w:val="00246A0B"/>
    <w:rsid w:val="002502A4"/>
    <w:rsid w:val="0026099C"/>
    <w:rsid w:val="002B3B48"/>
    <w:rsid w:val="002B56B2"/>
    <w:rsid w:val="002B6B04"/>
    <w:rsid w:val="002F46BE"/>
    <w:rsid w:val="002F65B5"/>
    <w:rsid w:val="00310407"/>
    <w:rsid w:val="00323A21"/>
    <w:rsid w:val="003249DA"/>
    <w:rsid w:val="0032737F"/>
    <w:rsid w:val="0033188C"/>
    <w:rsid w:val="00357A68"/>
    <w:rsid w:val="00367B62"/>
    <w:rsid w:val="00374D1F"/>
    <w:rsid w:val="003878AB"/>
    <w:rsid w:val="003C023A"/>
    <w:rsid w:val="003C0426"/>
    <w:rsid w:val="00436AE9"/>
    <w:rsid w:val="004522E7"/>
    <w:rsid w:val="00467A11"/>
    <w:rsid w:val="004C7757"/>
    <w:rsid w:val="004E6F8A"/>
    <w:rsid w:val="004E732D"/>
    <w:rsid w:val="00521264"/>
    <w:rsid w:val="00555335"/>
    <w:rsid w:val="00556B6E"/>
    <w:rsid w:val="00563B45"/>
    <w:rsid w:val="00572059"/>
    <w:rsid w:val="005774AC"/>
    <w:rsid w:val="005A32CC"/>
    <w:rsid w:val="005A4A21"/>
    <w:rsid w:val="005C0A50"/>
    <w:rsid w:val="005D30B0"/>
    <w:rsid w:val="005E1125"/>
    <w:rsid w:val="005E1A3C"/>
    <w:rsid w:val="005E242B"/>
    <w:rsid w:val="005E4030"/>
    <w:rsid w:val="00604808"/>
    <w:rsid w:val="00617140"/>
    <w:rsid w:val="0062564B"/>
    <w:rsid w:val="006554A1"/>
    <w:rsid w:val="006D1CD6"/>
    <w:rsid w:val="006E5D26"/>
    <w:rsid w:val="00712031"/>
    <w:rsid w:val="00732CE0"/>
    <w:rsid w:val="00734255"/>
    <w:rsid w:val="00754CAE"/>
    <w:rsid w:val="00756968"/>
    <w:rsid w:val="0078236C"/>
    <w:rsid w:val="007962B2"/>
    <w:rsid w:val="007A053A"/>
    <w:rsid w:val="007B1347"/>
    <w:rsid w:val="007B22AF"/>
    <w:rsid w:val="007D38D3"/>
    <w:rsid w:val="007D4B3A"/>
    <w:rsid w:val="008013B1"/>
    <w:rsid w:val="00802976"/>
    <w:rsid w:val="00824370"/>
    <w:rsid w:val="00826EC2"/>
    <w:rsid w:val="008366F6"/>
    <w:rsid w:val="0087152F"/>
    <w:rsid w:val="00887371"/>
    <w:rsid w:val="008A226F"/>
    <w:rsid w:val="008B0CE3"/>
    <w:rsid w:val="008E0B54"/>
    <w:rsid w:val="008E13E4"/>
    <w:rsid w:val="008F0C64"/>
    <w:rsid w:val="00925CBE"/>
    <w:rsid w:val="009321C3"/>
    <w:rsid w:val="00944A60"/>
    <w:rsid w:val="00966414"/>
    <w:rsid w:val="009726A9"/>
    <w:rsid w:val="009761E9"/>
    <w:rsid w:val="009847A8"/>
    <w:rsid w:val="009A477D"/>
    <w:rsid w:val="009D14DA"/>
    <w:rsid w:val="009D34BC"/>
    <w:rsid w:val="009D4270"/>
    <w:rsid w:val="00A065AE"/>
    <w:rsid w:val="00A55307"/>
    <w:rsid w:val="00A61571"/>
    <w:rsid w:val="00A6402B"/>
    <w:rsid w:val="00A66BFF"/>
    <w:rsid w:val="00A73B68"/>
    <w:rsid w:val="00A94203"/>
    <w:rsid w:val="00AA6C78"/>
    <w:rsid w:val="00AB4CBF"/>
    <w:rsid w:val="00AB6841"/>
    <w:rsid w:val="00AB7D92"/>
    <w:rsid w:val="00B30F52"/>
    <w:rsid w:val="00B31DF0"/>
    <w:rsid w:val="00B34548"/>
    <w:rsid w:val="00B36C88"/>
    <w:rsid w:val="00B405E8"/>
    <w:rsid w:val="00BA2CCE"/>
    <w:rsid w:val="00BB0782"/>
    <w:rsid w:val="00BC59BF"/>
    <w:rsid w:val="00BD21E4"/>
    <w:rsid w:val="00BD2D44"/>
    <w:rsid w:val="00C049EB"/>
    <w:rsid w:val="00C05831"/>
    <w:rsid w:val="00C11442"/>
    <w:rsid w:val="00C15A2A"/>
    <w:rsid w:val="00C178FC"/>
    <w:rsid w:val="00C230C9"/>
    <w:rsid w:val="00C448C4"/>
    <w:rsid w:val="00C53A9A"/>
    <w:rsid w:val="00C708AE"/>
    <w:rsid w:val="00C91162"/>
    <w:rsid w:val="00CA7407"/>
    <w:rsid w:val="00CC2AF6"/>
    <w:rsid w:val="00CC46F1"/>
    <w:rsid w:val="00CD037F"/>
    <w:rsid w:val="00CD2053"/>
    <w:rsid w:val="00CD3D6E"/>
    <w:rsid w:val="00CE29E1"/>
    <w:rsid w:val="00CF34DF"/>
    <w:rsid w:val="00D035A7"/>
    <w:rsid w:val="00D249F6"/>
    <w:rsid w:val="00D50E20"/>
    <w:rsid w:val="00D66041"/>
    <w:rsid w:val="00D67390"/>
    <w:rsid w:val="00D741C0"/>
    <w:rsid w:val="00DA37F8"/>
    <w:rsid w:val="00DA42FD"/>
    <w:rsid w:val="00DF309C"/>
    <w:rsid w:val="00E103E4"/>
    <w:rsid w:val="00E11D6D"/>
    <w:rsid w:val="00E21A15"/>
    <w:rsid w:val="00E24BE9"/>
    <w:rsid w:val="00E26313"/>
    <w:rsid w:val="00E7268A"/>
    <w:rsid w:val="00E72CF0"/>
    <w:rsid w:val="00E849DC"/>
    <w:rsid w:val="00E92D22"/>
    <w:rsid w:val="00EA5B92"/>
    <w:rsid w:val="00EB5280"/>
    <w:rsid w:val="00EE503E"/>
    <w:rsid w:val="00EF7316"/>
    <w:rsid w:val="00F3719E"/>
    <w:rsid w:val="00F426CB"/>
    <w:rsid w:val="00F433B7"/>
    <w:rsid w:val="00F46522"/>
    <w:rsid w:val="00F70EE6"/>
    <w:rsid w:val="00F924F6"/>
    <w:rsid w:val="00F95F87"/>
    <w:rsid w:val="00FA3E68"/>
    <w:rsid w:val="00FA4794"/>
    <w:rsid w:val="00FD0436"/>
    <w:rsid w:val="00FE38C0"/>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4516</TotalTime>
  <Pages>7</Pages>
  <Words>2785</Words>
  <Characters>15880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77</cp:revision>
  <dcterms:created xsi:type="dcterms:W3CDTF">2022-02-09T04:05:00Z</dcterms:created>
  <dcterms:modified xsi:type="dcterms:W3CDTF">2022-02-14T23:04:00Z</dcterms:modified>
</cp:coreProperties>
</file>