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3D1D2D"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2DC015DD"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0338C9">
        <w:t>However, tropical montane forests are less well-known and more difficult to study using remote sensing techniques</w:t>
      </w:r>
      <w:r w:rsidR="001F1ECC">
        <w:t xml:space="preserve"> (Refs)</w:t>
      </w:r>
      <w:r w:rsidR="000338C9">
        <w:t>.</w:t>
      </w:r>
      <w:r w:rsidR="001F1ECC">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these forests</w:t>
      </w:r>
      <w:r w:rsidR="00063D2B">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 xml:space="preserve">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67C94CD6" w:rsidR="00791583" w:rsidRDefault="00791583" w:rsidP="00791583">
      <w:pPr>
        <w:ind w:firstLine="720"/>
      </w:pPr>
      <w:r>
        <w:t xml:space="preserve">AGB </w:t>
      </w:r>
      <w:r w:rsidR="00906673">
        <w:t xml:space="preserve">estimates </w:t>
      </w:r>
      <w:r w:rsidR="00B51B36">
        <w:t xml:space="preserve">across </w:t>
      </w:r>
      <w:r w:rsidR="00063D2B">
        <w:t>TMCF</w:t>
      </w:r>
      <w:r w:rsidR="00906673">
        <w:t xml:space="preserve"> around the globe</w:t>
      </w:r>
      <w:r w:rsidR="00063D2B">
        <w:t xml:space="preserve"> </w:t>
      </w:r>
      <w:r>
        <w:t>show wide variation</w:t>
      </w:r>
      <w:r w:rsidR="005C0C82">
        <w:t>. F</w:t>
      </w:r>
      <w:r w:rsidR="00B51B36">
        <w:t xml:space="preserve">or instance, </w:t>
      </w:r>
      <w:proofErr w:type="spellStart"/>
      <w:r w:rsidR="00B51B36">
        <w:t>Spracklen</w:t>
      </w:r>
      <w:proofErr w:type="spellEnd"/>
      <w:r w:rsidR="00B51B36">
        <w:t xml:space="preserve"> and </w:t>
      </w:r>
      <w:proofErr w:type="spellStart"/>
      <w:r w:rsidR="00B51B36">
        <w:t>Righelato</w:t>
      </w:r>
      <w:proofErr w:type="spellEnd"/>
      <w:r w:rsidR="00B51B36">
        <w:t xml:space="preserve"> (201X) found in a pan-tropical study </w:t>
      </w:r>
      <w:r w:rsidR="00906673">
        <w:t>a range</w:t>
      </w:r>
      <w:r w:rsidR="00B51B36">
        <w:t xml:space="preserve"> from 77 to 785 Mg ha</w:t>
      </w:r>
      <w:r w:rsidR="00B51B36" w:rsidRPr="00B51B36">
        <w:rPr>
          <w:vertAlign w:val="superscript"/>
        </w:rPr>
        <w:t>-1</w:t>
      </w:r>
      <w:r w:rsidR="00B51B36">
        <w:t>.</w:t>
      </w:r>
      <w:r>
        <w:t xml:space="preserve"> </w:t>
      </w:r>
      <w:r>
        <w:t xml:space="preserve">Several reasons </w:t>
      </w:r>
      <w:r w:rsidR="00063D2B">
        <w:t xml:space="preserve">could explain this </w:t>
      </w:r>
      <w:r w:rsidR="00383B1B">
        <w:t>wide range</w:t>
      </w:r>
      <w:r w:rsidR="00063D2B">
        <w:t xml:space="preserve">, some of them </w:t>
      </w:r>
      <w:r w:rsidR="00CC172B">
        <w:t xml:space="preserve">related to the natural variation </w:t>
      </w:r>
      <w:r w:rsidR="00063D2B">
        <w:t xml:space="preserve">found </w:t>
      </w:r>
      <w:r w:rsidR="00CC172B">
        <w:t xml:space="preserve">in this ecosystem </w:t>
      </w:r>
      <w:r w:rsidR="00CC172B">
        <w:t xml:space="preserve">and </w:t>
      </w:r>
      <w:r w:rsidR="00063D2B">
        <w:t xml:space="preserve">others </w:t>
      </w:r>
      <w:r w:rsidR="00CC172B">
        <w:t>to</w:t>
      </w:r>
      <w:r w:rsidR="00CC172B">
        <w:t xml:space="preserve"> methodological approaches</w:t>
      </w:r>
      <w:r w:rsidR="00CC172B">
        <w:t xml:space="preserve"> </w:t>
      </w:r>
      <w:r w:rsidR="00063D2B">
        <w:t>for</w:t>
      </w:r>
      <w:r w:rsidR="00CC172B">
        <w:t xml:space="preserve"> estimating AGB</w:t>
      </w:r>
      <w:r w:rsidR="00063D2B">
        <w:t>.</w:t>
      </w:r>
      <w:r w:rsidR="00CC172B">
        <w:t xml:space="preserve"> </w:t>
      </w:r>
      <w:r>
        <w:t xml:space="preserve">First, </w:t>
      </w:r>
      <w:r w:rsidR="00063D2B">
        <w:t>AGB varies i</w:t>
      </w:r>
      <w:r>
        <w:t xml:space="preserve">n this ecosystem </w:t>
      </w:r>
      <w:r w:rsidR="005C0C82">
        <w:t>because of</w:t>
      </w:r>
      <w:r w:rsidR="00105230">
        <w:t xml:space="preserve"> forest</w:t>
      </w:r>
      <w:r>
        <w:t xml:space="preserve"> composition and environmental variables such as elevation, precipitation, and soil nutrients (refs). Second, the age of forest stands selected for study, as well as the effect of forest management and the amount of forest disturbance present in each site</w:t>
      </w:r>
      <w:r w:rsidR="00383B1B">
        <w:t xml:space="preserve"> </w:t>
      </w:r>
      <w:r>
        <w:t xml:space="preserve">(refs). Third, biases in </w:t>
      </w:r>
      <w:r w:rsidR="00105230">
        <w:t xml:space="preserve">fieldwork </w:t>
      </w:r>
      <w:r>
        <w:t>site selection, for instance, towards forests found in gentler slopes (</w:t>
      </w:r>
      <w:proofErr w:type="spellStart"/>
      <w:r>
        <w:t>Malhi</w:t>
      </w:r>
      <w:proofErr w:type="spellEnd"/>
      <w:r>
        <w:t xml:space="preserve">, </w:t>
      </w:r>
      <w:proofErr w:type="spellStart"/>
      <w:r>
        <w:t>Spracklen</w:t>
      </w:r>
      <w:proofErr w:type="spellEnd"/>
      <w:r>
        <w:t xml:space="preserve">). Fourth, the allometric equations used for estimating AGB. Despite research has found that different models usually yield similar results (refs), all allometric equations have some associated error because they are calculated with a finite sample of trees. This error can be exponentiated </w:t>
      </w:r>
      <w:r w:rsidRPr="006D68FC">
        <w:t>if tree</w:t>
      </w:r>
      <w:r>
        <w:t>s</w:t>
      </w:r>
      <w:r w:rsidRPr="006D68FC">
        <w:t xml:space="preserve"> whose biomass is to be </w:t>
      </w:r>
      <w:r>
        <w:t>estimated</w:t>
      </w:r>
      <w:r w:rsidRPr="006D68FC">
        <w:t xml:space="preserve"> ha</w:t>
      </w:r>
      <w:r>
        <w:t>ve</w:t>
      </w:r>
      <w:r w:rsidRPr="006D68FC">
        <w:t xml:space="preserve"> attributes outside the limits used to calculate the </w:t>
      </w:r>
      <w:r>
        <w:t xml:space="preserve">allometric </w:t>
      </w:r>
      <w:r w:rsidRPr="006D68FC">
        <w:t>equation</w:t>
      </w:r>
      <w:r>
        <w:t xml:space="preserve"> (e.g. if DBH is larger than the highest DBH used for deriving the 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covering a wide spectrum of slope steepness, (4) using allometric equations explicitly designed for the trees and ecosystem under study and</w:t>
      </w:r>
      <w:r w:rsidR="00105230">
        <w:t>,</w:t>
      </w:r>
      <w:r>
        <w:t xml:space="preserve"> </w:t>
      </w:r>
      <w:r w:rsidR="00105230">
        <w:t>when specific equations were unavailable, complementing</w:t>
      </w:r>
      <w:r>
        <w:t xml:space="preserve"> with a well-tested generic equation, and (</w:t>
      </w:r>
      <w:r w:rsidR="001046F5">
        <w:t>5</w:t>
      </w:r>
      <w:r>
        <w:t>) using a nested sampling design with which we averaged AGB measured at four plots established in a one-hectare site in order to diminish scale-dependent errors</w:t>
      </w:r>
      <w:r w:rsidR="005C0C82">
        <w:t xml:space="preserve"> as well as </w:t>
      </w:r>
      <w:r w:rsidR="00773E23">
        <w:t>considering error propagation in our final estimates</w:t>
      </w:r>
      <w:r>
        <w:t xml:space="preserve">.   </w:t>
      </w:r>
    </w:p>
    <w:p w14:paraId="14755BFB" w14:textId="039DA9B6"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xml:space="preserve">, as commonly found in tropical forests (Refs).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w:t>
      </w:r>
      <w:r w:rsidR="00AE7B70">
        <w:t>In comparison to AGB estimates for the region reported in pan-tropical maps, our results are in</w:t>
      </w:r>
      <w:r w:rsidR="00AE7B70">
        <w:t xml:space="preserve">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E7B70">
        <w:t>maps, b</w:t>
      </w:r>
      <w:r w:rsidR="00AE7B70">
        <w:t xml:space="preserve">ut lower than those in Saatchi et </w:t>
      </w:r>
      <w:proofErr w:type="spellStart"/>
      <w:r w:rsidR="00AE7B70">
        <w:t>al’s</w:t>
      </w:r>
      <w:proofErr w:type="spellEnd"/>
      <w:r w:rsidR="00AE7B70">
        <w:t xml:space="preserve"> (2011).</w:t>
      </w:r>
      <w:r w:rsidR="00AE7B70">
        <w:t xml:space="preserve"> </w:t>
      </w:r>
      <w:r w:rsidR="00EA5890">
        <w:t xml:space="preserve">Our </w:t>
      </w:r>
      <w:r w:rsidR="00EA5890">
        <w:t>AGB estimate</w:t>
      </w:r>
      <w:r w:rsidR="00EA5890">
        <w:t xml:space="preserv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 xml:space="preserve">our estimates were calculated from a subset of the FI data set. However, </w:t>
      </w:r>
      <w:r w:rsidR="003B2C33">
        <w:t xml:space="preserve">the fact that </w:t>
      </w:r>
      <w:r w:rsidR="000C44DC">
        <w:t xml:space="preserve">TMCF in the NMO probably contain more AGB than other </w:t>
      </w:r>
      <w:r w:rsidR="006318AA">
        <w:t>TMCF in the country</w:t>
      </w:r>
      <w:r w:rsidR="003B2C33">
        <w:t xml:space="preserve"> could explain this difference</w:t>
      </w:r>
      <w:r w:rsidR="006318AA">
        <w:t xml:space="preserve">. This is supported by results found in other studies </w:t>
      </w:r>
      <w:r w:rsidR="00EA5890">
        <w:t xml:space="preserve">conducted in TMCF at local scales </w:t>
      </w:r>
      <w:r w:rsidR="006318AA">
        <w:t>that show high</w:t>
      </w:r>
      <w:r w:rsidR="00EA5890">
        <w:t xml:space="preserve"> variation in AGB estimates </w:t>
      </w:r>
      <w:r w:rsidR="006318AA">
        <w:t>between forests in the NMO and other regions</w:t>
      </w:r>
      <w:r w:rsidR="00EA5890">
        <w:t xml:space="preserve">. For instance, Álvarez-Arteaga et al. </w:t>
      </w:r>
      <w:r w:rsidR="00EA5890" w:rsidRPr="002C6FA3">
        <w:t xml:space="preserve">(2013) </w:t>
      </w:r>
      <w:r w:rsidR="00EA5890">
        <w:t xml:space="preserve">quantified AGB along an elevation transect in mature TMCF within the NMO obtaining values </w:t>
      </w:r>
      <w:r w:rsidR="00EA5890" w:rsidRPr="002C6FA3">
        <w:t>from 220 to 413 Mg ha</w:t>
      </w:r>
      <w:r w:rsidR="00EA5890" w:rsidRPr="002C6FA3">
        <w:rPr>
          <w:vertAlign w:val="superscript"/>
        </w:rPr>
        <w:t xml:space="preserve">-1 </w:t>
      </w:r>
      <w:r w:rsidR="00EA5890">
        <w:rPr>
          <w:vertAlign w:val="superscript"/>
        </w:rPr>
        <w:fldChar w:fldCharType="begin" w:fldLock="1"/>
      </w:r>
      <w:r w:rsidR="00EA5890" w:rsidRPr="002C6FA3">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EA5890">
        <w:rPr>
          <w:vertAlign w:val="superscript"/>
        </w:rPr>
        <w:fldChar w:fldCharType="separate"/>
      </w:r>
      <w:r w:rsidR="00EA5890" w:rsidRPr="002C6FA3">
        <w:rPr>
          <w:noProof/>
        </w:rPr>
        <w:t>(Álvarez-Arteaga, García Calderón, Krasilnikov, &amp; García-Oliva, 2013)</w:t>
      </w:r>
      <w:r w:rsidR="00EA5890">
        <w:rPr>
          <w:vertAlign w:val="superscript"/>
        </w:rPr>
        <w:fldChar w:fldCharType="end"/>
      </w:r>
      <w:r w:rsidR="00EA5890" w:rsidRPr="002C6FA3">
        <w:t xml:space="preserve">. </w:t>
      </w:r>
      <w:r w:rsidR="00EA5890">
        <w:t xml:space="preserve">In contrast, AGB estimated in a TMCF in Hidalgo, Mexico, </w:t>
      </w:r>
      <w:r w:rsidR="006318AA">
        <w:t>exhibit</w:t>
      </w:r>
      <w:r w:rsidR="00EA5890">
        <w:t xml:space="preserve"> values of about 29 Mg ha</w:t>
      </w:r>
      <w:r w:rsidR="00EA5890" w:rsidRPr="00D955E4">
        <w:rPr>
          <w:vertAlign w:val="superscript"/>
        </w:rPr>
        <w:t>-1</w:t>
      </w:r>
      <w:r w:rsidR="00EA5890">
        <w:t xml:space="preserve"> on average, with some sites exhibiting AGB values close to 100 Mg ha</w:t>
      </w:r>
      <w:r w:rsidR="00EA5890" w:rsidRPr="0029651B">
        <w:rPr>
          <w:vertAlign w:val="superscript"/>
        </w:rPr>
        <w:t>-1</w:t>
      </w:r>
      <w:r w:rsidR="000C44DC">
        <w:rPr>
          <w:vertAlign w:val="superscript"/>
        </w:rPr>
        <w:t xml:space="preserve"> </w:t>
      </w:r>
      <w:r w:rsidR="00EA5890">
        <w:rPr>
          <w:vertAlign w:val="superscript"/>
        </w:rPr>
        <w:fldChar w:fldCharType="begin" w:fldLock="1"/>
      </w:r>
      <w:r w:rsidR="00EA5890">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w:instrText>
      </w:r>
      <w:r w:rsidR="00EA5890" w:rsidRPr="006318AA">
        <w:rPr>
          <w:vertAlign w:val="superscript"/>
          <w:lang w:val="es-MX"/>
        </w:rPr>
        <w:instrText xml:space="preserve">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EA5890">
        <w:rPr>
          <w:vertAlign w:val="superscript"/>
        </w:rPr>
        <w:fldChar w:fldCharType="separate"/>
      </w:r>
      <w:r w:rsidR="00EA5890" w:rsidRPr="006318AA">
        <w:rPr>
          <w:noProof/>
          <w:lang w:val="es-MX"/>
        </w:rPr>
        <w:t>(Leija-Loredo, Pavón, Sánchez-González, Rodriguez-Laguna, &amp; Ángeles-Pérez, 2018)</w:t>
      </w:r>
      <w:r w:rsidR="00EA5890">
        <w:rPr>
          <w:vertAlign w:val="superscript"/>
        </w:rPr>
        <w:fldChar w:fldCharType="end"/>
      </w:r>
      <w:r w:rsidR="00EA5890" w:rsidRPr="006318AA">
        <w:rPr>
          <w:lang w:val="es-MX"/>
        </w:rPr>
        <w:t>.</w:t>
      </w:r>
      <w:r w:rsidR="006318AA" w:rsidRPr="006318AA">
        <w:rPr>
          <w:lang w:val="es-MX"/>
        </w:rPr>
        <w:t xml:space="preserve"> </w:t>
      </w:r>
      <w:r w:rsidR="006318AA" w:rsidRPr="004C4DB4">
        <w:t xml:space="preserve">The difference between these two sites is </w:t>
      </w:r>
      <w:r w:rsidR="000C0BAA" w:rsidRPr="004C4DB4">
        <w:t>significant</w:t>
      </w:r>
      <w:r w:rsidR="006318AA" w:rsidRPr="004C4DB4">
        <w:t xml:space="preserve">. </w:t>
      </w:r>
      <w:r w:rsidR="00F867AB">
        <w:t xml:space="preserve">It </w:t>
      </w:r>
      <w:r w:rsidR="00FC6F96">
        <w:t xml:space="preserve">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 xml:space="preserve">. </w:t>
      </w:r>
    </w:p>
    <w:p w14:paraId="43C8D54D" w14:textId="65E49414"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w:t>
      </w:r>
      <w:r w:rsidR="000C0BAA">
        <w:t xml:space="preserve">usually </w:t>
      </w:r>
      <w:r w:rsidR="005B178C">
        <w:t xml:space="preserve">find </w:t>
      </w:r>
      <w:r w:rsidR="000C0BAA">
        <w:t>greater AGB</w:t>
      </w:r>
      <w:r w:rsidR="005B178C">
        <w:t xml:space="preserve"> in mature forests</w:t>
      </w:r>
      <w:r w:rsidR="000C0BAA">
        <w:t xml:space="preserve">, </w:t>
      </w:r>
      <w:r w:rsidR="00F867AB">
        <w:t xml:space="preserve">although this difference is not always statistically significant. For example, </w:t>
      </w:r>
      <w:proofErr w:type="spellStart"/>
      <w:r w:rsidR="00F867AB" w:rsidRPr="009857AB">
        <w:t>Vizcaíno</w:t>
      </w:r>
      <w:proofErr w:type="spellEnd"/>
      <w:r w:rsidR="00F867AB" w:rsidRPr="009857AB">
        <w:t xml:space="preserve">-Bravo et al. </w:t>
      </w:r>
      <w:r w:rsidR="00F867AB" w:rsidRPr="005D0C9A">
        <w:t>(2020)</w:t>
      </w:r>
      <w:r w:rsidR="00F867AB">
        <w:t xml:space="preserve"> compared AGB in TMCF at different successional stages and coffee farms and found that </w:t>
      </w:r>
      <w:r w:rsidR="00273568">
        <w:t>while</w:t>
      </w:r>
      <w:r w:rsidR="00F867AB">
        <w:t xml:space="preserve"> mature forests show greater AGB than secondary forests, the difference is not statistically different. In contrast, XXX. </w:t>
      </w:r>
      <w:r w:rsidR="00273568">
        <w:t>These results show the ecological significance of secondary succession in sequestering carbon</w:t>
      </w:r>
      <w:r w:rsidR="000C0BAA">
        <w:t>, as has been pointed out elsewhere (REFS)</w:t>
      </w:r>
      <w:r w:rsidR="00273568">
        <w:t xml:space="preserve">. On the one hand, </w:t>
      </w:r>
      <w:r w:rsidR="006650E7">
        <w:t>forests in secondary succession store high quantities of carbon as AGB, a magnitude that, 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w:t>
      </w:r>
      <w:r w:rsidR="003B0BD6">
        <w:t>represent similar amounts of the total AGB measured in these sites</w:t>
      </w:r>
      <w:r w:rsidR="003B0BD6">
        <w:t xml:space="preserve">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CD5D9A">
        <w:t>Our results highlight the potential of secondary forests to store carbon in the future and their current relevance as a main component of total biomass.</w:t>
      </w:r>
    </w:p>
    <w:p w14:paraId="2024D51B" w14:textId="2BE0479D" w:rsidR="00290DAF" w:rsidRDefault="00DC23C1">
      <w:r>
        <w:tab/>
      </w:r>
      <w:r w:rsidR="009708F9">
        <w:t xml:space="preserve">The magnitude of AGB and its variation is defined </w:t>
      </w:r>
      <w:r w:rsidR="00132807">
        <w:t xml:space="preserve">mostly </w:t>
      </w:r>
      <w:r w:rsidR="009708F9">
        <w:t xml:space="preserve">by forest structural attributes. </w:t>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6171590F" w14:textId="20BD8474" w:rsidR="001E26C3" w:rsidRDefault="0046467B">
      <w:r>
        <w:tab/>
      </w:r>
      <w:r w:rsidR="00282052">
        <w:t>Although a</w:t>
      </w:r>
      <w:r w:rsidR="00282052">
        <w:t xml:space="preserve"> positive relationship between </w:t>
      </w:r>
      <w:r w:rsidR="00282052">
        <w:t xml:space="preserve">AGB and tree diversity </w:t>
      </w:r>
      <w:r w:rsidR="00282052">
        <w:t xml:space="preserve">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w:t>
      </w:r>
      <w:r w:rsidR="00E543A4">
        <w:t>as other</w:t>
      </w:r>
      <w:r w:rsidR="00E543A4">
        <w:t xml:space="preserve"> </w:t>
      </w:r>
      <w:r w:rsidR="00E543A4">
        <w:t>studies have pointed out</w:t>
      </w:r>
      <w:r w:rsidR="00E543A4">
        <w:t xml:space="preserve"> (REFS)</w:t>
      </w:r>
      <w:r w:rsidR="00A72364">
        <w:t xml:space="preserve">. </w:t>
      </w:r>
      <w:r w:rsidR="00E543A4">
        <w:t xml:space="preserve">Moreover, our results show a clearer relationship between AGB and tree diversity when species richness is used instead of Shannon diversity index. </w:t>
      </w:r>
      <w:r w:rsidR="001E26C3">
        <w:t>Lack of a meaningful relationship between tree diversity and biomass has been found in other TMCF (REFS), where diversity estimated with Shannon diversity index does not increase in plots showing higher AGB.</w:t>
      </w:r>
      <w:r w:rsidR="001E26C3">
        <w:t xml:space="preserve">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16F1BD6" w14:textId="090B6EAD" w:rsidR="00A83370" w:rsidRDefault="00C626DD">
      <w:r>
        <w:tab/>
      </w:r>
      <w:r w:rsidR="003E3B7D">
        <w:t xml:space="preserve">From all factors analyzed in this </w:t>
      </w:r>
      <w:r w:rsidR="000C1511">
        <w:t>study</w:t>
      </w:r>
      <w:r w:rsidR="003E3B7D">
        <w:t xml:space="preserve">, land use and forest disturbance represented the most influential </w:t>
      </w:r>
      <w:r w:rsidR="00165770">
        <w:t>ones on</w:t>
      </w:r>
      <w:r w:rsidR="003E3B7D">
        <w:t xml:space="preserve"> AGB patterns across the region</w:t>
      </w:r>
      <w:r w:rsidR="005171A4">
        <w:t>, even overshadowing the effect of climate and topography</w:t>
      </w:r>
      <w:r w:rsidR="003E3B7D">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r w:rsidR="009C43B6">
        <w:t xml:space="preserve">Several studies have found week relationships between environmental variables and AGB within TMCF along elevation gradients (refs, </w:t>
      </w:r>
      <w:proofErr w:type="spellStart"/>
      <w:r w:rsidR="009C43B6">
        <w:t>spracklen</w:t>
      </w:r>
      <w:proofErr w:type="spellEnd"/>
      <w:r w:rsidR="004932E4">
        <w:t xml:space="preserve">, </w:t>
      </w:r>
      <w:proofErr w:type="spellStart"/>
      <w:r w:rsidR="004932E4">
        <w:t>cuni</w:t>
      </w:r>
      <w:proofErr w:type="spellEnd"/>
      <w:r w:rsidR="009C43B6">
        <w:t>)</w:t>
      </w:r>
      <w:r w:rsidR="004932E4">
        <w:t xml:space="preserve">. </w:t>
      </w:r>
      <w:r w:rsidR="009C43B6">
        <w:t xml:space="preserve">This has led researchers to conclude upper montane sites </w:t>
      </w:r>
      <w:r w:rsidR="004932E4">
        <w:t xml:space="preserve">can </w:t>
      </w:r>
      <w:r w:rsidR="009C43B6">
        <w:t>hold</w:t>
      </w:r>
      <w:r w:rsidR="004932E4">
        <w:t xml:space="preserve"> large amounts of AGB in spite of being at lower temperatures. In our study region, AGB increases with elevation despite sites at higher elevation experience lower temperature and precipitation. This is in line with other studies conducted in the region that show </w:t>
      </w:r>
    </w:p>
    <w:p w14:paraId="0B1B4566" w14:textId="0346E295" w:rsidR="00F51417" w:rsidRDefault="00D53E11">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FD0F2F">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TMCF </w:t>
      </w:r>
      <w:r w:rsidR="00662CC6">
        <w:t xml:space="preserve">AGB varies significantly in small spatial scales. </w:t>
      </w:r>
      <w:r w:rsidR="00FD4D33">
        <w:t>It is possible to find forests at different successional stages in which AGB ranges from as low as 33 to as high as 354</w:t>
      </w:r>
      <w:r w:rsidR="00FD4D33" w:rsidRPr="00FD4D33">
        <w:t xml:space="preserve"> </w:t>
      </w:r>
      <w:r w:rsidR="00FD4D33">
        <w:t>Mg ha</w:t>
      </w:r>
      <w:r w:rsidR="00FD4D33" w:rsidRPr="00FD4D33">
        <w:rPr>
          <w:vertAlign w:val="superscript"/>
        </w:rPr>
        <w:t>-1</w:t>
      </w:r>
      <w:r w:rsidR="00B14B4F" w:rsidRPr="00B14B4F">
        <w:t xml:space="preserve"> </w:t>
      </w:r>
      <w:r w:rsidR="00B14B4F">
        <w:t>within one-hectare landscapes</w:t>
      </w:r>
      <w:r w:rsidR="00FD4D33">
        <w:t xml:space="preserve">. Furthermore, the influence of land use in these forests is not constrained </w:t>
      </w:r>
      <w:r w:rsidR="00B14B4F">
        <w:t>to</w:t>
      </w:r>
      <w:r w:rsidR="00FD4D33">
        <w:t xml:space="preserve"> the landscape level but rather it </w:t>
      </w:r>
      <w:r w:rsidR="00E33E52">
        <w:t>shapes AGB patterns across the region. This is shown in the overwhelming effect of land-use intensity gradient on AGB and in its relation to the environmental gradient we analyzed in our study (Table 4 and Figures 6 and 7).</w:t>
      </w:r>
      <w:r w:rsidR="00810593">
        <w:t xml:space="preserve"> Sites at lower elevations experience warmer temperatures, higher precipitation,</w:t>
      </w:r>
      <w:r w:rsidR="00930F7A">
        <w:t xml:space="preserve"> and</w:t>
      </w:r>
      <w:r w:rsidR="00810593">
        <w:t xml:space="preserve"> </w:t>
      </w:r>
      <w:r w:rsidR="00930F7A">
        <w:t>more land use</w:t>
      </w:r>
      <w:r w:rsidR="00E33E52">
        <w:t xml:space="preserve"> </w:t>
      </w:r>
      <w:r w:rsidR="00930F7A">
        <w:t xml:space="preserve">than sites at higher elevation. </w:t>
      </w:r>
      <w:r w:rsidR="00F51417">
        <w:t xml:space="preserve">Despite temperature and humidity decline, </w:t>
      </w:r>
      <w:r w:rsidR="00930F7A">
        <w:t>AGB in TMCF in the NMO increases with elevation.</w:t>
      </w:r>
      <w:r w:rsidR="00726142">
        <w:t xml:space="preserve"> </w:t>
      </w:r>
    </w:p>
    <w:p w14:paraId="7444AE5F" w14:textId="4AF3EEC1" w:rsidR="00B14B4F" w:rsidRDefault="00726142">
      <w:r>
        <w:t xml:space="preserve">Other studies on </w:t>
      </w:r>
      <w:proofErr w:type="spellStart"/>
      <w:r>
        <w:t>AGB~elevation</w:t>
      </w:r>
      <w:proofErr w:type="spellEnd"/>
      <w:r>
        <w:t>.</w:t>
      </w:r>
      <w:r w:rsidR="00701833">
        <w:t xml:space="preserve"> Lack of effect of climate may also be related to the short elevation gradient analyzed here, all sites within the same ecosystem, perhaps a larger effect would be found if we analyzed more ecosystems</w:t>
      </w:r>
      <w:r w:rsidR="00BE5DE3">
        <w:t>.</w:t>
      </w:r>
      <w:r w:rsidR="00930F7A">
        <w:t xml:space="preserve"> </w:t>
      </w:r>
    </w:p>
    <w:p w14:paraId="745CE5A1" w14:textId="62D3D950" w:rsidR="006F3767" w:rsidRDefault="000C1511">
      <w:r>
        <w:t>This ten-fold variability exists</w:t>
      </w:r>
    </w:p>
    <w:p w14:paraId="386506AF" w14:textId="739AF8AF" w:rsidR="002A0B2E" w:rsidRDefault="00C43914">
      <w:r>
        <w:t xml:space="preserve">Suggesting landscape management strategies </w:t>
      </w:r>
      <w:r w:rsidR="000C1511">
        <w:t xml:space="preserve">focus on sequestering carbon requires a better understanding of the current state and future potential of these landscapes to store carbon. </w:t>
      </w:r>
    </w:p>
    <w:p w14:paraId="45E6B414" w14:textId="77777777" w:rsidR="001E26C3" w:rsidRDefault="001E26C3"/>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1C55E92C" w14:textId="2D0AB526" w:rsidR="000B0DD6" w:rsidRDefault="000B0DD6">
      <w:r w:rsidRPr="005853EF">
        <w:tab/>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 xml:space="preserve">Our results highlight the carbon sequestration potential of forest in secondary succession </w:t>
      </w:r>
      <w:r>
        <w:t>as well as that of forest-agriculture mosaics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7A48719"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616F07F6" w14:textId="3EB6D5C6" w:rsidR="00CC2AF6" w:rsidRDefault="00CC2AF6">
      <w:pPr>
        <w:rPr>
          <w:b/>
          <w:bCs/>
        </w:rPr>
      </w:pPr>
      <w:r w:rsidRPr="00CC2AF6">
        <w:rPr>
          <w:b/>
          <w:bCs/>
        </w:rPr>
        <w:t>Conclusions</w:t>
      </w:r>
    </w:p>
    <w:p w14:paraId="6B967757" w14:textId="77777777" w:rsidR="00E14D59" w:rsidRDefault="00E14D59" w:rsidP="00E14D59">
      <w:pPr>
        <w:ind w:firstLine="360"/>
      </w:pPr>
      <w:r>
        <w:t>With the aim of contributing to a better understanding of the relative roles of environmental factors and land use on shaping AGB patterns across scales, here, we focus on a TMCF region located in southern Mexico that is subjected to both an environmental gradient and a land-use intensity gradient. Three research questions guide our study: (1) How much AGB does TMCF in this region hold and how is it spatially distributed? (2) How is AGB related to tree diversity in the study region? and (3) How does land-use intensity shape AGB patterns along an elevation gradient? We hypothesize first, that AGB in this TMCF will be larger than reported in regional and global estimates as has been the case for other cloud forests studied recently (refs), and that its spatial distribution will be driven by forest structural attributes, particularly by tree height, as in other TMCF described in the Neotropics (</w:t>
      </w:r>
      <w:proofErr w:type="spellStart"/>
      <w:r>
        <w:t>asner</w:t>
      </w:r>
      <w:proofErr w:type="spellEnd"/>
      <w:r>
        <w:t>). Secondly, we expect to find a positive correlation between tree diversity and AGB as has been found in lowland tropical forests (Porter et al.,) and in Mexican TMCF along land-use intensity gradients (Vizcaino-Bravo). Finally, we predict that environmental factors and land use will have a compounding effect on AGB along the elevation gradient where both land-use intensity and cooler temperatures led by elevation will decrease AGB.</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9857AB"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2681"/>
    <w:rsid w:val="00206844"/>
    <w:rsid w:val="002115D0"/>
    <w:rsid w:val="00212030"/>
    <w:rsid w:val="00220CB3"/>
    <w:rsid w:val="0022137E"/>
    <w:rsid w:val="00224730"/>
    <w:rsid w:val="0022570E"/>
    <w:rsid w:val="00230C7A"/>
    <w:rsid w:val="002325DA"/>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27E7"/>
    <w:rsid w:val="003B2C33"/>
    <w:rsid w:val="003B30D6"/>
    <w:rsid w:val="003B3E22"/>
    <w:rsid w:val="003C023A"/>
    <w:rsid w:val="003C0426"/>
    <w:rsid w:val="003C10D7"/>
    <w:rsid w:val="003C1EFA"/>
    <w:rsid w:val="003C65DB"/>
    <w:rsid w:val="003C761F"/>
    <w:rsid w:val="003D0ED2"/>
    <w:rsid w:val="003D1D2D"/>
    <w:rsid w:val="003D2208"/>
    <w:rsid w:val="003D324A"/>
    <w:rsid w:val="003D4556"/>
    <w:rsid w:val="003D53A5"/>
    <w:rsid w:val="003D5A98"/>
    <w:rsid w:val="003E046E"/>
    <w:rsid w:val="003E1C8A"/>
    <w:rsid w:val="003E3B7D"/>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171D1"/>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64C4"/>
    <w:rsid w:val="004677AF"/>
    <w:rsid w:val="00467A11"/>
    <w:rsid w:val="00467A84"/>
    <w:rsid w:val="00472738"/>
    <w:rsid w:val="004742D0"/>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4A01"/>
    <w:rsid w:val="004C4DB4"/>
    <w:rsid w:val="004C6BA6"/>
    <w:rsid w:val="004C7757"/>
    <w:rsid w:val="004D2629"/>
    <w:rsid w:val="004D3D5D"/>
    <w:rsid w:val="004E0150"/>
    <w:rsid w:val="004E1052"/>
    <w:rsid w:val="004E1F7D"/>
    <w:rsid w:val="004E55EF"/>
    <w:rsid w:val="004E6F8A"/>
    <w:rsid w:val="004E732D"/>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18AA"/>
    <w:rsid w:val="00633651"/>
    <w:rsid w:val="00645C2E"/>
    <w:rsid w:val="006460FA"/>
    <w:rsid w:val="00650B6A"/>
    <w:rsid w:val="00651389"/>
    <w:rsid w:val="00652431"/>
    <w:rsid w:val="006554A1"/>
    <w:rsid w:val="00662CC6"/>
    <w:rsid w:val="00663BB3"/>
    <w:rsid w:val="006650E7"/>
    <w:rsid w:val="006660A7"/>
    <w:rsid w:val="006669C3"/>
    <w:rsid w:val="00666CEE"/>
    <w:rsid w:val="00671C80"/>
    <w:rsid w:val="00675792"/>
    <w:rsid w:val="006802C9"/>
    <w:rsid w:val="006803A8"/>
    <w:rsid w:val="00680A64"/>
    <w:rsid w:val="00683A74"/>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3054"/>
    <w:rsid w:val="006E5D26"/>
    <w:rsid w:val="006E6EFF"/>
    <w:rsid w:val="006E78A9"/>
    <w:rsid w:val="006F0BD5"/>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4EDB"/>
    <w:rsid w:val="00726034"/>
    <w:rsid w:val="00726142"/>
    <w:rsid w:val="0072702F"/>
    <w:rsid w:val="00727EF5"/>
    <w:rsid w:val="007305F7"/>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3E23"/>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D3"/>
    <w:rsid w:val="009761E9"/>
    <w:rsid w:val="0097697B"/>
    <w:rsid w:val="009770A2"/>
    <w:rsid w:val="009807DE"/>
    <w:rsid w:val="009847A8"/>
    <w:rsid w:val="009853A5"/>
    <w:rsid w:val="009857AB"/>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4D97"/>
    <w:rsid w:val="00A80A61"/>
    <w:rsid w:val="00A80C1D"/>
    <w:rsid w:val="00A83370"/>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1B36"/>
    <w:rsid w:val="00B53E7F"/>
    <w:rsid w:val="00B54D88"/>
    <w:rsid w:val="00B54EE7"/>
    <w:rsid w:val="00B55C91"/>
    <w:rsid w:val="00B5719B"/>
    <w:rsid w:val="00B6180A"/>
    <w:rsid w:val="00B62CB2"/>
    <w:rsid w:val="00B65E6C"/>
    <w:rsid w:val="00B66E71"/>
    <w:rsid w:val="00B72679"/>
    <w:rsid w:val="00B76ADA"/>
    <w:rsid w:val="00B81BAE"/>
    <w:rsid w:val="00B81E94"/>
    <w:rsid w:val="00B83AC4"/>
    <w:rsid w:val="00B903B0"/>
    <w:rsid w:val="00B9368B"/>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4C30"/>
    <w:rsid w:val="00BF5C0C"/>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3817"/>
    <w:rsid w:val="00D23C2A"/>
    <w:rsid w:val="00D242F7"/>
    <w:rsid w:val="00D249F6"/>
    <w:rsid w:val="00D253CA"/>
    <w:rsid w:val="00D30874"/>
    <w:rsid w:val="00D311D0"/>
    <w:rsid w:val="00D311D4"/>
    <w:rsid w:val="00D349F1"/>
    <w:rsid w:val="00D36DA5"/>
    <w:rsid w:val="00D36F87"/>
    <w:rsid w:val="00D40D41"/>
    <w:rsid w:val="00D418C3"/>
    <w:rsid w:val="00D45388"/>
    <w:rsid w:val="00D47C4C"/>
    <w:rsid w:val="00D50E20"/>
    <w:rsid w:val="00D53E11"/>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C1F00"/>
    <w:rsid w:val="00DC23C1"/>
    <w:rsid w:val="00DC69AF"/>
    <w:rsid w:val="00DD0A7B"/>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22E7"/>
    <w:rsid w:val="00E429AD"/>
    <w:rsid w:val="00E4509E"/>
    <w:rsid w:val="00E462DB"/>
    <w:rsid w:val="00E51C05"/>
    <w:rsid w:val="00E543A4"/>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132E4"/>
    <w:rsid w:val="00F20EB7"/>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A93"/>
    <w:rsid w:val="00F4471C"/>
    <w:rsid w:val="00F452E1"/>
    <w:rsid w:val="00F46522"/>
    <w:rsid w:val="00F46FDD"/>
    <w:rsid w:val="00F50725"/>
    <w:rsid w:val="00F51417"/>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26926</TotalTime>
  <Pages>37</Pages>
  <Words>27195</Words>
  <Characters>155016</Characters>
  <Application>Microsoft Office Word</Application>
  <DocSecurity>0</DocSecurity>
  <Lines>1291</Lines>
  <Paragraphs>363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616</cp:revision>
  <dcterms:created xsi:type="dcterms:W3CDTF">2022-02-09T04:05:00Z</dcterms:created>
  <dcterms:modified xsi:type="dcterms:W3CDTF">2022-03-29T01:51:00Z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