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7777777" w:rsidR="00E6281A" w:rsidRDefault="00E6281A" w:rsidP="0084219F"/>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75E1C250" w14:textId="0E631960" w:rsidR="00D741B5" w:rsidRDefault="00961FAF">
      <w:r>
        <w:t xml:space="preserve">The precise quantification of carbon stocks in the aboveground component of tropical forests remains a challenge, particularly in tropical montane forests (TMF), where carbon has been historically understudied and underestimated. </w:t>
      </w:r>
    </w:p>
    <w:p w14:paraId="0AD14282" w14:textId="11F81E9B" w:rsidR="00D741B5" w:rsidRDefault="00D741B5">
      <w:r>
        <w:t>The role of tropical forest biomass in the world and climate.</w:t>
      </w:r>
    </w:p>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t>Yet, the effect of land use on AGB patterns remains poorly understood</w:t>
      </w:r>
      <w:r w:rsidR="001C370B">
        <w:t xml:space="preserve"> (despite playing </w:t>
      </w:r>
      <w:proofErr w:type="gramStart"/>
      <w:r w:rsidR="001C370B">
        <w:t>a large role</w:t>
      </w:r>
      <w:proofErr w:type="gramEnd"/>
      <w:r w:rsidR="001C370B">
        <w:t xml:space="preserve"> in aboveground C allocation)</w:t>
      </w:r>
      <w:r>
        <w:t xml:space="preserve">. </w:t>
      </w:r>
      <w:r w:rsidR="001C370B">
        <w:t xml:space="preserve">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w:t>
      </w:r>
      <w:proofErr w:type="gramStart"/>
      <w:r w:rsidR="001C370B">
        <w:t>Thus</w:t>
      </w:r>
      <w:proofErr w:type="gramEnd"/>
      <w:r w:rsidR="001C370B">
        <w:t xml:space="preserve">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lastRenderedPageBreak/>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w:t>
      </w:r>
      <w:proofErr w:type="gramStart"/>
      <w:r>
        <w:t>different sources</w:t>
      </w:r>
      <w:proofErr w:type="gramEnd"/>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published in the scientific literature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(Table S2 and references therein)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searched for the wood density value of each species or its closest relative in global wood density databases using the function </w:t>
      </w:r>
      <w:proofErr w:type="gramStart"/>
      <w:r w:rsidR="00BE31FA">
        <w:t>BIOMASS::</w:t>
      </w:r>
      <w:proofErr w:type="spellStart"/>
      <w:proofErr w:type="gramEnd"/>
      <w:r w:rsidR="00BE31FA">
        <w:t>getWoodDensity</w:t>
      </w:r>
      <w:proofErr w:type="spellEnd"/>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proofErr w:type="gramStart"/>
      <w:r w:rsidR="00202681">
        <w:t>BIOMASS::</w:t>
      </w:r>
      <w:proofErr w:type="spellStart"/>
      <w:proofErr w:type="gramEnd"/>
      <w:r w:rsidR="00B23B61">
        <w:t>AGBmonteCarlo</w:t>
      </w:r>
      <w:proofErr w:type="spellEnd"/>
      <w:r w:rsidR="00B23B61">
        <w:t xml:space="preserve">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D9247D"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all species sampled in the four plots within a site,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We focus on climate and topography and their interactions as key environmental variables moderating the effect of land-use intensity on species diversity and ecosystem AGB.</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 xml:space="preserve">annual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 xml:space="preserve">from </w:t>
      </w:r>
      <w:proofErr w:type="spellStart"/>
      <w:r w:rsidR="00625F72">
        <w:rPr>
          <w:rStyle w:val="textlayer--absolute"/>
          <w:rFonts w:cstheme="minorHAnsi"/>
        </w:rPr>
        <w:t>Wor</w:t>
      </w:r>
      <w:r w:rsidR="00A42F66">
        <w:rPr>
          <w:rStyle w:val="textlayer--absolute"/>
          <w:rFonts w:cstheme="minorHAnsi"/>
        </w:rPr>
        <w:t>ldClim</w:t>
      </w:r>
      <w:proofErr w:type="spellEnd"/>
      <w:r w:rsidR="00A42F66">
        <w:rPr>
          <w:rStyle w:val="textlayer--absolute"/>
          <w:rFonts w:cstheme="minorHAnsi"/>
        </w:rPr>
        <w:t xml:space="preserve">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 xml:space="preserve">We averaged plot values to obtain annual precipitation, mean annual temperature,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xml:space="preserve">, the proportion of </w:t>
      </w:r>
      <w:proofErr w:type="gramStart"/>
      <w:r w:rsidR="0096756D">
        <w:t>different types</w:t>
      </w:r>
      <w:proofErr w:type="gramEnd"/>
      <w:r w:rsidR="0096756D">
        <w:t xml:space="preserve">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2CB6338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w:t>
      </w:r>
      <w:r w:rsidR="005206CF">
        <w:t xml:space="preserve"> with R package XX</w:t>
      </w:r>
      <w:r w:rsidR="000B54CC">
        <w:t xml:space="preserve"> (Figure S1). Then, we compared 30 indices to define the best number of clusters and chose the one that was better supported by most indices. Most of the indices suggested three clusters as the best classification. Thus, from this analysis, </w:t>
      </w:r>
      <w:r w:rsidR="006004A9">
        <w:t>we classified plots in three</w:t>
      </w:r>
      <w:r w:rsidR="000B54CC">
        <w:t xml:space="preserv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w:t>
      </w:r>
      <w:r w:rsidR="00B47729">
        <w:t xml:space="preserve">immediately after croplands abandonment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46D74405"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w:t>
      </w:r>
      <w:r w:rsidR="00696FD0">
        <w:t>SS</w:t>
      </w:r>
      <w:r w:rsidR="008E6906">
        <w:t xml:space="preserve"> value present in a site and </w:t>
      </w:r>
      <w:proofErr w:type="spellStart"/>
      <w:r w:rsidR="008E6906" w:rsidRPr="008E6906">
        <w:rPr>
          <w:i/>
          <w:iCs/>
        </w:rPr>
        <w:t>maxSS</w:t>
      </w:r>
      <w:proofErr w:type="spellEnd"/>
      <w:r w:rsidR="008E6906">
        <w:t xml:space="preserve"> is the maximum possible </w:t>
      </w:r>
      <w:r w:rsidR="00696FD0">
        <w:t>SS</w:t>
      </w:r>
      <w:r w:rsidR="008E6906">
        <w:t xml:space="preserv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w:t>
      </w:r>
      <w:r w:rsidR="00696FD0">
        <w:t>when</w:t>
      </w:r>
      <w:r w:rsidR="008E6CAC">
        <w:t xml:space="preserve"> all plots </w:t>
      </w:r>
      <w:r w:rsidR="00696FD0">
        <w:t xml:space="preserve">within a site </w:t>
      </w:r>
      <w:r w:rsidR="008E6CAC">
        <w:t>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w:t>
      </w:r>
      <w:r w:rsidR="00696FD0">
        <w:t>when</w:t>
      </w:r>
      <w:r w:rsidR="008E6CAC">
        <w:t xml:space="preserve"> all plots </w:t>
      </w:r>
      <w:r w:rsidR="00696FD0">
        <w:t xml:space="preserve">within a site </w:t>
      </w:r>
      <w:r w:rsidR="008E6CAC">
        <w:t>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C90B426"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w:t>
      </w:r>
      <w:r w:rsidR="00696FD0">
        <w:t>disturbance</w:t>
      </w:r>
      <w:r w:rsidR="007962B2">
        <w:t xml:space="preserve">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3B6572B3"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EE7042">
        <w:t xml:space="preserve"> (Figure S2)</w:t>
      </w:r>
      <w:r w:rsidR="00131800">
        <w:t>.</w:t>
      </w:r>
      <w:r w:rsidR="00D249F6">
        <w:t xml:space="preserve"> Then, we </w:t>
      </w:r>
      <w:r w:rsidR="00EE7042">
        <w:t xml:space="preserve">deployed well-established statistical methods </w:t>
      </w:r>
      <w:r w:rsidR="00D249F6">
        <w:t xml:space="preserve">to answer </w:t>
      </w:r>
      <w:r w:rsidR="00EE7042">
        <w:t xml:space="preserve">each of </w:t>
      </w:r>
      <w:r w:rsidR="00D249F6">
        <w:t>our three main questions</w:t>
      </w:r>
      <w:r w:rsidR="003878AB">
        <w:t>. The following sections describe these analyses further.</w:t>
      </w:r>
      <w:r w:rsidR="00C90A5F">
        <w:t xml:space="preserve"> All statistical analyses were performed in R version 4.1.1 (2021).</w:t>
      </w:r>
    </w:p>
    <w:p w14:paraId="047BDB3B" w14:textId="2900840C" w:rsidR="004E732D" w:rsidRDefault="00530B74" w:rsidP="00F433B7">
      <w:r>
        <w:rPr>
          <w:i/>
          <w:iCs/>
        </w:rPr>
        <w:t xml:space="preserve">Q1. </w:t>
      </w:r>
      <w:r w:rsidR="00F433B7" w:rsidRPr="00F433B7">
        <w:rPr>
          <w:i/>
          <w:iCs/>
        </w:rPr>
        <w:t xml:space="preserve">AGB </w:t>
      </w:r>
      <w:r>
        <w:rPr>
          <w:i/>
          <w:iCs/>
        </w:rPr>
        <w:t>allocation</w:t>
      </w:r>
      <w:r w:rsidR="00F433B7" w:rsidRPr="00F433B7">
        <w:rPr>
          <w:i/>
          <w:iCs/>
        </w:rPr>
        <w:t xml:space="preserve">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2731D2E1" w14:textId="421DEB18" w:rsidR="00530B74" w:rsidRDefault="00530B74" w:rsidP="00530B74">
      <w:r>
        <w:rPr>
          <w:i/>
          <w:iCs/>
        </w:rPr>
        <w:t xml:space="preserve">Q2. </w:t>
      </w:r>
      <w:r w:rsidRPr="00F46522">
        <w:rPr>
          <w:i/>
          <w:iCs/>
        </w:rPr>
        <w:t xml:space="preserve">AGB relationship </w:t>
      </w:r>
      <w:r>
        <w:rPr>
          <w:i/>
          <w:iCs/>
        </w:rPr>
        <w:t>to</w:t>
      </w:r>
      <w:r w:rsidRPr="00F46522">
        <w:rPr>
          <w:i/>
          <w:iCs/>
        </w:rPr>
        <w:t xml:space="preserve"> tree diversity.</w:t>
      </w:r>
      <w:r>
        <w:t xml:space="preserve"> To understand the relationship between AGB and tree diversity in TMCF, we performed a series of nonparametric regression analysis. Nonparametric regressions allow to test relationships between two or more variables without assuming linearity. Given tree diversity and AGB in our dataset show a positive but weak correlation, we could not assume a linear relationship. Here, we assessed the relationship between AGB and diversity using Shannon diversity index (H) and species richness (S) in TMCF sites fitting locally weighted regression (loess) curves. Similarly, we performed these nonparametric regression analyses at plot level to test whether these relationships change over time through forest succession after disturbance. Although we do not have specific ages after disturbance, we evaluated these trends using the three-category successional stage we assigned to each plot (young fallows, young forest, and mature forest). </w:t>
      </w:r>
    </w:p>
    <w:p w14:paraId="46B8A3D6" w14:textId="319152B2" w:rsidR="004E732D" w:rsidRDefault="00530B74" w:rsidP="00732CE0">
      <w:r>
        <w:rPr>
          <w:i/>
          <w:iCs/>
        </w:rPr>
        <w:t xml:space="preserve">Q3. </w:t>
      </w:r>
      <w:r w:rsidR="00732CE0" w:rsidRPr="00732CE0">
        <w:rPr>
          <w:i/>
          <w:iCs/>
        </w:rPr>
        <w:t>AGB patterns along environmental and land</w:t>
      </w:r>
      <w:r w:rsidR="00603EE8">
        <w:rPr>
          <w:i/>
          <w:iCs/>
        </w:rPr>
        <w:t>-</w:t>
      </w:r>
      <w:r w:rsidR="00732CE0" w:rsidRPr="00732CE0">
        <w:rPr>
          <w:i/>
          <w:iCs/>
        </w:rPr>
        <w:t>use gradients</w:t>
      </w:r>
      <w:r w:rsidR="00732CE0">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proofErr w:type="gramStart"/>
      <w:r w:rsidR="001715F4">
        <w:t xml:space="preserve">similar </w:t>
      </w:r>
      <w:r w:rsidR="00802976">
        <w:t>to</w:t>
      </w:r>
      <w:proofErr w:type="gramEnd"/>
      <w:r w:rsidR="00802976">
        <w:t xml:space="preserve">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w:t>
      </w:r>
      <w:proofErr w:type="gramStart"/>
      <w:r>
        <w:t>a large proportion</w:t>
      </w:r>
      <w:proofErr w:type="gramEnd"/>
      <w:r>
        <w:t xml:space="preserve">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w:t>
      </w:r>
      <w:proofErr w:type="gramStart"/>
      <w:r w:rsidR="009427D2">
        <w:t>a large proportion</w:t>
      </w:r>
      <w:proofErr w:type="gramEnd"/>
      <w:r w:rsidR="009427D2">
        <w:t xml:space="preserve">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506178D7" w:rsidR="006F0BD5" w:rsidRDefault="006F0BD5" w:rsidP="006F0BD5">
      <w:pPr>
        <w:pStyle w:val="Prrafodelista"/>
        <w:numPr>
          <w:ilvl w:val="0"/>
          <w:numId w:val="3"/>
        </w:numPr>
      </w:pPr>
      <w:r>
        <w:t>AGB is stored in very large trees in mature forests but in medium trees in young forests.</w:t>
      </w:r>
    </w:p>
    <w:p w14:paraId="4665A24D" w14:textId="660E6127" w:rsidR="000F7DED" w:rsidRDefault="000F7DED" w:rsidP="006F0BD5">
      <w:pPr>
        <w:pStyle w:val="Prrafodelista"/>
        <w:numPr>
          <w:ilvl w:val="0"/>
          <w:numId w:val="3"/>
        </w:numPr>
      </w:pPr>
      <w:r>
        <w:t>Variation in AGB allocation arises from structural differences: mature forests in large trees, secondary forests in high stem density</w:t>
      </w:r>
    </w:p>
    <w:p w14:paraId="37BAB57E" w14:textId="1881289C" w:rsidR="006F0BD5" w:rsidRDefault="006F0BD5" w:rsidP="006F0BD5">
      <w:pPr>
        <w:pStyle w:val="Prrafodelista"/>
        <w:numPr>
          <w:ilvl w:val="0"/>
          <w:numId w:val="3"/>
        </w:numPr>
      </w:pPr>
      <w:r>
        <w:t xml:space="preserve">Secondary forests can hold relatively </w:t>
      </w:r>
      <w:proofErr w:type="gramStart"/>
      <w:r>
        <w:t>large amounts</w:t>
      </w:r>
      <w:proofErr w:type="gramEnd"/>
      <w:r>
        <w:t xml:space="preserve">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w:t>
      </w:r>
      <w:proofErr w:type="gramStart"/>
      <w:r w:rsidR="00415A47">
        <w:t>a different way</w:t>
      </w:r>
      <w:proofErr w:type="gramEnd"/>
      <w:r w:rsidR="00415A47">
        <w:t xml:space="preserve">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2E09C8" w14:paraId="0A3B2C70" w14:textId="77777777" w:rsidTr="00FD0D17">
        <w:tc>
          <w:tcPr>
            <w:tcW w:w="3114" w:type="dxa"/>
            <w:tcBorders>
              <w:top w:val="single" w:sz="4" w:space="0" w:color="auto"/>
              <w:left w:val="single" w:sz="4" w:space="0" w:color="auto"/>
              <w:bottom w:val="single" w:sz="4" w:space="0" w:color="auto"/>
              <w:right w:val="single" w:sz="4" w:space="0" w:color="auto"/>
            </w:tcBorders>
          </w:tcPr>
          <w:p w14:paraId="0CE40A43" w14:textId="315AD011" w:rsidR="002E09C8" w:rsidRDefault="002E09C8">
            <w:r>
              <w:t>Average wood density (g cm</w:t>
            </w:r>
            <w:r>
              <w:rPr>
                <w:vertAlign w:val="superscript"/>
              </w:rPr>
              <w:t>-3</w:t>
            </w:r>
            <w:r>
              <w:t>)</w:t>
            </w:r>
          </w:p>
        </w:tc>
        <w:tc>
          <w:tcPr>
            <w:tcW w:w="1559" w:type="dxa"/>
            <w:tcBorders>
              <w:top w:val="single" w:sz="4" w:space="0" w:color="auto"/>
              <w:left w:val="single" w:sz="4" w:space="0" w:color="auto"/>
              <w:bottom w:val="single" w:sz="4" w:space="0" w:color="auto"/>
              <w:right w:val="single" w:sz="4" w:space="0" w:color="auto"/>
            </w:tcBorders>
          </w:tcPr>
          <w:p w14:paraId="236A6955" w14:textId="5B5958C8" w:rsidR="002E09C8" w:rsidRDefault="002E09C8">
            <w:pPr>
              <w:rPr>
                <w:rFonts w:cstheme="minorHAnsi"/>
              </w:rPr>
            </w:pPr>
            <w:r>
              <w:rPr>
                <w:rFonts w:cstheme="minorHAnsi"/>
              </w:rPr>
              <w:t xml:space="preserve">0.32 </w:t>
            </w:r>
            <w:r>
              <w:rPr>
                <w:rFonts w:ascii="French Script MT" w:hAnsi="French Script MT"/>
              </w:rPr>
              <w:t>±</w:t>
            </w:r>
            <w:r>
              <w:rPr>
                <w:rFonts w:ascii="French Script MT" w:hAnsi="French Script MT"/>
              </w:rPr>
              <w:t xml:space="preserve"> </w:t>
            </w:r>
            <w:r>
              <w:rPr>
                <w:rFonts w:cstheme="minorHAnsi"/>
              </w:rPr>
              <w:t>0.02</w:t>
            </w:r>
          </w:p>
        </w:tc>
        <w:tc>
          <w:tcPr>
            <w:tcW w:w="1843" w:type="dxa"/>
            <w:tcBorders>
              <w:top w:val="single" w:sz="4" w:space="0" w:color="auto"/>
              <w:left w:val="single" w:sz="4" w:space="0" w:color="auto"/>
              <w:bottom w:val="single" w:sz="4" w:space="0" w:color="auto"/>
              <w:right w:val="single" w:sz="4" w:space="0" w:color="auto"/>
            </w:tcBorders>
          </w:tcPr>
          <w:p w14:paraId="4457B62C" w14:textId="5832D08E" w:rsidR="002E09C8" w:rsidRDefault="002E09C8">
            <w:pPr>
              <w:rPr>
                <w:rFonts w:cstheme="minorHAnsi"/>
              </w:rPr>
            </w:pPr>
            <w:r>
              <w:rPr>
                <w:rFonts w:cstheme="minorHAnsi"/>
              </w:rPr>
              <w:t xml:space="preserve">0.76 </w:t>
            </w:r>
            <w:r>
              <w:rPr>
                <w:rFonts w:ascii="French Script MT" w:hAnsi="French Script MT"/>
              </w:rPr>
              <w:t>±</w:t>
            </w:r>
            <w:r>
              <w:rPr>
                <w:rFonts w:ascii="French Script MT" w:hAnsi="French Script MT"/>
              </w:rPr>
              <w:t xml:space="preserve"> </w:t>
            </w:r>
            <w:r>
              <w:rPr>
                <w:rFonts w:cstheme="minorHAnsi"/>
              </w:rPr>
              <w:t>0.01</w:t>
            </w:r>
          </w:p>
        </w:tc>
        <w:tc>
          <w:tcPr>
            <w:tcW w:w="1701" w:type="dxa"/>
            <w:tcBorders>
              <w:top w:val="single" w:sz="4" w:space="0" w:color="auto"/>
              <w:left w:val="single" w:sz="4" w:space="0" w:color="auto"/>
              <w:bottom w:val="single" w:sz="4" w:space="0" w:color="auto"/>
              <w:right w:val="single" w:sz="4" w:space="0" w:color="auto"/>
            </w:tcBorders>
          </w:tcPr>
          <w:p w14:paraId="73F49D15" w14:textId="5859DC50" w:rsidR="002E09C8" w:rsidRDefault="00A17444">
            <w:pPr>
              <w:rPr>
                <w:rFonts w:cstheme="minorHAnsi"/>
              </w:rPr>
            </w:pPr>
            <w:r>
              <w:rPr>
                <w:rFonts w:cstheme="minorHAnsi"/>
              </w:rPr>
              <w:t xml:space="preserve">0.56 </w:t>
            </w:r>
            <w:r>
              <w:rPr>
                <w:rFonts w:ascii="French Script MT" w:hAnsi="French Script MT"/>
              </w:rPr>
              <w:t>±</w:t>
            </w:r>
            <w:r>
              <w:rPr>
                <w:rFonts w:ascii="French Script MT" w:hAnsi="French Script MT"/>
              </w:rPr>
              <w:t xml:space="preserve"> </w:t>
            </w:r>
            <w:r>
              <w:rPr>
                <w:rFonts w:cstheme="minorHAnsi"/>
              </w:rPr>
              <w:t>0.14</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825"/>
        <w:gridCol w:w="830"/>
        <w:gridCol w:w="876"/>
        <w:gridCol w:w="851"/>
        <w:gridCol w:w="850"/>
        <w:gridCol w:w="851"/>
        <w:gridCol w:w="850"/>
      </w:tblGrid>
      <w:tr w:rsidR="009E0F27" w14:paraId="36BF54E6" w14:textId="1BF612C3" w:rsidTr="00206844">
        <w:tc>
          <w:tcPr>
            <w:tcW w:w="2825" w:type="dxa"/>
            <w:vMerge w:val="restart"/>
          </w:tcPr>
          <w:p w14:paraId="56D1B94D" w14:textId="32EEB8D4" w:rsidR="009E0F27" w:rsidRPr="009E0F27" w:rsidRDefault="009E0F27" w:rsidP="00FF13E6">
            <w:pPr>
              <w:rPr>
                <w:b/>
                <w:bCs/>
              </w:rPr>
            </w:pPr>
          </w:p>
        </w:tc>
        <w:tc>
          <w:tcPr>
            <w:tcW w:w="1706"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1701" w:type="dxa"/>
            <w:gridSpan w:val="2"/>
          </w:tcPr>
          <w:p w14:paraId="2685C494" w14:textId="0B8FB54A" w:rsidR="009E0F27" w:rsidRPr="004A4121" w:rsidRDefault="004A4121" w:rsidP="00BC2B5F">
            <w:pPr>
              <w:jc w:val="center"/>
              <w:rPr>
                <w:b/>
                <w:bCs/>
              </w:rPr>
            </w:pPr>
            <w:r w:rsidRPr="004A4121">
              <w:rPr>
                <w:b/>
                <w:bCs/>
              </w:rPr>
              <w:t>Y (n= 62)</w:t>
            </w:r>
          </w:p>
        </w:tc>
        <w:tc>
          <w:tcPr>
            <w:tcW w:w="1701"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206844">
        <w:tc>
          <w:tcPr>
            <w:tcW w:w="2825" w:type="dxa"/>
            <w:vMerge/>
          </w:tcPr>
          <w:p w14:paraId="6528D1F2" w14:textId="1A6DD982" w:rsidR="009E0F27" w:rsidRPr="009E0F27" w:rsidRDefault="009E0F27" w:rsidP="00FF13E6">
            <w:pPr>
              <w:rPr>
                <w:b/>
                <w:bCs/>
              </w:rPr>
            </w:pPr>
          </w:p>
        </w:tc>
        <w:tc>
          <w:tcPr>
            <w:tcW w:w="830" w:type="dxa"/>
          </w:tcPr>
          <w:p w14:paraId="6A0B1B4F" w14:textId="05BD83AF" w:rsidR="009E0F27" w:rsidRPr="009E0F27" w:rsidRDefault="009E0F27" w:rsidP="00FF13E6">
            <w:pPr>
              <w:rPr>
                <w:b/>
                <w:bCs/>
              </w:rPr>
            </w:pPr>
            <w:r w:rsidRPr="009E0F27">
              <w:rPr>
                <w:b/>
                <w:bCs/>
              </w:rPr>
              <w:t xml:space="preserve">Mean </w:t>
            </w:r>
          </w:p>
        </w:tc>
        <w:tc>
          <w:tcPr>
            <w:tcW w:w="876" w:type="dxa"/>
          </w:tcPr>
          <w:p w14:paraId="4723A334" w14:textId="527180AD" w:rsidR="009E0F27" w:rsidRPr="009E0F27" w:rsidRDefault="009E0F27" w:rsidP="00FF13E6">
            <w:pPr>
              <w:rPr>
                <w:b/>
                <w:bCs/>
              </w:rPr>
            </w:pPr>
            <w:r w:rsidRPr="009E0F27">
              <w:rPr>
                <w:b/>
                <w:bCs/>
              </w:rPr>
              <w:t>S.D.</w:t>
            </w:r>
          </w:p>
        </w:tc>
        <w:tc>
          <w:tcPr>
            <w:tcW w:w="851" w:type="dxa"/>
          </w:tcPr>
          <w:p w14:paraId="3D38E53F" w14:textId="7FF4864E" w:rsidR="009E0F27" w:rsidRPr="009E0F27" w:rsidRDefault="009E0F27" w:rsidP="00FF13E6">
            <w:pPr>
              <w:rPr>
                <w:b/>
                <w:bCs/>
              </w:rPr>
            </w:pPr>
            <w:r w:rsidRPr="009E0F27">
              <w:rPr>
                <w:b/>
                <w:bCs/>
              </w:rPr>
              <w:t xml:space="preserve">Mean </w:t>
            </w:r>
          </w:p>
        </w:tc>
        <w:tc>
          <w:tcPr>
            <w:tcW w:w="850" w:type="dxa"/>
          </w:tcPr>
          <w:p w14:paraId="6477B3F0" w14:textId="62D1667B" w:rsidR="009E0F27" w:rsidRPr="009E0F27" w:rsidRDefault="009E0F27" w:rsidP="00FF13E6">
            <w:pPr>
              <w:rPr>
                <w:b/>
                <w:bCs/>
              </w:rPr>
            </w:pPr>
            <w:r w:rsidRPr="009E0F27">
              <w:rPr>
                <w:b/>
                <w:bCs/>
              </w:rPr>
              <w:t>S.D.</w:t>
            </w:r>
          </w:p>
        </w:tc>
        <w:tc>
          <w:tcPr>
            <w:tcW w:w="851" w:type="dxa"/>
          </w:tcPr>
          <w:p w14:paraId="47E410EF" w14:textId="303D245B" w:rsidR="009E0F27" w:rsidRPr="009E0F27" w:rsidRDefault="009E0F27" w:rsidP="00FF13E6">
            <w:pPr>
              <w:rPr>
                <w:b/>
                <w:bCs/>
              </w:rPr>
            </w:pPr>
            <w:r w:rsidRPr="009E0F27">
              <w:rPr>
                <w:b/>
                <w:bCs/>
              </w:rPr>
              <w:t xml:space="preserve">Mean </w:t>
            </w:r>
          </w:p>
        </w:tc>
        <w:tc>
          <w:tcPr>
            <w:tcW w:w="850" w:type="dxa"/>
          </w:tcPr>
          <w:p w14:paraId="00D8DA37" w14:textId="2C6816BD" w:rsidR="009E0F27" w:rsidRPr="009E0F27" w:rsidRDefault="009E0F27" w:rsidP="00FF13E6">
            <w:pPr>
              <w:rPr>
                <w:b/>
                <w:bCs/>
              </w:rPr>
            </w:pPr>
            <w:r w:rsidRPr="009E0F27">
              <w:rPr>
                <w:b/>
                <w:bCs/>
              </w:rPr>
              <w:t>S.D.</w:t>
            </w:r>
          </w:p>
        </w:tc>
      </w:tr>
      <w:tr w:rsidR="00FF13E6" w14:paraId="146080DE" w14:textId="1A381812" w:rsidTr="00206844">
        <w:tc>
          <w:tcPr>
            <w:tcW w:w="2825"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830" w:type="dxa"/>
          </w:tcPr>
          <w:p w14:paraId="75F06800" w14:textId="013BB285" w:rsidR="00FF13E6" w:rsidRDefault="00FF13E6" w:rsidP="00FF13E6">
            <w:r w:rsidRPr="00FF13E6">
              <w:t>275.00</w:t>
            </w:r>
            <w:r>
              <w:t xml:space="preserve"> </w:t>
            </w:r>
          </w:p>
        </w:tc>
        <w:tc>
          <w:tcPr>
            <w:tcW w:w="876" w:type="dxa"/>
          </w:tcPr>
          <w:p w14:paraId="22D2C73B" w14:textId="492CAB8B" w:rsidR="00FF13E6" w:rsidRDefault="00FF13E6" w:rsidP="00FF13E6">
            <w:r w:rsidRPr="00FF13E6">
              <w:t>166.55</w:t>
            </w:r>
          </w:p>
        </w:tc>
        <w:tc>
          <w:tcPr>
            <w:tcW w:w="851" w:type="dxa"/>
          </w:tcPr>
          <w:p w14:paraId="0B31E666" w14:textId="19AC92A0" w:rsidR="00FF13E6" w:rsidRDefault="00FF13E6" w:rsidP="00FF13E6">
            <w:r w:rsidRPr="00FF13E6">
              <w:t>986.69</w:t>
            </w:r>
          </w:p>
        </w:tc>
        <w:tc>
          <w:tcPr>
            <w:tcW w:w="850" w:type="dxa"/>
          </w:tcPr>
          <w:p w14:paraId="0D19E65E" w14:textId="4F9EC9B2" w:rsidR="00FF13E6" w:rsidRPr="00FF13E6" w:rsidRDefault="00FF13E6" w:rsidP="00FF13E6">
            <w:r w:rsidRPr="00FF13E6">
              <w:t>444.38</w:t>
            </w:r>
          </w:p>
        </w:tc>
        <w:tc>
          <w:tcPr>
            <w:tcW w:w="851" w:type="dxa"/>
          </w:tcPr>
          <w:p w14:paraId="7963413C" w14:textId="41176CD5" w:rsidR="00FF13E6" w:rsidRPr="00FF13E6" w:rsidRDefault="00FF13E6" w:rsidP="00FF13E6">
            <w:r w:rsidRPr="00FF13E6">
              <w:t>775.86</w:t>
            </w:r>
          </w:p>
        </w:tc>
        <w:tc>
          <w:tcPr>
            <w:tcW w:w="850" w:type="dxa"/>
          </w:tcPr>
          <w:p w14:paraId="750024D5" w14:textId="08C678DD" w:rsidR="00FF13E6" w:rsidRPr="00FF13E6" w:rsidRDefault="00FF13E6" w:rsidP="00FF13E6">
            <w:r w:rsidRPr="00FF13E6">
              <w:t>313.14</w:t>
            </w:r>
          </w:p>
        </w:tc>
      </w:tr>
      <w:tr w:rsidR="00FF13E6" w14:paraId="55605DFB" w14:textId="2191F0DC" w:rsidTr="00206844">
        <w:tc>
          <w:tcPr>
            <w:tcW w:w="2825"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830" w:type="dxa"/>
          </w:tcPr>
          <w:p w14:paraId="0DE45DC3" w14:textId="6A3C3815" w:rsidR="00FF13E6" w:rsidRDefault="00FF13E6" w:rsidP="00FF13E6">
            <w:r w:rsidRPr="00FF13E6">
              <w:t>6.87</w:t>
            </w:r>
          </w:p>
        </w:tc>
        <w:tc>
          <w:tcPr>
            <w:tcW w:w="876" w:type="dxa"/>
          </w:tcPr>
          <w:p w14:paraId="0CEDC61A" w14:textId="40A30612" w:rsidR="00FF13E6" w:rsidRDefault="00FF13E6" w:rsidP="00FF13E6">
            <w:r w:rsidRPr="00FF13E6">
              <w:t>4.43</w:t>
            </w:r>
          </w:p>
        </w:tc>
        <w:tc>
          <w:tcPr>
            <w:tcW w:w="851" w:type="dxa"/>
          </w:tcPr>
          <w:p w14:paraId="18D59922" w14:textId="0C81B941" w:rsidR="00FF13E6" w:rsidRDefault="00FF13E6" w:rsidP="00FF13E6">
            <w:r>
              <w:t>24.75</w:t>
            </w:r>
          </w:p>
        </w:tc>
        <w:tc>
          <w:tcPr>
            <w:tcW w:w="850" w:type="dxa"/>
          </w:tcPr>
          <w:p w14:paraId="713DD6C2" w14:textId="21A19A07" w:rsidR="00FF13E6" w:rsidRDefault="00FF13E6" w:rsidP="00FF13E6">
            <w:r>
              <w:t>9.33</w:t>
            </w:r>
          </w:p>
        </w:tc>
        <w:tc>
          <w:tcPr>
            <w:tcW w:w="851" w:type="dxa"/>
          </w:tcPr>
          <w:p w14:paraId="4830BD33" w14:textId="3AB70A36" w:rsidR="00FF13E6" w:rsidRDefault="00FF13E6" w:rsidP="00FF13E6">
            <w:r w:rsidRPr="00FF13E6">
              <w:t>43.42</w:t>
            </w:r>
          </w:p>
        </w:tc>
        <w:tc>
          <w:tcPr>
            <w:tcW w:w="850" w:type="dxa"/>
          </w:tcPr>
          <w:p w14:paraId="76D1F253" w14:textId="3DE4ACD0" w:rsidR="00FF13E6" w:rsidRDefault="00FF13E6" w:rsidP="00FF13E6">
            <w:r w:rsidRPr="00FF13E6">
              <w:t>13.28</w:t>
            </w:r>
          </w:p>
        </w:tc>
      </w:tr>
      <w:tr w:rsidR="00FF13E6" w14:paraId="01E1C4B8" w14:textId="6F4A4226" w:rsidTr="00206844">
        <w:tc>
          <w:tcPr>
            <w:tcW w:w="2825" w:type="dxa"/>
          </w:tcPr>
          <w:p w14:paraId="6D023B99" w14:textId="1E3A0968" w:rsidR="00FF13E6" w:rsidRDefault="00FF13E6" w:rsidP="00FF13E6">
            <w:proofErr w:type="spellStart"/>
            <w:r>
              <w:t>Lorey’s</w:t>
            </w:r>
            <w:proofErr w:type="spellEnd"/>
            <w:r>
              <w:t xml:space="preserve"> height (m)</w:t>
            </w:r>
          </w:p>
        </w:tc>
        <w:tc>
          <w:tcPr>
            <w:tcW w:w="830" w:type="dxa"/>
          </w:tcPr>
          <w:p w14:paraId="09B55F7C" w14:textId="23407E6F" w:rsidR="00FF13E6" w:rsidRDefault="00FF13E6" w:rsidP="00FF13E6">
            <w:pPr>
              <w:tabs>
                <w:tab w:val="left" w:pos="493"/>
              </w:tabs>
            </w:pPr>
            <w:r w:rsidRPr="00FF13E6">
              <w:t>9.37</w:t>
            </w:r>
          </w:p>
        </w:tc>
        <w:tc>
          <w:tcPr>
            <w:tcW w:w="876" w:type="dxa"/>
          </w:tcPr>
          <w:p w14:paraId="0E1CD81D" w14:textId="642D8061" w:rsidR="00FF13E6" w:rsidRDefault="00FF13E6" w:rsidP="00FF13E6">
            <w:r w:rsidRPr="00FF13E6">
              <w:t>3.55</w:t>
            </w:r>
          </w:p>
        </w:tc>
        <w:tc>
          <w:tcPr>
            <w:tcW w:w="851" w:type="dxa"/>
          </w:tcPr>
          <w:p w14:paraId="039B8FA1" w14:textId="67AC9DC5" w:rsidR="00FF13E6" w:rsidRDefault="00FF13E6" w:rsidP="00FF13E6">
            <w:pPr>
              <w:tabs>
                <w:tab w:val="left" w:pos="455"/>
              </w:tabs>
            </w:pPr>
            <w:r>
              <w:t>11.76</w:t>
            </w:r>
          </w:p>
        </w:tc>
        <w:tc>
          <w:tcPr>
            <w:tcW w:w="850" w:type="dxa"/>
          </w:tcPr>
          <w:p w14:paraId="70BDCAF1" w14:textId="3D347CB9" w:rsidR="00FF13E6" w:rsidRDefault="00FF13E6" w:rsidP="00FF13E6">
            <w:r>
              <w:t>2.36</w:t>
            </w:r>
          </w:p>
        </w:tc>
        <w:tc>
          <w:tcPr>
            <w:tcW w:w="851" w:type="dxa"/>
          </w:tcPr>
          <w:p w14:paraId="27EE9FC1" w14:textId="1B0F8380" w:rsidR="00FF13E6" w:rsidRDefault="00FF13E6" w:rsidP="00FF13E6">
            <w:r w:rsidRPr="00FF13E6">
              <w:t>21.31</w:t>
            </w:r>
          </w:p>
        </w:tc>
        <w:tc>
          <w:tcPr>
            <w:tcW w:w="850" w:type="dxa"/>
          </w:tcPr>
          <w:p w14:paraId="0ED8B082" w14:textId="21B528A3" w:rsidR="00FF13E6" w:rsidRDefault="00FF13E6" w:rsidP="00FF13E6">
            <w:r w:rsidRPr="00FF13E6">
              <w:t>3.12</w:t>
            </w:r>
          </w:p>
        </w:tc>
      </w:tr>
      <w:tr w:rsidR="00206844" w14:paraId="4FBA6F66" w14:textId="77777777" w:rsidTr="00206844">
        <w:tc>
          <w:tcPr>
            <w:tcW w:w="2825" w:type="dxa"/>
          </w:tcPr>
          <w:p w14:paraId="31598D52" w14:textId="72736019" w:rsidR="00206844" w:rsidRDefault="00206844" w:rsidP="00FF13E6">
            <w:r>
              <w:t xml:space="preserve">Mean wood density </w:t>
            </w:r>
            <w:r>
              <w:t>(g cm</w:t>
            </w:r>
            <w:r>
              <w:rPr>
                <w:vertAlign w:val="superscript"/>
              </w:rPr>
              <w:t>-3</w:t>
            </w:r>
            <w:r>
              <w:t>)</w:t>
            </w:r>
          </w:p>
        </w:tc>
        <w:tc>
          <w:tcPr>
            <w:tcW w:w="830" w:type="dxa"/>
          </w:tcPr>
          <w:p w14:paraId="538F622C" w14:textId="0EBA7D1C" w:rsidR="00206844" w:rsidRPr="00FF13E6" w:rsidRDefault="00206844" w:rsidP="00FF13E6">
            <w:pPr>
              <w:tabs>
                <w:tab w:val="left" w:pos="493"/>
              </w:tabs>
            </w:pPr>
            <w:r>
              <w:t>0.49</w:t>
            </w:r>
          </w:p>
        </w:tc>
        <w:tc>
          <w:tcPr>
            <w:tcW w:w="876" w:type="dxa"/>
          </w:tcPr>
          <w:p w14:paraId="3EB61497" w14:textId="54A0A582" w:rsidR="00206844" w:rsidRPr="00FF13E6" w:rsidRDefault="00206844" w:rsidP="00FF13E6">
            <w:r>
              <w:t>0.13</w:t>
            </w:r>
          </w:p>
        </w:tc>
        <w:tc>
          <w:tcPr>
            <w:tcW w:w="851" w:type="dxa"/>
          </w:tcPr>
          <w:p w14:paraId="6A40C031" w14:textId="01EB5C3E" w:rsidR="00206844" w:rsidRDefault="00206844" w:rsidP="00FF13E6">
            <w:pPr>
              <w:tabs>
                <w:tab w:val="left" w:pos="455"/>
              </w:tabs>
            </w:pPr>
            <w:r>
              <w:t>0.57</w:t>
            </w:r>
          </w:p>
        </w:tc>
        <w:tc>
          <w:tcPr>
            <w:tcW w:w="850" w:type="dxa"/>
          </w:tcPr>
          <w:p w14:paraId="511A01C0" w14:textId="147C5D54" w:rsidR="00206844" w:rsidRDefault="00206844" w:rsidP="00FF13E6">
            <w:r>
              <w:t>0.08</w:t>
            </w:r>
          </w:p>
        </w:tc>
        <w:tc>
          <w:tcPr>
            <w:tcW w:w="851" w:type="dxa"/>
          </w:tcPr>
          <w:p w14:paraId="6DC1F671" w14:textId="2751BD24" w:rsidR="00206844" w:rsidRPr="00FF13E6" w:rsidRDefault="00206844" w:rsidP="00FF13E6">
            <w:r>
              <w:t>0.57</w:t>
            </w:r>
          </w:p>
        </w:tc>
        <w:tc>
          <w:tcPr>
            <w:tcW w:w="850" w:type="dxa"/>
          </w:tcPr>
          <w:p w14:paraId="45184922" w14:textId="06BD4212" w:rsidR="00206844" w:rsidRPr="00FF13E6" w:rsidRDefault="00206844" w:rsidP="00FF13E6">
            <w:r>
              <w:t>0.08</w:t>
            </w:r>
          </w:p>
        </w:tc>
      </w:tr>
      <w:tr w:rsidR="00FF13E6" w14:paraId="1ED5B0EA" w14:textId="29F812B7" w:rsidTr="00206844">
        <w:tc>
          <w:tcPr>
            <w:tcW w:w="2825"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830" w:type="dxa"/>
          </w:tcPr>
          <w:p w14:paraId="5906B717" w14:textId="7C3F307A" w:rsidR="00FF13E6" w:rsidRDefault="00FF13E6" w:rsidP="00FF13E6">
            <w:r w:rsidRPr="00FF13E6">
              <w:t>33.38</w:t>
            </w:r>
          </w:p>
        </w:tc>
        <w:tc>
          <w:tcPr>
            <w:tcW w:w="876" w:type="dxa"/>
          </w:tcPr>
          <w:p w14:paraId="71AAC757" w14:textId="1F33B574" w:rsidR="00FF13E6" w:rsidRDefault="00FF13E6" w:rsidP="00FF13E6">
            <w:r w:rsidRPr="00FF13E6">
              <w:t>32.63</w:t>
            </w:r>
          </w:p>
        </w:tc>
        <w:tc>
          <w:tcPr>
            <w:tcW w:w="851" w:type="dxa"/>
          </w:tcPr>
          <w:p w14:paraId="3FAE5A94" w14:textId="1DC4E3CE" w:rsidR="00FF13E6" w:rsidRDefault="00FF13E6" w:rsidP="00FF13E6">
            <w:r>
              <w:t>151.69</w:t>
            </w:r>
          </w:p>
        </w:tc>
        <w:tc>
          <w:tcPr>
            <w:tcW w:w="850" w:type="dxa"/>
          </w:tcPr>
          <w:p w14:paraId="1C33465E" w14:textId="25642650" w:rsidR="00FF13E6" w:rsidRDefault="00FF13E6" w:rsidP="00FF13E6">
            <w:r>
              <w:t>92.04</w:t>
            </w:r>
          </w:p>
        </w:tc>
        <w:tc>
          <w:tcPr>
            <w:tcW w:w="851" w:type="dxa"/>
          </w:tcPr>
          <w:p w14:paraId="51CD1C29" w14:textId="0E1E81B0" w:rsidR="00FF13E6" w:rsidRDefault="00FF13E6" w:rsidP="00FF13E6">
            <w:r w:rsidRPr="00FF13E6">
              <w:t>354.86</w:t>
            </w:r>
          </w:p>
        </w:tc>
        <w:tc>
          <w:tcPr>
            <w:tcW w:w="850" w:type="dxa"/>
          </w:tcPr>
          <w:p w14:paraId="2CF2C5C2" w14:textId="43620060" w:rsidR="00FF13E6" w:rsidRDefault="00FF13E6" w:rsidP="00FF13E6">
            <w:pPr>
              <w:tabs>
                <w:tab w:val="left" w:pos="436"/>
              </w:tabs>
            </w:pPr>
            <w:r w:rsidRPr="00FF13E6">
              <w:t>151.60</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46EBD8DC" w:rsidR="004A19D6" w:rsidRDefault="00D23C2A" w:rsidP="00A85DD8">
            <w:r>
              <w:t xml:space="preserve">Land-use intensity </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2FDF0ED" w14:textId="77777777" w:rsidTr="006F746E">
        <w:tc>
          <w:tcPr>
            <w:tcW w:w="8828" w:type="dxa"/>
          </w:tcPr>
          <w:p w14:paraId="2A6F1824" w14:textId="7D017A79" w:rsidR="0058516A" w:rsidRDefault="009A66FD" w:rsidP="000A5956">
            <w:pPr>
              <w:jc w:val="center"/>
            </w:pPr>
            <w:r>
              <w:rPr>
                <w:noProof/>
              </w:rPr>
              <w:drawing>
                <wp:inline distT="0" distB="0" distL="0" distR="0" wp14:anchorId="3CC470CA" wp14:editId="1F9D3EE6">
                  <wp:extent cx="5612130" cy="5211445"/>
                  <wp:effectExtent l="0" t="0" r="7620" b="8255"/>
                  <wp:docPr id="2"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cajas y bigotes&#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211445"/>
                          </a:xfrm>
                          <a:prstGeom prst="rect">
                            <a:avLst/>
                          </a:prstGeom>
                        </pic:spPr>
                      </pic:pic>
                    </a:graphicData>
                  </a:graphic>
                </wp:inline>
              </w:drawing>
            </w:r>
          </w:p>
        </w:tc>
      </w:tr>
      <w:tr w:rsidR="0058516A" w14:paraId="08DAD323" w14:textId="77777777" w:rsidTr="006F746E">
        <w:tc>
          <w:tcPr>
            <w:tcW w:w="8828" w:type="dxa"/>
          </w:tcPr>
          <w:p w14:paraId="3EA1A231" w14:textId="14C2AA23" w:rsidR="00C45B5D" w:rsidRDefault="0058516A">
            <w:r>
              <w:t xml:space="preserve">Figure 2. Comparison of a) stem density, b) </w:t>
            </w:r>
            <w:proofErr w:type="spellStart"/>
            <w:r>
              <w:t>Lorey’s</w:t>
            </w:r>
            <w:proofErr w:type="spellEnd"/>
            <w:r>
              <w:t xml:space="preserve"> height, c) basal area, and d) aboveground biomass </w:t>
            </w:r>
            <w:r w:rsidR="005002CC">
              <w:t xml:space="preserve">(AGB) </w:t>
            </w:r>
            <w:r>
              <w:t xml:space="preserve">between </w:t>
            </w:r>
            <w:r w:rsidR="00CA2C6F">
              <w:t>young fallows</w:t>
            </w:r>
            <w:r>
              <w:t xml:space="preserve"> (</w:t>
            </w:r>
            <w:r w:rsidR="00CA2C6F">
              <w:t>F</w:t>
            </w:r>
            <w:r>
              <w:t>, shown in orange), young</w:t>
            </w:r>
            <w:r w:rsidR="00FA07DD">
              <w:t xml:space="preserve"> forest</w:t>
            </w:r>
            <w:r>
              <w:t xml:space="preserve"> (Y, shown in purple), and mature</w:t>
            </w:r>
            <w:r w:rsidR="00FA07DD">
              <w:t xml:space="preserve"> forest</w:t>
            </w:r>
            <w:r>
              <w:t xml:space="preserve"> (M, shown in green) plots in TMCF</w:t>
            </w:r>
            <w:r w:rsidR="000019E5">
              <w:t xml:space="preserve"> (n= 160)</w:t>
            </w:r>
            <w:r>
              <w:t xml:space="preserve">. </w:t>
            </w:r>
            <w:r w:rsidR="002D1380">
              <w:t xml:space="preserve">Boxes cover the interquartile </w:t>
            </w:r>
            <w:r w:rsidR="00153CE5">
              <w:t>range (IQR),</w:t>
            </w:r>
            <w:r w:rsidR="002D1380">
              <w:t xml:space="preserve"> the horizontal line </w:t>
            </w:r>
            <w:r w:rsidR="00153CE5">
              <w:t xml:space="preserve">within boxes </w:t>
            </w:r>
            <w:r w:rsidR="002D1380">
              <w:t>shows the median</w:t>
            </w:r>
            <w:r w:rsidR="00153CE5">
              <w:t xml:space="preserve">, and </w:t>
            </w:r>
            <w:r w:rsidR="00C9064F">
              <w:t>values 1.5 times larger or smaller than the IQR</w:t>
            </w:r>
            <w:r w:rsidR="007B65B8">
              <w:t xml:space="preserve"> are shown in dark gray points</w:t>
            </w:r>
            <w:r w:rsidR="00C9064F">
              <w:t xml:space="preserve">. </w:t>
            </w:r>
            <w:r w:rsidR="00212030">
              <w:t xml:space="preserve">Asterisks indicate statistically significant differences resulted from Tukey HSD tests as follows: ****p &lt; 0.0001, ***p &lt; 0.001, **p &lt; 0.01, *p&lt;0.05. </w:t>
            </w:r>
            <w:r>
              <w:t>Results of ANOVA</w:t>
            </w:r>
            <w:r w:rsidR="005002CC">
              <w:t>s</w:t>
            </w:r>
            <w:r>
              <w:t xml:space="preserve"> and </w:t>
            </w:r>
            <w:r w:rsidR="00061599">
              <w:t>Tukey HSD test</w:t>
            </w:r>
            <w:r w:rsidR="005002CC">
              <w:t>s</w:t>
            </w:r>
            <w:r>
              <w:t xml:space="preserve"> can be found in Table S3.</w:t>
            </w:r>
            <w:r w:rsidR="00C9064F">
              <w:t xml:space="preserve">  </w:t>
            </w:r>
          </w:p>
          <w:p w14:paraId="4FD3494B" w14:textId="77777777" w:rsidR="00C45B5D" w:rsidRDefault="00C45B5D"/>
          <w:p w14:paraId="63107163" w14:textId="42647F7C" w:rsidR="0058516A" w:rsidRDefault="0058516A"/>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7CC96EC2" w:rsidR="0058516A" w:rsidRDefault="004802E9" w:rsidP="000A5956">
            <w:pPr>
              <w:jc w:val="center"/>
            </w:pPr>
            <w:r>
              <w:rPr>
                <w:noProof/>
              </w:rPr>
              <w:drawing>
                <wp:inline distT="0" distB="0" distL="0" distR="0" wp14:anchorId="56AB11AB" wp14:editId="1792CF89">
                  <wp:extent cx="5612130" cy="3896360"/>
                  <wp:effectExtent l="0" t="0" r="7620" b="889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3896360"/>
                          </a:xfrm>
                          <a:prstGeom prst="rect">
                            <a:avLst/>
                          </a:prstGeom>
                        </pic:spPr>
                      </pic:pic>
                    </a:graphicData>
                  </a:graphic>
                </wp:inline>
              </w:drawing>
            </w:r>
          </w:p>
        </w:tc>
      </w:tr>
      <w:tr w:rsidR="0058516A" w14:paraId="1081E348" w14:textId="77777777" w:rsidTr="006F746E">
        <w:tc>
          <w:tcPr>
            <w:tcW w:w="8828" w:type="dxa"/>
          </w:tcPr>
          <w:p w14:paraId="44767C0D" w14:textId="41A82F7B"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w:t>
            </w:r>
            <w:r w:rsidR="009A66FD">
              <w:t xml:space="preserve">Boxes cover the interquartile range (IQR), the horizontal line within boxes shows the median, and values 1.5 times larger or smaller than the IQR are shown in dark gray points. </w:t>
            </w:r>
            <w:r>
              <w:t xml:space="preserve">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E771225" w:rsidR="0058516A" w:rsidRDefault="008546B6" w:rsidP="000A5956">
            <w:pPr>
              <w:jc w:val="center"/>
            </w:pPr>
            <w:r>
              <w:rPr>
                <w:noProof/>
              </w:rPr>
              <w:drawing>
                <wp:inline distT="0" distB="0" distL="0" distR="0" wp14:anchorId="3900218F" wp14:editId="0BD4215F">
                  <wp:extent cx="5612130" cy="2992755"/>
                  <wp:effectExtent l="0" t="0" r="7620" b="0"/>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0E641053" w:rsidR="0058516A" w:rsidRDefault="00587623" w:rsidP="000A5956">
            <w:pPr>
              <w:jc w:val="center"/>
            </w:pPr>
            <w:r>
              <w:rPr>
                <w:noProof/>
              </w:rPr>
              <w:drawing>
                <wp:inline distT="0" distB="0" distL="0" distR="0" wp14:anchorId="2FD2EADD" wp14:editId="5B8E90A3">
                  <wp:extent cx="5612130" cy="2806065"/>
                  <wp:effectExtent l="0" t="0" r="7620" b="0"/>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69D86105" w14:textId="77777777" w:rsidTr="00B979E9">
        <w:tc>
          <w:tcPr>
            <w:tcW w:w="8828" w:type="dxa"/>
          </w:tcPr>
          <w:p w14:paraId="77433F18" w14:textId="3A314491" w:rsidR="0058516A" w:rsidRDefault="00CB22F0" w:rsidP="00AE349C">
            <w:r>
              <w:rPr>
                <w:noProof/>
              </w:rPr>
              <w:drawing>
                <wp:inline distT="0" distB="0" distL="0" distR="0" wp14:anchorId="0F203975" wp14:editId="7C54E1C5">
                  <wp:extent cx="5612130" cy="4864100"/>
                  <wp:effectExtent l="0" t="0" r="7620" b="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4864100"/>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w:t>
            </w:r>
            <w:proofErr w:type="gramStart"/>
            <w:r>
              <w:t>0.0754]*</w:t>
            </w:r>
            <w:proofErr w:type="gramEnd"/>
            <w:r>
              <w:t>[DBH^2.513]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w:t>
            </w:r>
            <w:proofErr w:type="gramStart"/>
            <w:r>
              <w:t>363]*</w:t>
            </w:r>
            <w:proofErr w:type="gramEnd"/>
            <w:r>
              <w:t>[DBH^2.2714]*[TH^0.4984]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w:t>
            </w:r>
            <w:proofErr w:type="gramStart"/>
            <w:r>
              <w:t>14]*</w:t>
            </w:r>
            <w:proofErr w:type="gramEnd"/>
            <w:r>
              <w:t>[DBH^2.23]]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w:t>
            </w:r>
            <w:proofErr w:type="gramStart"/>
            <w:r>
              <w:t>0.0195]*</w:t>
            </w:r>
            <w:proofErr w:type="gramEnd"/>
            <w:r>
              <w:t>[DBH^2.7519]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w:t>
            </w:r>
            <w:proofErr w:type="gramStart"/>
            <w:r>
              <w:t>0.479403]*</w:t>
            </w:r>
            <w:proofErr w:type="gramEnd"/>
            <w:r>
              <w:t>[DBH^2.0884]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w:t>
            </w:r>
            <w:proofErr w:type="gramStart"/>
            <w:r>
              <w:t>0.000022]*</w:t>
            </w:r>
            <w:proofErr w:type="gramEnd"/>
            <w:r>
              <w:t>[D^1.9]*[H]]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w:t>
            </w:r>
            <w:proofErr w:type="gramStart"/>
            <w:r>
              <w:t>64]+</w:t>
            </w:r>
            <w:proofErr w:type="gramEnd"/>
            <w:r>
              <w:t>[0.279*BA]+[0.000514*BA^2]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w:t>
            </w:r>
            <w:proofErr w:type="gramStart"/>
            <w:r>
              <w:t>90]*</w:t>
            </w:r>
            <w:proofErr w:type="gramEnd"/>
            <w:r>
              <w:t>[DBH^2.15]]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w:t>
            </w:r>
            <w:proofErr w:type="gramStart"/>
            <w:r>
              <w:t>0.4632]*</w:t>
            </w:r>
            <w:proofErr w:type="gramEnd"/>
            <w:r>
              <w:t>[DBH^1.8168]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w:t>
            </w:r>
            <w:proofErr w:type="gramStart"/>
            <w:r>
              <w:t>0.067833]*</w:t>
            </w:r>
            <w:proofErr w:type="gramEnd"/>
            <w:r>
              <w:t>[DBH^2.50972]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w:t>
            </w:r>
            <w:proofErr w:type="gramStart"/>
            <w:r>
              <w:t>755]*</w:t>
            </w:r>
            <w:proofErr w:type="gramEnd"/>
            <w:r>
              <w:t>[DBH^2.072]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w:t>
            </w:r>
            <w:proofErr w:type="gramStart"/>
            <w:r>
              <w:t>0.5266]*</w:t>
            </w:r>
            <w:proofErr w:type="gramEnd"/>
            <w:r>
              <w:t>[DBH^1.7712]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w:t>
            </w:r>
            <w:proofErr w:type="gramStart"/>
            <w:r>
              <w:t>0.037241]*</w:t>
            </w:r>
            <w:proofErr w:type="gramEnd"/>
            <w:r>
              <w:t>[DBH^2.99585]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w:t>
            </w:r>
            <w:proofErr w:type="gramStart"/>
            <w:r>
              <w:t>0.4600]+</w:t>
            </w:r>
            <w:proofErr w:type="gramEnd"/>
            <w:r>
              <w:t>[[0.0370]*[DBH^2]*TH]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w:t>
            </w:r>
            <w:proofErr w:type="gramStart"/>
            <w:r>
              <w:t>362.129]*</w:t>
            </w:r>
            <w:proofErr w:type="gramEnd"/>
            <w:r>
              <w:t>[[3.1416]*[[[[DBH^2]/4]]^1.100]]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w:t>
            </w:r>
            <w:proofErr w:type="gramStart"/>
            <w:r>
              <w:t>Exp[</w:t>
            </w:r>
            <w:proofErr w:type="gramEnd"/>
            <w:r>
              <w:t>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w:t>
            </w:r>
            <w:proofErr w:type="gramStart"/>
            <w:r>
              <w:t>76]*</w:t>
            </w:r>
            <w:proofErr w:type="gramEnd"/>
            <w:r>
              <w:t>[DBH^2.26]]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w:t>
            </w:r>
            <w:proofErr w:type="gramStart"/>
            <w:r>
              <w:t>363]*</w:t>
            </w:r>
            <w:proofErr w:type="gramEnd"/>
            <w:r>
              <w:t>[DBH^2.4809]*[TH^0.4984]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w:t>
            </w:r>
            <w:proofErr w:type="gramStart"/>
            <w:r>
              <w:t>417]*</w:t>
            </w:r>
            <w:proofErr w:type="gramEnd"/>
            <w:r>
              <w:t>[DBH^2.755]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w:t>
            </w:r>
            <w:proofErr w:type="gramStart"/>
            <w:r>
              <w:t>0.209142]*</w:t>
            </w:r>
            <w:proofErr w:type="gramEnd"/>
            <w:r>
              <w:t>[DBH^1.698]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w:t>
            </w:r>
            <w:proofErr w:type="gramStart"/>
            <w:r>
              <w:t>22]*</w:t>
            </w:r>
            <w:proofErr w:type="gramEnd"/>
            <w:r>
              <w:t>[DBH^2.45]]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w:t>
            </w:r>
            <w:proofErr w:type="gramStart"/>
            <w:r>
              <w:t>0.180272]*</w:t>
            </w:r>
            <w:proofErr w:type="gramEnd"/>
            <w:r>
              <w:t>[DBH^2.27177]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w:t>
            </w:r>
            <w:proofErr w:type="gramStart"/>
            <w:r>
              <w:t>Exp[</w:t>
            </w:r>
            <w:proofErr w:type="gramEnd"/>
            <w:r>
              <w:t>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w:t>
            </w:r>
            <w:proofErr w:type="gramStart"/>
            <w:r>
              <w:t>0.182]*</w:t>
            </w:r>
            <w:proofErr w:type="gramEnd"/>
            <w:r>
              <w:t>[DBH^1.936]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w:t>
            </w:r>
            <w:proofErr w:type="gramStart"/>
            <w:r>
              <w:t>0.1354]*</w:t>
            </w:r>
            <w:proofErr w:type="gramEnd"/>
            <w:r>
              <w:t>[DBH^2.3033]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w:t>
            </w:r>
            <w:proofErr w:type="gramStart"/>
            <w:r>
              <w:t>549]*</w:t>
            </w:r>
            <w:proofErr w:type="gramEnd"/>
            <w:r>
              <w:t>[DBH^2.787]]]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w:t>
            </w:r>
            <w:proofErr w:type="gramStart"/>
            <w:r>
              <w:t>0.0514]*</w:t>
            </w:r>
            <w:proofErr w:type="gramEnd"/>
            <w:r>
              <w:t>[DBH^2.5222]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w:t>
            </w:r>
            <w:proofErr w:type="gramStart"/>
            <w:r>
              <w:t>0.058]*</w:t>
            </w:r>
            <w:proofErr w:type="gramEnd"/>
            <w:r>
              <w:t>[[[DBH^2]*TH]^0.919]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w:t>
            </w:r>
            <w:proofErr w:type="gramStart"/>
            <w:r>
              <w:t>76]*</w:t>
            </w:r>
            <w:proofErr w:type="gramEnd"/>
            <w:r>
              <w:t>[DBH^2.37]]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w:t>
            </w:r>
            <w:proofErr w:type="gramStart"/>
            <w:r>
              <w:t>0.246689]*</w:t>
            </w:r>
            <w:proofErr w:type="gramEnd"/>
            <w:r>
              <w:t>[DBH^2.24992]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w:t>
            </w:r>
            <w:proofErr w:type="gramStart"/>
            <w:r>
              <w:t>0.1269]*</w:t>
            </w:r>
            <w:proofErr w:type="gramEnd"/>
            <w:r>
              <w:t>[DBH^2.5169]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w:t>
            </w:r>
            <w:proofErr w:type="gramStart"/>
            <w:r>
              <w:t>775313]*</w:t>
            </w:r>
            <w:proofErr w:type="gramEnd"/>
            <w:r>
              <w:t>[DBH^1.798292]*[TH^1.570775]]+[[Exp[-3.547008]*[DBH^2.593972]]+[[Exp[-4.752007]*DBH^2]]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w:t>
            </w:r>
            <w:proofErr w:type="gramStart"/>
            <w:r>
              <w:t>53684]*</w:t>
            </w:r>
            <w:proofErr w:type="gramEnd"/>
            <w:r>
              <w:t>[DBH^2.043763]*[TH^0.759522]]+[[Exp[-5.803952]*[DBH^2*TH]^1.224292]]+[[Exp[-6.181035]*[DBH^2.488617]]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w:t>
            </w:r>
            <w:proofErr w:type="gramStart"/>
            <w:r>
              <w:t>27]*</w:t>
            </w:r>
            <w:proofErr w:type="gramEnd"/>
            <w:r>
              <w:t>[DBH^2.39]]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w:t>
            </w:r>
            <w:proofErr w:type="gramStart"/>
            <w:r>
              <w:t>0.283]*</w:t>
            </w:r>
            <w:proofErr w:type="gramEnd"/>
            <w:r>
              <w:t>[[[DBH^2]*TH]^0.807]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w:t>
            </w:r>
            <w:proofErr w:type="gramStart"/>
            <w:r>
              <w:t>ln[</w:t>
            </w:r>
            <w:proofErr w:type="gramEnd"/>
            <w:r>
              <w:t>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w:t>
            </w:r>
            <w:proofErr w:type="gramStart"/>
            <w:r>
              <w:t>0.130169]*</w:t>
            </w:r>
            <w:proofErr w:type="gramEnd"/>
            <w:r>
              <w:t>[DBH^2.34924]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1D7A5C"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w:t>
            </w:r>
            <w:proofErr w:type="gramStart"/>
            <w:r>
              <w:t>0.449]*</w:t>
            </w:r>
            <w:proofErr w:type="gramEnd"/>
            <w:r>
              <w:t>[DBH^2]-33.565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w:t>
            </w:r>
            <w:proofErr w:type="gramStart"/>
            <w:r>
              <w:t>0.00166]*</w:t>
            </w:r>
            <w:proofErr w:type="gramEnd"/>
            <w:r>
              <w:t>[DBH^3.6586]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w:t>
            </w:r>
            <w:proofErr w:type="gramStart"/>
            <w:r>
              <w:t>2)^</w:t>
            </w:r>
            <w:proofErr w:type="gramEnd"/>
            <w:r>
              <w:t>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D9247D" w14:paraId="0154E3D0" w14:textId="77777777" w:rsidTr="008D1EF4">
        <w:tc>
          <w:tcPr>
            <w:tcW w:w="1555" w:type="dxa"/>
            <w:vMerge w:val="restart"/>
          </w:tcPr>
          <w:p w14:paraId="2FE24C1B" w14:textId="77F9E403" w:rsidR="00D9247D" w:rsidRDefault="00D9247D" w:rsidP="00320178">
            <w:r>
              <w:t>Wood density</w:t>
            </w:r>
          </w:p>
        </w:tc>
        <w:tc>
          <w:tcPr>
            <w:tcW w:w="850" w:type="dxa"/>
            <w:vMerge w:val="restart"/>
          </w:tcPr>
          <w:p w14:paraId="178E65ED" w14:textId="53DD2D0B" w:rsidR="00D9247D" w:rsidRDefault="00D9247D" w:rsidP="00320178">
            <w:r>
              <w:t>9.77</w:t>
            </w:r>
          </w:p>
        </w:tc>
        <w:tc>
          <w:tcPr>
            <w:tcW w:w="851" w:type="dxa"/>
            <w:vMerge w:val="restart"/>
          </w:tcPr>
          <w:p w14:paraId="4CE8FED4" w14:textId="31FCFF7D" w:rsidR="00D9247D" w:rsidRPr="008659A4" w:rsidRDefault="00D9247D" w:rsidP="00320178">
            <w:pPr>
              <w:rPr>
                <w:b/>
              </w:rPr>
            </w:pPr>
            <w:r>
              <w:rPr>
                <w:b/>
              </w:rPr>
              <w:t>&lt;0.001</w:t>
            </w:r>
          </w:p>
        </w:tc>
        <w:tc>
          <w:tcPr>
            <w:tcW w:w="1417" w:type="dxa"/>
          </w:tcPr>
          <w:p w14:paraId="2184DAAB" w14:textId="5495E297" w:rsidR="00D9247D" w:rsidRDefault="00D9247D" w:rsidP="00320178">
            <w:r>
              <w:t>F-Y</w:t>
            </w:r>
          </w:p>
        </w:tc>
        <w:tc>
          <w:tcPr>
            <w:tcW w:w="1134" w:type="dxa"/>
          </w:tcPr>
          <w:p w14:paraId="00C588D3" w14:textId="2CE88E6D" w:rsidR="00D9247D" w:rsidRPr="00A273CB" w:rsidRDefault="00D9247D" w:rsidP="00320178">
            <w:r>
              <w:t>0.07</w:t>
            </w:r>
          </w:p>
        </w:tc>
        <w:tc>
          <w:tcPr>
            <w:tcW w:w="1985" w:type="dxa"/>
          </w:tcPr>
          <w:p w14:paraId="351EAAB2" w14:textId="303F1AA8" w:rsidR="00D9247D" w:rsidRDefault="00D9247D" w:rsidP="00320178">
            <w:r>
              <w:t>(0.03, 0.12)</w:t>
            </w:r>
          </w:p>
        </w:tc>
        <w:tc>
          <w:tcPr>
            <w:tcW w:w="1036" w:type="dxa"/>
          </w:tcPr>
          <w:p w14:paraId="7487304D" w14:textId="71191415" w:rsidR="00D9247D" w:rsidRPr="008659A4" w:rsidRDefault="00D9247D" w:rsidP="00320178">
            <w:pPr>
              <w:rPr>
                <w:b/>
              </w:rPr>
            </w:pPr>
            <w:r>
              <w:rPr>
                <w:b/>
              </w:rPr>
              <w:t>3.74e-4</w:t>
            </w:r>
          </w:p>
        </w:tc>
      </w:tr>
      <w:tr w:rsidR="00D9247D" w14:paraId="7003ACA5" w14:textId="77777777" w:rsidTr="008D1EF4">
        <w:tc>
          <w:tcPr>
            <w:tcW w:w="1555" w:type="dxa"/>
            <w:vMerge/>
          </w:tcPr>
          <w:p w14:paraId="15CC51AA" w14:textId="77777777" w:rsidR="00D9247D" w:rsidRDefault="00D9247D" w:rsidP="00320178"/>
        </w:tc>
        <w:tc>
          <w:tcPr>
            <w:tcW w:w="850" w:type="dxa"/>
            <w:vMerge/>
          </w:tcPr>
          <w:p w14:paraId="5A65A433" w14:textId="77777777" w:rsidR="00D9247D" w:rsidRDefault="00D9247D" w:rsidP="00320178"/>
        </w:tc>
        <w:tc>
          <w:tcPr>
            <w:tcW w:w="851" w:type="dxa"/>
            <w:vMerge/>
          </w:tcPr>
          <w:p w14:paraId="08591046" w14:textId="77777777" w:rsidR="00D9247D" w:rsidRPr="008659A4" w:rsidRDefault="00D9247D" w:rsidP="00320178">
            <w:pPr>
              <w:rPr>
                <w:b/>
              </w:rPr>
            </w:pPr>
          </w:p>
        </w:tc>
        <w:tc>
          <w:tcPr>
            <w:tcW w:w="1417" w:type="dxa"/>
          </w:tcPr>
          <w:p w14:paraId="5BD1F571" w14:textId="1522B00C" w:rsidR="00D9247D" w:rsidRDefault="00D9247D" w:rsidP="00320178">
            <w:r>
              <w:t>F-M</w:t>
            </w:r>
          </w:p>
        </w:tc>
        <w:tc>
          <w:tcPr>
            <w:tcW w:w="1134" w:type="dxa"/>
          </w:tcPr>
          <w:p w14:paraId="20C1C9BE" w14:textId="29FF894C" w:rsidR="00D9247D" w:rsidRPr="00A273CB" w:rsidRDefault="00D9247D" w:rsidP="00320178">
            <w:r>
              <w:t>0.08</w:t>
            </w:r>
          </w:p>
        </w:tc>
        <w:tc>
          <w:tcPr>
            <w:tcW w:w="1985" w:type="dxa"/>
          </w:tcPr>
          <w:p w14:paraId="456541C2" w14:textId="186D6880" w:rsidR="00D9247D" w:rsidRDefault="00D9247D" w:rsidP="00320178">
            <w:r>
              <w:t>(0.02, 0.13)</w:t>
            </w:r>
          </w:p>
        </w:tc>
        <w:tc>
          <w:tcPr>
            <w:tcW w:w="1036" w:type="dxa"/>
          </w:tcPr>
          <w:p w14:paraId="5898911B" w14:textId="15973144" w:rsidR="00D9247D" w:rsidRPr="008659A4" w:rsidRDefault="00D9247D" w:rsidP="00320178">
            <w:pPr>
              <w:rPr>
                <w:b/>
              </w:rPr>
            </w:pPr>
            <w:r>
              <w:rPr>
                <w:b/>
              </w:rPr>
              <w:t>2.87e-3</w:t>
            </w:r>
          </w:p>
        </w:tc>
      </w:tr>
      <w:tr w:rsidR="00D9247D" w14:paraId="5C6009CB" w14:textId="77777777" w:rsidTr="008D1EF4">
        <w:tc>
          <w:tcPr>
            <w:tcW w:w="1555" w:type="dxa"/>
            <w:vMerge/>
          </w:tcPr>
          <w:p w14:paraId="7E089B06" w14:textId="77777777" w:rsidR="00D9247D" w:rsidRDefault="00D9247D" w:rsidP="00320178"/>
        </w:tc>
        <w:tc>
          <w:tcPr>
            <w:tcW w:w="850" w:type="dxa"/>
            <w:vMerge/>
          </w:tcPr>
          <w:p w14:paraId="2B302CFE" w14:textId="77777777" w:rsidR="00D9247D" w:rsidRDefault="00D9247D" w:rsidP="00320178"/>
        </w:tc>
        <w:tc>
          <w:tcPr>
            <w:tcW w:w="851" w:type="dxa"/>
            <w:vMerge/>
          </w:tcPr>
          <w:p w14:paraId="723AE7C2" w14:textId="77777777" w:rsidR="00D9247D" w:rsidRPr="008659A4" w:rsidRDefault="00D9247D" w:rsidP="00320178">
            <w:pPr>
              <w:rPr>
                <w:b/>
              </w:rPr>
            </w:pPr>
          </w:p>
        </w:tc>
        <w:tc>
          <w:tcPr>
            <w:tcW w:w="1417" w:type="dxa"/>
          </w:tcPr>
          <w:p w14:paraId="58D9F55C" w14:textId="6EC87321" w:rsidR="00D9247D" w:rsidRDefault="00D9247D" w:rsidP="00320178">
            <w:r>
              <w:t>Y-M</w:t>
            </w:r>
          </w:p>
        </w:tc>
        <w:tc>
          <w:tcPr>
            <w:tcW w:w="1134" w:type="dxa"/>
          </w:tcPr>
          <w:p w14:paraId="3CA6BC3D" w14:textId="0A478A21" w:rsidR="00D9247D" w:rsidRPr="00A273CB" w:rsidRDefault="00D9247D" w:rsidP="00320178">
            <w:r>
              <w:t>0.005</w:t>
            </w:r>
          </w:p>
        </w:tc>
        <w:tc>
          <w:tcPr>
            <w:tcW w:w="1985" w:type="dxa"/>
          </w:tcPr>
          <w:p w14:paraId="639046A0" w14:textId="7113DF62" w:rsidR="00D9247D" w:rsidRDefault="00D9247D" w:rsidP="00320178">
            <w:r>
              <w:t>(-0.05, 0.06)</w:t>
            </w:r>
          </w:p>
        </w:tc>
        <w:tc>
          <w:tcPr>
            <w:tcW w:w="1036" w:type="dxa"/>
          </w:tcPr>
          <w:p w14:paraId="30F2597E" w14:textId="01C260C4" w:rsidR="00D9247D" w:rsidRPr="004A3352" w:rsidRDefault="00D9247D" w:rsidP="00320178">
            <w:pPr>
              <w:rPr>
                <w:bCs/>
              </w:rPr>
            </w:pPr>
            <w:r w:rsidRPr="004A3352">
              <w:rPr>
                <w:bCs/>
              </w:rPr>
              <w:t>0.96</w:t>
            </w:r>
          </w:p>
        </w:tc>
      </w:tr>
      <w:tr w:rsidR="00320178" w14:paraId="14E85A6E" w14:textId="77777777" w:rsidTr="008D1EF4">
        <w:tc>
          <w:tcPr>
            <w:tcW w:w="1555" w:type="dxa"/>
            <w:vMerge w:val="restart"/>
          </w:tcPr>
          <w:p w14:paraId="5D932225" w14:textId="05E2ACEC" w:rsidR="00320178" w:rsidRDefault="00320178" w:rsidP="00320178">
            <w:r>
              <w:t>AGB</w:t>
            </w:r>
          </w:p>
        </w:tc>
        <w:tc>
          <w:tcPr>
            <w:tcW w:w="850" w:type="dxa"/>
            <w:vMerge w:val="restart"/>
          </w:tcPr>
          <w:p w14:paraId="7091CBA4" w14:textId="7DFC30F6" w:rsidR="00320178" w:rsidRDefault="00320178" w:rsidP="00320178">
            <w:r>
              <w:t>135.70</w:t>
            </w:r>
          </w:p>
        </w:tc>
        <w:tc>
          <w:tcPr>
            <w:tcW w:w="851" w:type="dxa"/>
            <w:vMerge w:val="restart"/>
          </w:tcPr>
          <w:p w14:paraId="243E497E" w14:textId="5C5E1DD2" w:rsidR="00320178" w:rsidRPr="008659A4" w:rsidRDefault="00320178" w:rsidP="00320178">
            <w:pPr>
              <w:rPr>
                <w:b/>
              </w:rPr>
            </w:pPr>
            <w:r w:rsidRPr="008659A4">
              <w:rPr>
                <w:b/>
              </w:rPr>
              <w:t>&lt;2e-16</w:t>
            </w:r>
          </w:p>
        </w:tc>
        <w:tc>
          <w:tcPr>
            <w:tcW w:w="1417" w:type="dxa"/>
          </w:tcPr>
          <w:p w14:paraId="04962472" w14:textId="660F81C8" w:rsidR="00320178" w:rsidRDefault="00320178" w:rsidP="00320178">
            <w:r>
              <w:t>F-Y</w:t>
            </w:r>
          </w:p>
        </w:tc>
        <w:tc>
          <w:tcPr>
            <w:tcW w:w="1134" w:type="dxa"/>
          </w:tcPr>
          <w:p w14:paraId="39D98B89" w14:textId="501C3FA2" w:rsidR="00320178" w:rsidRDefault="00320178" w:rsidP="00320178">
            <w:r>
              <w:t>118.30</w:t>
            </w:r>
          </w:p>
        </w:tc>
        <w:tc>
          <w:tcPr>
            <w:tcW w:w="1985" w:type="dxa"/>
          </w:tcPr>
          <w:p w14:paraId="0F00C956" w14:textId="5BF75089" w:rsidR="00320178" w:rsidRDefault="00320178" w:rsidP="00320178">
            <w:r>
              <w:t>(81.62, 154.99)</w:t>
            </w:r>
          </w:p>
        </w:tc>
        <w:tc>
          <w:tcPr>
            <w:tcW w:w="1036" w:type="dxa"/>
          </w:tcPr>
          <w:p w14:paraId="2C38AA41" w14:textId="08B203AD" w:rsidR="00320178" w:rsidRPr="008659A4" w:rsidRDefault="00320178" w:rsidP="00320178">
            <w:pPr>
              <w:rPr>
                <w:b/>
              </w:rPr>
            </w:pPr>
            <w:r w:rsidRPr="008659A4">
              <w:rPr>
                <w:b/>
              </w:rPr>
              <w:t>6.50e-12</w:t>
            </w:r>
          </w:p>
        </w:tc>
      </w:tr>
      <w:tr w:rsidR="00320178" w14:paraId="1CB43874" w14:textId="77777777" w:rsidTr="008D1EF4">
        <w:tc>
          <w:tcPr>
            <w:tcW w:w="1555" w:type="dxa"/>
            <w:vMerge/>
          </w:tcPr>
          <w:p w14:paraId="626617EC" w14:textId="77777777" w:rsidR="00320178" w:rsidRDefault="00320178" w:rsidP="00320178"/>
        </w:tc>
        <w:tc>
          <w:tcPr>
            <w:tcW w:w="850" w:type="dxa"/>
            <w:vMerge/>
          </w:tcPr>
          <w:p w14:paraId="01B091C1" w14:textId="77777777" w:rsidR="00320178" w:rsidRDefault="00320178" w:rsidP="00320178"/>
        </w:tc>
        <w:tc>
          <w:tcPr>
            <w:tcW w:w="851" w:type="dxa"/>
            <w:vMerge/>
          </w:tcPr>
          <w:p w14:paraId="6DD4447F" w14:textId="77777777" w:rsidR="00320178" w:rsidRDefault="00320178" w:rsidP="00320178"/>
        </w:tc>
        <w:tc>
          <w:tcPr>
            <w:tcW w:w="1417" w:type="dxa"/>
          </w:tcPr>
          <w:p w14:paraId="03549C80" w14:textId="2BF80222" w:rsidR="00320178" w:rsidRDefault="00320178" w:rsidP="00320178">
            <w:r>
              <w:t>F-M</w:t>
            </w:r>
          </w:p>
        </w:tc>
        <w:tc>
          <w:tcPr>
            <w:tcW w:w="1134" w:type="dxa"/>
          </w:tcPr>
          <w:p w14:paraId="24FE0A88" w14:textId="16725B2C" w:rsidR="00320178" w:rsidRDefault="00320178" w:rsidP="00320178">
            <w:r>
              <w:t>321.48</w:t>
            </w:r>
          </w:p>
        </w:tc>
        <w:tc>
          <w:tcPr>
            <w:tcW w:w="1985" w:type="dxa"/>
          </w:tcPr>
          <w:p w14:paraId="60049551" w14:textId="69CAD298" w:rsidR="00320178" w:rsidRDefault="00320178" w:rsidP="00320178">
            <w:r>
              <w:t>(275.08, 367.88)</w:t>
            </w:r>
          </w:p>
        </w:tc>
        <w:tc>
          <w:tcPr>
            <w:tcW w:w="1036" w:type="dxa"/>
          </w:tcPr>
          <w:p w14:paraId="2AE134D2" w14:textId="3043C9D5" w:rsidR="00320178" w:rsidRPr="008659A4" w:rsidRDefault="00320178" w:rsidP="00320178">
            <w:pPr>
              <w:rPr>
                <w:b/>
              </w:rPr>
            </w:pPr>
            <w:r w:rsidRPr="008659A4">
              <w:rPr>
                <w:b/>
              </w:rPr>
              <w:t>9.41e-14</w:t>
            </w:r>
          </w:p>
        </w:tc>
      </w:tr>
      <w:tr w:rsidR="00320178" w14:paraId="08B92BEE" w14:textId="77777777" w:rsidTr="008D1EF4">
        <w:tc>
          <w:tcPr>
            <w:tcW w:w="1555" w:type="dxa"/>
            <w:vMerge/>
          </w:tcPr>
          <w:p w14:paraId="2AC6332D" w14:textId="77777777" w:rsidR="00320178" w:rsidRDefault="00320178" w:rsidP="00320178"/>
        </w:tc>
        <w:tc>
          <w:tcPr>
            <w:tcW w:w="850" w:type="dxa"/>
            <w:vMerge/>
          </w:tcPr>
          <w:p w14:paraId="10A61932" w14:textId="77777777" w:rsidR="00320178" w:rsidRDefault="00320178" w:rsidP="00320178"/>
        </w:tc>
        <w:tc>
          <w:tcPr>
            <w:tcW w:w="851" w:type="dxa"/>
            <w:vMerge/>
          </w:tcPr>
          <w:p w14:paraId="4F215074" w14:textId="77777777" w:rsidR="00320178" w:rsidRDefault="00320178" w:rsidP="00320178"/>
        </w:tc>
        <w:tc>
          <w:tcPr>
            <w:tcW w:w="1417" w:type="dxa"/>
          </w:tcPr>
          <w:p w14:paraId="4C18624F" w14:textId="3EAD63C3" w:rsidR="00320178" w:rsidRDefault="00320178" w:rsidP="00320178">
            <w:r>
              <w:t>Y-M</w:t>
            </w:r>
          </w:p>
        </w:tc>
        <w:tc>
          <w:tcPr>
            <w:tcW w:w="1134" w:type="dxa"/>
          </w:tcPr>
          <w:p w14:paraId="6E72E8BA" w14:textId="7B204AB0" w:rsidR="00320178" w:rsidRDefault="00320178" w:rsidP="00320178">
            <w:r>
              <w:t>203.17</w:t>
            </w:r>
          </w:p>
        </w:tc>
        <w:tc>
          <w:tcPr>
            <w:tcW w:w="1985" w:type="dxa"/>
          </w:tcPr>
          <w:p w14:paraId="5E804751" w14:textId="40E6B9CE" w:rsidR="00320178" w:rsidRDefault="00320178" w:rsidP="00320178">
            <w:r>
              <w:t>(156.00, 250.34)</w:t>
            </w:r>
          </w:p>
        </w:tc>
        <w:tc>
          <w:tcPr>
            <w:tcW w:w="1036" w:type="dxa"/>
          </w:tcPr>
          <w:p w14:paraId="7A3CC75D" w14:textId="33A2BCE2" w:rsidR="00320178" w:rsidRPr="008659A4" w:rsidRDefault="00320178" w:rsidP="00320178">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proofErr w:type="gramStart"/>
            <w:r>
              <w:t>class</w:t>
            </w:r>
            <w:r w:rsidR="004058D8">
              <w:t>:</w:t>
            </w:r>
            <w:r>
              <w:t>Successional</w:t>
            </w:r>
            <w:proofErr w:type="spellEnd"/>
            <w:proofErr w:type="gram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45388" w14:paraId="0967B1DB" w14:textId="77777777" w:rsidTr="00F4260E">
        <w:tc>
          <w:tcPr>
            <w:tcW w:w="8828" w:type="dxa"/>
          </w:tcPr>
          <w:p w14:paraId="2646E90F" w14:textId="25C06F87" w:rsidR="00D45388" w:rsidRDefault="005C0D32" w:rsidP="00B36544">
            <w:r>
              <w:rPr>
                <w:noProof/>
              </w:rPr>
              <w:drawing>
                <wp:inline distT="0" distB="0" distL="0" distR="0" wp14:anchorId="6283652F" wp14:editId="75437CE9">
                  <wp:extent cx="5612130" cy="3741420"/>
                  <wp:effectExtent l="0" t="0" r="7620" b="0"/>
                  <wp:docPr id="17" name="Imagen 1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cajas y bigote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tc>
      </w:tr>
      <w:tr w:rsidR="00D45388" w14:paraId="3952ED20" w14:textId="77777777" w:rsidTr="00F4260E">
        <w:tc>
          <w:tcPr>
            <w:tcW w:w="8828" w:type="dxa"/>
          </w:tcPr>
          <w:p w14:paraId="6A1EC405" w14:textId="5E02A30A"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w:t>
            </w:r>
            <w:r w:rsidR="00945BDE">
              <w:t xml:space="preserve"> Boxes cover the interquartile range (IQR), the horizontal line within boxes shows the median, and values 1.5 times larger or smaller than the IQR are shown in dark gray points.</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7809"/>
    <w:rsid w:val="00022F45"/>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762C"/>
    <w:rsid w:val="000E22F5"/>
    <w:rsid w:val="000E6858"/>
    <w:rsid w:val="000E7711"/>
    <w:rsid w:val="000F133A"/>
    <w:rsid w:val="000F14DD"/>
    <w:rsid w:val="000F17F7"/>
    <w:rsid w:val="000F3FCA"/>
    <w:rsid w:val="000F7D41"/>
    <w:rsid w:val="000F7DED"/>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3CE5"/>
    <w:rsid w:val="00154A9F"/>
    <w:rsid w:val="001565EA"/>
    <w:rsid w:val="0016428E"/>
    <w:rsid w:val="0016647D"/>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D7A5C"/>
    <w:rsid w:val="001F2367"/>
    <w:rsid w:val="001F241B"/>
    <w:rsid w:val="00202681"/>
    <w:rsid w:val="00206844"/>
    <w:rsid w:val="00212030"/>
    <w:rsid w:val="00220CB3"/>
    <w:rsid w:val="002325DA"/>
    <w:rsid w:val="002353C5"/>
    <w:rsid w:val="00246A0B"/>
    <w:rsid w:val="002502A4"/>
    <w:rsid w:val="0025062E"/>
    <w:rsid w:val="00253666"/>
    <w:rsid w:val="0025367A"/>
    <w:rsid w:val="00256CDE"/>
    <w:rsid w:val="0026099C"/>
    <w:rsid w:val="002704B2"/>
    <w:rsid w:val="00282B16"/>
    <w:rsid w:val="00292F9C"/>
    <w:rsid w:val="0029374D"/>
    <w:rsid w:val="002956E5"/>
    <w:rsid w:val="002A2F6B"/>
    <w:rsid w:val="002A7B9C"/>
    <w:rsid w:val="002A7FD5"/>
    <w:rsid w:val="002B2054"/>
    <w:rsid w:val="002B3B48"/>
    <w:rsid w:val="002B56B2"/>
    <w:rsid w:val="002B6B04"/>
    <w:rsid w:val="002C7C38"/>
    <w:rsid w:val="002D1380"/>
    <w:rsid w:val="002D4688"/>
    <w:rsid w:val="002D790C"/>
    <w:rsid w:val="002E09C8"/>
    <w:rsid w:val="002E678B"/>
    <w:rsid w:val="002F10FB"/>
    <w:rsid w:val="002F1A22"/>
    <w:rsid w:val="002F46BE"/>
    <w:rsid w:val="002F65B5"/>
    <w:rsid w:val="002F6887"/>
    <w:rsid w:val="00310407"/>
    <w:rsid w:val="00320178"/>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77AF"/>
    <w:rsid w:val="00467A11"/>
    <w:rsid w:val="00467A84"/>
    <w:rsid w:val="00472738"/>
    <w:rsid w:val="004802E9"/>
    <w:rsid w:val="00482C2A"/>
    <w:rsid w:val="00486A20"/>
    <w:rsid w:val="004A19D6"/>
    <w:rsid w:val="004A3352"/>
    <w:rsid w:val="004A392D"/>
    <w:rsid w:val="004A4121"/>
    <w:rsid w:val="004A54D5"/>
    <w:rsid w:val="004A6FE9"/>
    <w:rsid w:val="004C6BA6"/>
    <w:rsid w:val="004C7757"/>
    <w:rsid w:val="004D2629"/>
    <w:rsid w:val="004E1F7D"/>
    <w:rsid w:val="004E55EF"/>
    <w:rsid w:val="004E6F8A"/>
    <w:rsid w:val="004E732D"/>
    <w:rsid w:val="004F2B59"/>
    <w:rsid w:val="004F5818"/>
    <w:rsid w:val="004F6A4D"/>
    <w:rsid w:val="005002CC"/>
    <w:rsid w:val="00502BAD"/>
    <w:rsid w:val="00513A47"/>
    <w:rsid w:val="00514E38"/>
    <w:rsid w:val="00514FDF"/>
    <w:rsid w:val="005206CF"/>
    <w:rsid w:val="00521264"/>
    <w:rsid w:val="00521D5D"/>
    <w:rsid w:val="005253DF"/>
    <w:rsid w:val="00530B74"/>
    <w:rsid w:val="00534177"/>
    <w:rsid w:val="00536AB5"/>
    <w:rsid w:val="00543951"/>
    <w:rsid w:val="00547F2F"/>
    <w:rsid w:val="00551691"/>
    <w:rsid w:val="00555335"/>
    <w:rsid w:val="00556B6E"/>
    <w:rsid w:val="00560246"/>
    <w:rsid w:val="00560755"/>
    <w:rsid w:val="00562158"/>
    <w:rsid w:val="00563B45"/>
    <w:rsid w:val="00572059"/>
    <w:rsid w:val="005774AC"/>
    <w:rsid w:val="00583173"/>
    <w:rsid w:val="00583590"/>
    <w:rsid w:val="0058516A"/>
    <w:rsid w:val="00587623"/>
    <w:rsid w:val="00596B96"/>
    <w:rsid w:val="005A034D"/>
    <w:rsid w:val="005A32CC"/>
    <w:rsid w:val="005A4A21"/>
    <w:rsid w:val="005A58D6"/>
    <w:rsid w:val="005A76F6"/>
    <w:rsid w:val="005C0A50"/>
    <w:rsid w:val="005C0D32"/>
    <w:rsid w:val="005C14CA"/>
    <w:rsid w:val="005C2160"/>
    <w:rsid w:val="005C735D"/>
    <w:rsid w:val="005D30B0"/>
    <w:rsid w:val="005D633D"/>
    <w:rsid w:val="005D645B"/>
    <w:rsid w:val="005D7479"/>
    <w:rsid w:val="005E1125"/>
    <w:rsid w:val="005E1A3C"/>
    <w:rsid w:val="005E242B"/>
    <w:rsid w:val="005E30C1"/>
    <w:rsid w:val="005E396D"/>
    <w:rsid w:val="005E3EC7"/>
    <w:rsid w:val="005E4030"/>
    <w:rsid w:val="005F0C47"/>
    <w:rsid w:val="005F1B92"/>
    <w:rsid w:val="005F7865"/>
    <w:rsid w:val="006004A9"/>
    <w:rsid w:val="00603EE8"/>
    <w:rsid w:val="00604808"/>
    <w:rsid w:val="006049F4"/>
    <w:rsid w:val="006069CE"/>
    <w:rsid w:val="006110D2"/>
    <w:rsid w:val="0061119E"/>
    <w:rsid w:val="00612D57"/>
    <w:rsid w:val="00617140"/>
    <w:rsid w:val="00620EF1"/>
    <w:rsid w:val="006216B3"/>
    <w:rsid w:val="006222DC"/>
    <w:rsid w:val="0062564B"/>
    <w:rsid w:val="00625F72"/>
    <w:rsid w:val="0062717D"/>
    <w:rsid w:val="00627EE0"/>
    <w:rsid w:val="006311B7"/>
    <w:rsid w:val="00651389"/>
    <w:rsid w:val="00652431"/>
    <w:rsid w:val="006554A1"/>
    <w:rsid w:val="006669C3"/>
    <w:rsid w:val="00671C80"/>
    <w:rsid w:val="00675792"/>
    <w:rsid w:val="006802C9"/>
    <w:rsid w:val="00680A64"/>
    <w:rsid w:val="00695263"/>
    <w:rsid w:val="00695CFC"/>
    <w:rsid w:val="00695FF4"/>
    <w:rsid w:val="00696FD0"/>
    <w:rsid w:val="006A5ED5"/>
    <w:rsid w:val="006B6C9F"/>
    <w:rsid w:val="006C0E5B"/>
    <w:rsid w:val="006C5E68"/>
    <w:rsid w:val="006C6F73"/>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40D1C"/>
    <w:rsid w:val="00746F89"/>
    <w:rsid w:val="007476F4"/>
    <w:rsid w:val="00751CD8"/>
    <w:rsid w:val="00754CAE"/>
    <w:rsid w:val="007568AE"/>
    <w:rsid w:val="00756968"/>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B65B8"/>
    <w:rsid w:val="007C4746"/>
    <w:rsid w:val="007D38D3"/>
    <w:rsid w:val="007D4B3A"/>
    <w:rsid w:val="007E5FEF"/>
    <w:rsid w:val="008013B1"/>
    <w:rsid w:val="00802976"/>
    <w:rsid w:val="008054DD"/>
    <w:rsid w:val="00806B15"/>
    <w:rsid w:val="0081260F"/>
    <w:rsid w:val="0081686B"/>
    <w:rsid w:val="00824370"/>
    <w:rsid w:val="00826EC2"/>
    <w:rsid w:val="00826EDC"/>
    <w:rsid w:val="008366F6"/>
    <w:rsid w:val="00841881"/>
    <w:rsid w:val="0084219F"/>
    <w:rsid w:val="00842609"/>
    <w:rsid w:val="00843834"/>
    <w:rsid w:val="00850AD1"/>
    <w:rsid w:val="008546B6"/>
    <w:rsid w:val="008659A4"/>
    <w:rsid w:val="0086717B"/>
    <w:rsid w:val="0087152F"/>
    <w:rsid w:val="008753FF"/>
    <w:rsid w:val="00880593"/>
    <w:rsid w:val="008825B9"/>
    <w:rsid w:val="00887371"/>
    <w:rsid w:val="00890219"/>
    <w:rsid w:val="008910C5"/>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5BDE"/>
    <w:rsid w:val="009472E0"/>
    <w:rsid w:val="00947A95"/>
    <w:rsid w:val="00952771"/>
    <w:rsid w:val="00955A45"/>
    <w:rsid w:val="00956958"/>
    <w:rsid w:val="00961FAF"/>
    <w:rsid w:val="00966414"/>
    <w:rsid w:val="00966AD4"/>
    <w:rsid w:val="0096756D"/>
    <w:rsid w:val="0097178B"/>
    <w:rsid w:val="009726A9"/>
    <w:rsid w:val="00974B15"/>
    <w:rsid w:val="009761E9"/>
    <w:rsid w:val="0097697B"/>
    <w:rsid w:val="009807DE"/>
    <w:rsid w:val="009847A8"/>
    <w:rsid w:val="009853A5"/>
    <w:rsid w:val="00997797"/>
    <w:rsid w:val="009A477D"/>
    <w:rsid w:val="009A66FD"/>
    <w:rsid w:val="009B6F89"/>
    <w:rsid w:val="009C1638"/>
    <w:rsid w:val="009C16C8"/>
    <w:rsid w:val="009C67BF"/>
    <w:rsid w:val="009D08C1"/>
    <w:rsid w:val="009D14DA"/>
    <w:rsid w:val="009D24CD"/>
    <w:rsid w:val="009D34BC"/>
    <w:rsid w:val="009D40B6"/>
    <w:rsid w:val="009D4270"/>
    <w:rsid w:val="009E0F27"/>
    <w:rsid w:val="009E6F59"/>
    <w:rsid w:val="009F2458"/>
    <w:rsid w:val="009F4798"/>
    <w:rsid w:val="009F70BB"/>
    <w:rsid w:val="00A05D4C"/>
    <w:rsid w:val="00A065AE"/>
    <w:rsid w:val="00A074C1"/>
    <w:rsid w:val="00A1204D"/>
    <w:rsid w:val="00A1338D"/>
    <w:rsid w:val="00A17444"/>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5137"/>
    <w:rsid w:val="00AF5B8C"/>
    <w:rsid w:val="00AF5C8E"/>
    <w:rsid w:val="00B00F5D"/>
    <w:rsid w:val="00B01785"/>
    <w:rsid w:val="00B0639A"/>
    <w:rsid w:val="00B1725A"/>
    <w:rsid w:val="00B17FD0"/>
    <w:rsid w:val="00B228A3"/>
    <w:rsid w:val="00B23197"/>
    <w:rsid w:val="00B23B61"/>
    <w:rsid w:val="00B243E0"/>
    <w:rsid w:val="00B30F52"/>
    <w:rsid w:val="00B31324"/>
    <w:rsid w:val="00B31DF0"/>
    <w:rsid w:val="00B32E4F"/>
    <w:rsid w:val="00B34548"/>
    <w:rsid w:val="00B36544"/>
    <w:rsid w:val="00B36C88"/>
    <w:rsid w:val="00B405E8"/>
    <w:rsid w:val="00B47729"/>
    <w:rsid w:val="00B54D88"/>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45B5D"/>
    <w:rsid w:val="00C53A9A"/>
    <w:rsid w:val="00C5621A"/>
    <w:rsid w:val="00C62945"/>
    <w:rsid w:val="00C63D8E"/>
    <w:rsid w:val="00C6577F"/>
    <w:rsid w:val="00C66C72"/>
    <w:rsid w:val="00C708AE"/>
    <w:rsid w:val="00C74AD8"/>
    <w:rsid w:val="00C75129"/>
    <w:rsid w:val="00C87E8E"/>
    <w:rsid w:val="00C9064F"/>
    <w:rsid w:val="00C90A5F"/>
    <w:rsid w:val="00C91162"/>
    <w:rsid w:val="00C96653"/>
    <w:rsid w:val="00CA2C6F"/>
    <w:rsid w:val="00CA588B"/>
    <w:rsid w:val="00CA69FD"/>
    <w:rsid w:val="00CA7407"/>
    <w:rsid w:val="00CB102F"/>
    <w:rsid w:val="00CB22F0"/>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9247D"/>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6A23"/>
    <w:rsid w:val="00E037A1"/>
    <w:rsid w:val="00E103E4"/>
    <w:rsid w:val="00E11D6D"/>
    <w:rsid w:val="00E16191"/>
    <w:rsid w:val="00E216F9"/>
    <w:rsid w:val="00E21A15"/>
    <w:rsid w:val="00E21F57"/>
    <w:rsid w:val="00E24BE9"/>
    <w:rsid w:val="00E26313"/>
    <w:rsid w:val="00E30B7A"/>
    <w:rsid w:val="00E6281A"/>
    <w:rsid w:val="00E7268A"/>
    <w:rsid w:val="00E72CF0"/>
    <w:rsid w:val="00E849DC"/>
    <w:rsid w:val="00E90D58"/>
    <w:rsid w:val="00E92D22"/>
    <w:rsid w:val="00E956A6"/>
    <w:rsid w:val="00EA0682"/>
    <w:rsid w:val="00EA080D"/>
    <w:rsid w:val="00EA5B92"/>
    <w:rsid w:val="00EB5280"/>
    <w:rsid w:val="00EB7B61"/>
    <w:rsid w:val="00EC0971"/>
    <w:rsid w:val="00ED257B"/>
    <w:rsid w:val="00ED4953"/>
    <w:rsid w:val="00EE503E"/>
    <w:rsid w:val="00EE7042"/>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56ECE"/>
    <w:rsid w:val="00F65744"/>
    <w:rsid w:val="00F66BB2"/>
    <w:rsid w:val="00F70EE6"/>
    <w:rsid w:val="00F7236D"/>
    <w:rsid w:val="00F73583"/>
    <w:rsid w:val="00F74137"/>
    <w:rsid w:val="00F8549D"/>
    <w:rsid w:val="00F924F6"/>
    <w:rsid w:val="00F927A4"/>
    <w:rsid w:val="00F95F87"/>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15102</TotalTime>
  <Pages>28</Pages>
  <Words>8654</Words>
  <Characters>49328</Characters>
  <Application>Microsoft Office Word</Application>
  <DocSecurity>0</DocSecurity>
  <Lines>411</Lines>
  <Paragraphs>115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382</cp:revision>
  <dcterms:created xsi:type="dcterms:W3CDTF">2022-02-09T04:05:00Z</dcterms:created>
  <dcterms:modified xsi:type="dcterms:W3CDTF">2022-03-14T19:59:00Z</dcterms:modified>
</cp:coreProperties>
</file>