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All sites were established 25 km apart from each other in a grid-like fashion</w:t>
      </w:r>
      <w:r w:rsidR="00A1338D">
        <w:t xml:space="preserve">.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and the NMO</w:t>
      </w:r>
      <w:r w:rsidR="00CB78F2">
        <w:t xml:space="preserve">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40527DA3"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Look w:val="04A0" w:firstRow="1" w:lastRow="0" w:firstColumn="1" w:lastColumn="0" w:noHBand="0" w:noVBand="1"/>
      </w:tblPr>
      <w:tblGrid>
        <w:gridCol w:w="4414"/>
        <w:gridCol w:w="4414"/>
      </w:tblGrid>
      <w:tr w:rsidR="00E103E4" w14:paraId="1677BA9F" w14:textId="77777777" w:rsidTr="00E103E4">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77777777" w:rsidR="00E103E4" w:rsidRDefault="00E103E4" w:rsidP="003C023A"/>
        </w:tc>
      </w:tr>
    </w:tbl>
    <w:p w14:paraId="491FB1BC" w14:textId="77777777" w:rsidR="00E103E4" w:rsidRDefault="00E103E4" w:rsidP="003C023A"/>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676DE041"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 </w:t>
      </w:r>
    </w:p>
    <w:tbl>
      <w:tblPr>
        <w:tblStyle w:val="Tablaconcuadrcula"/>
        <w:tblW w:w="0" w:type="auto"/>
        <w:tblLook w:val="04A0" w:firstRow="1" w:lastRow="0" w:firstColumn="1" w:lastColumn="0" w:noHBand="0" w:noVBand="1"/>
      </w:tblPr>
      <w:tblGrid>
        <w:gridCol w:w="4414"/>
        <w:gridCol w:w="4414"/>
      </w:tblGrid>
      <w:tr w:rsidR="00E21A15" w14:paraId="21E98212" w14:textId="77777777" w:rsidTr="00E21A15">
        <w:tc>
          <w:tcPr>
            <w:tcW w:w="4414" w:type="dxa"/>
          </w:tcPr>
          <w:p w14:paraId="77FABDA8" w14:textId="77777777" w:rsidR="00E21A15" w:rsidRDefault="005F0C47"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77777777" w:rsidR="00E21A15" w:rsidRDefault="00E21A15" w:rsidP="00FE38C0"/>
        </w:tc>
      </w:tr>
    </w:tbl>
    <w:p w14:paraId="038A7B28" w14:textId="77777777" w:rsidR="00E21A15" w:rsidRDefault="00E21A15" w:rsidP="00FE38C0">
      <w:pPr>
        <w:ind w:firstLine="720"/>
      </w:pP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r w:rsidR="00756968" w14:paraId="1A09409B" w14:textId="77777777" w:rsidTr="00563B45">
        <w:tc>
          <w:tcPr>
            <w:tcW w:w="4414" w:type="dxa"/>
          </w:tcPr>
          <w:p w14:paraId="224F3B8A" w14:textId="77777777" w:rsidR="00756968" w:rsidRPr="002F46BE" w:rsidRDefault="00756968" w:rsidP="00563B45">
            <w:pPr>
              <w:rPr>
                <w:rFonts w:eastAsiaTheme="minorEastAsia"/>
              </w:rPr>
            </w:pPr>
            <m:oMathPara>
              <m:oMath>
                <m:r>
                  <w:rPr>
                    <w:rFonts w:ascii="Cambria Math" w:hAnsi="Cambria Math"/>
                  </w:rPr>
                  <m:t xml:space="preserve">D=1-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2</m:t>
                        </m:r>
                      </m:sup>
                    </m:sSup>
                  </m:e>
                </m:nary>
              </m:oMath>
            </m:oMathPara>
          </w:p>
          <w:p w14:paraId="244333B8" w14:textId="1A75551F" w:rsidR="002F46BE" w:rsidRDefault="002F46BE" w:rsidP="00563B45"/>
        </w:tc>
        <w:tc>
          <w:tcPr>
            <w:tcW w:w="4414" w:type="dxa"/>
          </w:tcPr>
          <w:p w14:paraId="4123EB5E" w14:textId="77777777" w:rsidR="00756968" w:rsidRDefault="00756968"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5E4030" w:rsidRPr="005E4030">
        <w:rPr>
          <w:i/>
          <w:iCs/>
        </w:rPr>
        <w:t>i</w:t>
      </w:r>
      <w:proofErr w:type="spellEnd"/>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2E6B11FE"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31F1DE99"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9D14DA">
        <w:t xml:space="preserve">adding up all successional stages within a site and normalizing the value as follows: </w:t>
      </w:r>
    </w:p>
    <w:tbl>
      <w:tblPr>
        <w:tblStyle w:val="Tablaconcuadrcula"/>
        <w:tblW w:w="0" w:type="auto"/>
        <w:tblLook w:val="04A0" w:firstRow="1" w:lastRow="0" w:firstColumn="1" w:lastColumn="0" w:noHBand="0" w:noVBand="1"/>
      </w:tblPr>
      <w:tblGrid>
        <w:gridCol w:w="5807"/>
        <w:gridCol w:w="3021"/>
      </w:tblGrid>
      <w:tr w:rsidR="009D14DA" w14:paraId="103C5796" w14:textId="77777777" w:rsidTr="009D14DA">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77777777" w:rsidR="009D14DA" w:rsidRDefault="009D14DA" w:rsidP="00220CB3"/>
        </w:tc>
      </w:tr>
    </w:tbl>
    <w:p w14:paraId="26F5579E" w14:textId="77777777" w:rsidR="009D14DA" w:rsidRDefault="009D14DA" w:rsidP="00220CB3">
      <w:pPr>
        <w:ind w:firstLine="720"/>
      </w:pPr>
    </w:p>
    <w:p w14:paraId="0D4B37E1" w14:textId="40F7AA76"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S2)</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0BD2A580"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1B15FF5C"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stem density with Simpson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07EE1F77" w14:textId="77777777" w:rsidR="003878AB" w:rsidRDefault="003878AB">
      <w:pPr>
        <w:rPr>
          <w:b/>
          <w:bCs/>
        </w:rPr>
      </w:pPr>
    </w:p>
    <w:p w14:paraId="53E857B7" w14:textId="7718A7E6"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3D4106FD" w14:textId="62EC8400" w:rsidR="00CF3149" w:rsidRDefault="0032671E">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w:t>
      </w:r>
      <w:r>
        <w:t xml:space="preserve"> Mg/ha </w:t>
      </w:r>
      <w:r w:rsidR="00DA33B4">
        <w:t>and</w:t>
      </w:r>
      <w:r>
        <w:t xml:space="preserve"> it</w:t>
      </w:r>
      <w:r w:rsidR="00FD0D17">
        <w:t xml:space="preserve"> ranges from as low as </w:t>
      </w:r>
      <w:r>
        <w:t>8.266</w:t>
      </w:r>
      <w:r w:rsidR="00FD0D17">
        <w:t xml:space="preserve"> Mg/ha to as high as 414.524 Mg/ha</w:t>
      </w:r>
      <w:r>
        <w:t>,</w:t>
      </w:r>
      <w:r w:rsidR="00FD0D17">
        <w:t xml:space="preserve"> </w:t>
      </w:r>
      <w:r>
        <w:t xml:space="preserve">showing the wide variation of AGB existing in these landscapes </w:t>
      </w:r>
      <w:r w:rsidR="00FD0D17">
        <w:t>(Table 3).</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 xml:space="preserve">8.26 Mg/ha, </w:t>
      </w:r>
      <w:r w:rsidR="00CF3149">
        <w:t>several of which were completely devoid of trees larger than 7.5 cm of DBH at the time of data collection</w:t>
      </w:r>
      <w:r w:rsidR="00CF3149">
        <w:t xml:space="preserve">. In contrast, </w:t>
      </w:r>
      <w:r w:rsidR="00DA33B4">
        <w:t xml:space="preserve">13 </w:t>
      </w:r>
      <w:r w:rsidR="00CF3149">
        <w:t xml:space="preserve">plots </w:t>
      </w:r>
      <w:r w:rsidR="00CF3149">
        <w:t xml:space="preserve">exhibit higher values than the highest averaged AGB </w:t>
      </w:r>
      <w:r w:rsidR="00CF3149">
        <w:t>found at site level</w:t>
      </w:r>
      <w:r w:rsidR="00CF3149">
        <w:t xml:space="preserve">, some of them </w:t>
      </w:r>
      <w:r w:rsidR="00CF3149">
        <w:t xml:space="preserve">even </w:t>
      </w:r>
      <w:r w:rsidR="00CF3149">
        <w:t>surpassing 500 Mg/</w:t>
      </w:r>
      <w:r w:rsidR="00CA588B">
        <w:t>ha</w:t>
      </w:r>
      <w:r w:rsidR="00CF3149">
        <w:t>.</w:t>
      </w:r>
      <w:r w:rsidR="00CA588B">
        <w:t xml:space="preserve"> </w:t>
      </w:r>
      <w:r w:rsidR="00CF3149">
        <w:t xml:space="preserve">Variation in structural attributes within and among sites is </w:t>
      </w:r>
      <w:r w:rsidR="00CA588B">
        <w:t xml:space="preserve">also </w:t>
      </w:r>
      <w:r w:rsidR="00CF3149">
        <w:t>large</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but some sites have as few as </w:t>
      </w:r>
      <w:r w:rsidR="00CA588B">
        <w:t>81.25</w:t>
      </w:r>
      <w:r w:rsidR="00CF3149">
        <w:t xml:space="preserve"> trees/ha.</w:t>
      </w:r>
      <w:r w:rsidR="00CA588B">
        <w:t xml:space="preserve"> </w:t>
      </w:r>
      <w:r w:rsidR="002A2F6B">
        <w:t>This variation results from the diversity</w:t>
      </w:r>
      <w:r w:rsidR="002A2F6B">
        <w:t xml:space="preserve"> in landscape composition </w:t>
      </w:r>
      <w:r w:rsidR="002A2F6B">
        <w:t xml:space="preserve">found </w:t>
      </w:r>
      <w:r w:rsidR="002A2F6B">
        <w:t>in these forest-agriculture mosaics</w:t>
      </w:r>
      <w:r w:rsidR="002A2F6B">
        <w:t xml:space="preserve">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they become even taller and bigger. As a result, AGB in very young forests averages only 33.38 Mg/ha, in young forests this value notably increases to 151.69 Mg/ha, and in mature forests it reaches 354.86 Mg/ha</w:t>
      </w:r>
      <w:r w:rsidR="00942768">
        <w:t xml:space="preserve"> (Table 4)</w:t>
      </w:r>
      <w:r w:rsidR="009472E0">
        <w:t xml:space="preserve">. </w:t>
      </w:r>
    </w:p>
    <w:p w14:paraId="0CF0F8F7" w14:textId="651D2B61" w:rsidR="00CA588B" w:rsidRDefault="00CA588B">
      <w:r>
        <w:tab/>
        <w:t xml:space="preserve">In these landscapes there is a large proportion of small trees </w:t>
      </w:r>
      <w:r>
        <w:t>(DBH &lt; 20</w:t>
      </w:r>
      <w:r>
        <w:t xml:space="preserve"> </w:t>
      </w:r>
      <w:r>
        <w:t xml:space="preserve">cm), and </w:t>
      </w:r>
      <w:r w:rsidR="00AD65E2">
        <w:t>trees with a DBH &gt; 30 cm</w:t>
      </w:r>
      <w:r>
        <w:t xml:space="preserve"> are uncommon.</w:t>
      </w:r>
      <w:r>
        <w:t xml:space="preserve"> However, </w:t>
      </w:r>
      <w:r w:rsidR="00AD65E2">
        <w:t xml:space="preserve">large trees contribute the most to AGB, particularly the largest ones (DBH &gt; 50 cm). Interestingly, this pattern </w:t>
      </w:r>
      <w:r w:rsidR="00153894">
        <w:t>changes</w:t>
      </w:r>
      <w:r w:rsidR="00AD65E2">
        <w:t xml:space="preserve"> in forest plots at different successional stages</w:t>
      </w:r>
      <w:r w:rsidR="00153894">
        <w:t xml:space="preserve"> </w:t>
      </w:r>
      <w:r w:rsidR="00153894">
        <w:t xml:space="preserve">(Figure 2). </w:t>
      </w:r>
      <w:r w:rsidR="00472738">
        <w:t>Although the proportion of stems of different size</w:t>
      </w:r>
      <w:r w:rsidR="005E3EC7">
        <w:t xml:space="preserve"> </w:t>
      </w:r>
      <w:r w:rsidR="00472738">
        <w:t>remains somewhat constant across the three different successional stages, their contribution to AGB varies widely. In very young and mature forests, largest trees are the ones contributing the most to total AGB, but in young forest</w:t>
      </w:r>
      <w:r w:rsidR="00724EDB">
        <w:t xml:space="preserve"> the contribution to AGB is equally distributed across all tree size classes</w:t>
      </w:r>
      <w:r w:rsidR="00153894">
        <w:t xml:space="preserve">. Additionally, smaller trees are more relevant for AGB in very young and young forests than in mature forests. </w:t>
      </w:r>
      <w:r w:rsidR="0002460D">
        <w:t xml:space="preserve">The contribution of different size classes to AGB is similar in very young and young forests across the first three size classes (DBH &lt; 30 cm). However, from the fourth size class on (DBH &gt; 30 cm) the contribution of tree size classes is more similar between young and mature forests, and </w:t>
      </w:r>
      <w:r w:rsidR="0002460D">
        <w:t>very young forests show a different pattern</w:t>
      </w:r>
      <w:r w:rsidR="0002460D">
        <w:t xml:space="preserve"> (Table 5).</w:t>
      </w:r>
      <w:r w:rsidR="005253DF">
        <w:t xml:space="preserve"> This can be explained by the number of large trees present in each successional stage. 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 to total AGB. </w:t>
      </w:r>
    </w:p>
    <w:p w14:paraId="6296A8B7" w14:textId="7E266512" w:rsidR="007E5FEF" w:rsidRDefault="002B6B04">
      <w:pPr>
        <w:rPr>
          <w:i/>
          <w:iCs/>
        </w:rPr>
      </w:pPr>
      <w:r>
        <w:tab/>
      </w:r>
      <w:r w:rsidRPr="00FD0D17">
        <w:rPr>
          <w:i/>
          <w:iCs/>
        </w:rPr>
        <w:t>Patterns of Tree AGB Across Land-use and Environmental Gradients</w:t>
      </w:r>
    </w:p>
    <w:p w14:paraId="4076D255" w14:textId="0904FCD8" w:rsidR="008A52DE" w:rsidRDefault="00A964E1">
      <w:r>
        <w:t xml:space="preserve">Tree AGB in </w:t>
      </w:r>
      <w:r w:rsidR="002B2054">
        <w:t>TMCF</w:t>
      </w:r>
      <w:r>
        <w:t xml:space="preserve"> sites are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02460D">
        <w:t>6</w:t>
      </w:r>
      <w:r w:rsidR="00CE28B6">
        <w:t xml:space="preserve">). </w:t>
      </w:r>
      <w:r w:rsidR="008A52DE">
        <w:t>The level of land-use represented in the landscape composition variable controls AGB the most. This variable has a strong relationship with AGB and as land</w:t>
      </w:r>
      <w:r w:rsidR="001F241B">
        <w:t xml:space="preserve">-use increases, the amount of very young forests in the landscape grows and AGB steadily decreases </w:t>
      </w:r>
      <w:r w:rsidR="001F241B">
        <w:t>(p &lt; 0.05, adjusted R</w:t>
      </w:r>
      <w:r w:rsidR="001F241B" w:rsidRPr="00CE28B6">
        <w:rPr>
          <w:vertAlign w:val="superscript"/>
        </w:rPr>
        <w:t>2</w:t>
      </w:r>
      <w:r w:rsidR="001F241B">
        <w:t>= 0.</w:t>
      </w:r>
      <w:r w:rsidR="001F241B">
        <w:t xml:space="preserve">729). </w:t>
      </w:r>
      <w:r w:rsidR="00C87E8E">
        <w:t xml:space="preserve">The residuals of this model do not show spatial autocorrelation. We computed Moran’s I statistic for neighborhoods of 10, 25, and 50 km of distance and all of them resulted non-significant (p= 0.517, p= 0.604, p= 0.187, respectively). </w:t>
      </w:r>
    </w:p>
    <w:p w14:paraId="2200659E" w14:textId="0A9BFAA9" w:rsidR="002B2054" w:rsidRPr="002B2054" w:rsidRDefault="00FA40CD" w:rsidP="008A52DE">
      <w:pPr>
        <w:ind w:firstLine="720"/>
      </w:pPr>
      <w:r>
        <w:t xml:space="preserve">The second best model includes </w:t>
      </w:r>
      <w:r w:rsidR="00841881">
        <w:t xml:space="preserve">the </w:t>
      </w:r>
      <w:r>
        <w:t>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t xml:space="preserve"> (Table </w:t>
      </w:r>
      <w:r w:rsidR="0002460D">
        <w:t>7</w:t>
      </w:r>
      <w:r w:rsidR="00B65E6C">
        <w:t xml:space="preserve">). </w:t>
      </w:r>
      <w:r w:rsidR="001F241B">
        <w:t>Temperature and precipitation have</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Additionally, this environmental gradient is related to the land-use gradient, as sites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7858F3">
        <w:t xml:space="preserve"> The fact that land-use exerts a strong effect on AGB, in addition to be related to the environmental gradient, results in the latter being only marginally relevant when both predictors are considered.</w:t>
      </w:r>
    </w:p>
    <w:p w14:paraId="797D84E2" w14:textId="77777777" w:rsidR="00C5621A" w:rsidRDefault="007E5FEF">
      <w:pPr>
        <w:rPr>
          <w:i/>
          <w:iCs/>
        </w:rPr>
      </w:pPr>
      <w:r>
        <w:tab/>
      </w:r>
      <w:r w:rsidRPr="00FD0D17">
        <w:rPr>
          <w:i/>
          <w:iCs/>
        </w:rPr>
        <w:t>AGB and tree diversity</w:t>
      </w:r>
      <w:r w:rsidR="002B6B04" w:rsidRPr="00FD0D17">
        <w:rPr>
          <w:i/>
          <w:iCs/>
        </w:rPr>
        <w:t xml:space="preserve"> </w:t>
      </w:r>
    </w:p>
    <w:p w14:paraId="762B7916" w14:textId="2AA5927B"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t>). We addressed this issue using nonparametric regressions, where linearity is no</w:t>
      </w:r>
      <w:r w:rsidR="002C7C38">
        <w:t xml:space="preserve">t </w:t>
      </w:r>
      <w:r>
        <w:t xml:space="preserve">assumed. Using </w:t>
      </w:r>
      <w:r w:rsidR="002E678B">
        <w:t>Simpson</w:t>
      </w:r>
      <w:r>
        <w:t xml:space="preserve"> diversity index and species richness, we found that tree diversity increases with AGB until sites reach </w:t>
      </w:r>
      <w:r w:rsidR="002C7C38">
        <w:t xml:space="preserve">approximately 200 Mg/ha. Sites with more than 200 Mg/ha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2E678B">
        <w:t>--</w:t>
      </w:r>
      <w:r w:rsidR="001D1DF5">
        <w:t xml:space="preserve">which are the ones </w:t>
      </w:r>
      <w:r w:rsidR="001D1DF5">
        <w:t>contribut</w:t>
      </w:r>
      <w:r w:rsidR="001D1DF5">
        <w:t>ing</w:t>
      </w:r>
      <w:r w:rsidR="001D1DF5">
        <w:t xml:space="preserve"> greatly to the total amount of AGB</w:t>
      </w:r>
      <w:r w:rsidR="002E678B">
        <w:t xml:space="preserve"> in TMCF--</w:t>
      </w:r>
      <w:r w:rsidR="001D1DF5">
        <w:t xml:space="preserve">, 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w:t>
      </w:r>
      <w:r w:rsidR="00DB6561">
        <w:t>in mature forests</w:t>
      </w:r>
      <w:r w:rsidR="00DB6561">
        <w:t xml:space="preserve"> (Figure).</w:t>
      </w:r>
      <w:r w:rsidR="005F0C47">
        <w:t xml:space="preserve"> Thus, sites with a larger composition of mature forests show greater AGB but not necessarily larger tree diversity.</w:t>
      </w:r>
    </w:p>
    <w:p w14:paraId="63A23AC4" w14:textId="5F5FB83A" w:rsidR="00CC2AF6" w:rsidRDefault="00CC2AF6">
      <w:pPr>
        <w:rPr>
          <w:b/>
          <w:bCs/>
        </w:rPr>
      </w:pPr>
      <w:r w:rsidRPr="00CC2AF6">
        <w:rPr>
          <w:b/>
          <w:bCs/>
        </w:rPr>
        <w:t>Discussion</w:t>
      </w:r>
    </w:p>
    <w:p w14:paraId="4C750748" w14:textId="54E86400"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gazing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774A9F59" w14:textId="557E1894" w:rsidR="00FD0D17" w:rsidRDefault="00E72CF0" w:rsidP="00FD0D17">
      <w:r w:rsidRPr="009847A8">
        <w:t>Table 3.</w:t>
      </w:r>
      <w:r>
        <w:t xml:space="preserve"> </w:t>
      </w:r>
      <w:r w:rsidR="003A3660">
        <w:t>Summary statistics of s</w:t>
      </w:r>
      <w:r>
        <w:t xml:space="preserve">tructural attributes, tree </w:t>
      </w:r>
      <w:r w:rsidR="003A3660">
        <w:t>aboveground biomass (AGB)</w:t>
      </w:r>
      <w:r>
        <w:t xml:space="preserve"> and 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77777777" w:rsidR="00FD0D17" w:rsidRDefault="00FD0D17">
            <w:r>
              <w:t>Stem density (tree/ha)</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81.25</w:t>
            </w:r>
            <w:r>
              <w:t xml:space="preserve"> </w:t>
            </w:r>
            <w:r>
              <w:rPr>
                <w:rFonts w:ascii="French Script MT" w:hAnsi="French Script MT"/>
              </w:rPr>
              <w:t xml:space="preserve">± </w:t>
            </w:r>
            <w:r>
              <w:t>15.72</w:t>
            </w:r>
            <w: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6AF2AA8C" w:rsidR="00FD0D17" w:rsidRDefault="00FD0D17">
            <w:r>
              <w:t>Basal area (m/ha)</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2.26</w:t>
            </w:r>
            <w:r>
              <w:t xml:space="preserve">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77777777" w:rsidR="00FD0D17" w:rsidRDefault="00FD0D17">
            <w:r>
              <w:t>Aboveground biomass (Mg/ha)</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77777777" w:rsidR="00FD0D17" w:rsidRDefault="00FD0D17">
            <w:r>
              <w:t>Species richness</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2725C867"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144E23B" w14:textId="77777777" w:rsidR="00FD0D17" w:rsidRDefault="00FD0D17">
            <w:r>
              <w:t>Simpson diversity index (D)</w:t>
            </w:r>
          </w:p>
        </w:tc>
        <w:tc>
          <w:tcPr>
            <w:tcW w:w="1559" w:type="dxa"/>
            <w:tcBorders>
              <w:top w:val="single" w:sz="4" w:space="0" w:color="auto"/>
              <w:left w:val="single" w:sz="4" w:space="0" w:color="auto"/>
              <w:bottom w:val="single" w:sz="4" w:space="0" w:color="auto"/>
              <w:right w:val="single" w:sz="4" w:space="0" w:color="auto"/>
            </w:tcBorders>
            <w:hideMark/>
          </w:tcPr>
          <w:p w14:paraId="4AA7B0BF" w14:textId="71D24DA5" w:rsidR="00FD0D17" w:rsidRDefault="001C6E1B">
            <w:r w:rsidRPr="001C6E1B">
              <w:rPr>
                <w:rFonts w:cstheme="minorHAnsi"/>
              </w:rPr>
              <w:t>0.19</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0.12</w:t>
            </w:r>
          </w:p>
        </w:tc>
        <w:tc>
          <w:tcPr>
            <w:tcW w:w="1843" w:type="dxa"/>
            <w:tcBorders>
              <w:top w:val="single" w:sz="4" w:space="0" w:color="auto"/>
              <w:left w:val="single" w:sz="4" w:space="0" w:color="auto"/>
              <w:bottom w:val="single" w:sz="4" w:space="0" w:color="auto"/>
              <w:right w:val="single" w:sz="4" w:space="0" w:color="auto"/>
            </w:tcBorders>
            <w:hideMark/>
          </w:tcPr>
          <w:p w14:paraId="1E347BE3" w14:textId="104DD3DB" w:rsidR="00FD0D17" w:rsidRDefault="001C6E1B">
            <w:r w:rsidRPr="001C6E1B">
              <w:rPr>
                <w:rFonts w:cstheme="minorHAnsi"/>
              </w:rPr>
              <w:t>0.78</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0.05</w:t>
            </w:r>
          </w:p>
        </w:tc>
        <w:tc>
          <w:tcPr>
            <w:tcW w:w="1701" w:type="dxa"/>
            <w:tcBorders>
              <w:top w:val="single" w:sz="4" w:space="0" w:color="auto"/>
              <w:left w:val="single" w:sz="4" w:space="0" w:color="auto"/>
              <w:bottom w:val="single" w:sz="4" w:space="0" w:color="auto"/>
              <w:right w:val="single" w:sz="4" w:space="0" w:color="auto"/>
            </w:tcBorders>
            <w:hideMark/>
          </w:tcPr>
          <w:p w14:paraId="5E817301" w14:textId="6119B693" w:rsidR="00FD0D17" w:rsidRDefault="001C6E1B">
            <w:r>
              <w:t xml:space="preserve">0.54 </w:t>
            </w:r>
            <w:r>
              <w:rPr>
                <w:rFonts w:ascii="French Script MT" w:hAnsi="French Script MT"/>
              </w:rPr>
              <w:t>±</w:t>
            </w:r>
            <w:r>
              <w:rPr>
                <w:rFonts w:ascii="French Script MT" w:hAnsi="French Script MT"/>
              </w:rPr>
              <w:t xml:space="preserve"> </w:t>
            </w:r>
            <w:r>
              <w:t>0.15</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77777777" w:rsidR="00FD0D17" w:rsidRDefault="00FD0D17">
            <w:r>
              <w:t>Shannon diversity index (H)</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w:t>
            </w:r>
            <w:r>
              <w:rPr>
                <w:rFonts w:ascii="French Script MT" w:hAnsi="French Script MT"/>
              </w:rPr>
              <w:t xml:space="preserve"> </w:t>
            </w:r>
            <w:r>
              <w:t>0.36</w:t>
            </w:r>
          </w:p>
        </w:tc>
      </w:tr>
    </w:tbl>
    <w:p w14:paraId="62C36512" w14:textId="414358C2" w:rsidR="00E72CF0" w:rsidRDefault="00E72CF0"/>
    <w:p w14:paraId="2D4926A9" w14:textId="16BB5455" w:rsidR="00FF13E6" w:rsidRDefault="0029374D" w:rsidP="0029374D">
      <w:r>
        <w:t xml:space="preserve">Table 4. Structural attributes and tree </w:t>
      </w:r>
      <w:r w:rsidR="00627EE0">
        <w:t>aboveground biomass (AGB)</w:t>
      </w:r>
      <w:r>
        <w:t xml:space="preserve"> at plot level </w:t>
      </w:r>
      <w:r w:rsidR="004A4121">
        <w:t>(n</w:t>
      </w:r>
      <w:r w:rsidR="005E3EC7">
        <w:t>= 160</w:t>
      </w:r>
      <w:r w:rsidR="004A4121">
        <w:t xml:space="preserve">) </w:t>
      </w:r>
      <w:r>
        <w:t>in three different successional stages: very young</w:t>
      </w:r>
      <w:r w:rsidR="004A4121">
        <w:t xml:space="preserve">, </w:t>
      </w:r>
      <w:r>
        <w:t>young</w:t>
      </w:r>
      <w:r w:rsidR="004A4121">
        <w:t xml:space="preserve"> , </w:t>
      </w:r>
      <w:r>
        <w:t>and mature</w:t>
      </w:r>
      <w:r w:rsidR="004A4121">
        <w:t xml:space="preserve"> </w:t>
      </w:r>
      <w:r>
        <w:t>forests.</w:t>
      </w:r>
      <w:r w:rsidR="00FF13E6">
        <w:t xml:space="preserve"> </w:t>
      </w:r>
      <w:r w:rsidR="004A6FE9">
        <w:t>According to the ANOVA, 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(p &lt; 0.05).</w:t>
      </w:r>
    </w:p>
    <w:tbl>
      <w:tblPr>
        <w:tblStyle w:val="Tablaconcuadrcula"/>
        <w:tblW w:w="0" w:type="auto"/>
        <w:tblLook w:val="04A0" w:firstRow="1" w:lastRow="0" w:firstColumn="1" w:lastColumn="0" w:noHBand="0" w:noVBand="1"/>
      </w:tblPr>
      <w:tblGrid>
        <w:gridCol w:w="1846"/>
        <w:gridCol w:w="1287"/>
        <w:gridCol w:w="941"/>
        <w:gridCol w:w="1166"/>
        <w:gridCol w:w="992"/>
        <w:gridCol w:w="1134"/>
        <w:gridCol w:w="941"/>
      </w:tblGrid>
      <w:tr w:rsidR="009E0F27" w14:paraId="36BF54E6" w14:textId="1BF612C3" w:rsidTr="009E0F27">
        <w:tc>
          <w:tcPr>
            <w:tcW w:w="1846" w:type="dxa"/>
            <w:vMerge w:val="restart"/>
          </w:tcPr>
          <w:p w14:paraId="56D1B94D" w14:textId="32EEB8D4" w:rsidR="009E0F27" w:rsidRPr="009E0F27" w:rsidRDefault="009E0F27" w:rsidP="00FF13E6">
            <w:pPr>
              <w:rPr>
                <w:b/>
                <w:bCs/>
              </w:rPr>
            </w:pPr>
          </w:p>
        </w:tc>
        <w:tc>
          <w:tcPr>
            <w:tcW w:w="2228"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w:t>
            </w:r>
            <w:r w:rsidRPr="004A4121">
              <w:rPr>
                <w:b/>
                <w:bCs/>
              </w:rPr>
              <w:t>(n= 69)</w:t>
            </w:r>
          </w:p>
        </w:tc>
        <w:tc>
          <w:tcPr>
            <w:tcW w:w="2158"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9E0F27">
        <w:tc>
          <w:tcPr>
            <w:tcW w:w="1846" w:type="dxa"/>
            <w:vMerge/>
          </w:tcPr>
          <w:p w14:paraId="6528D1F2" w14:textId="1A6DD982" w:rsidR="009E0F27" w:rsidRPr="009E0F27" w:rsidRDefault="009E0F27" w:rsidP="00FF13E6">
            <w:pPr>
              <w:rPr>
                <w:b/>
                <w:bCs/>
              </w:rPr>
            </w:pPr>
          </w:p>
        </w:tc>
        <w:tc>
          <w:tcPr>
            <w:tcW w:w="1287" w:type="dxa"/>
          </w:tcPr>
          <w:p w14:paraId="6A0B1B4F" w14:textId="05BD83AF" w:rsidR="009E0F27" w:rsidRPr="009E0F27" w:rsidRDefault="009E0F27" w:rsidP="00FF13E6">
            <w:pPr>
              <w:rPr>
                <w:b/>
                <w:bCs/>
              </w:rPr>
            </w:pPr>
            <w:r w:rsidRPr="009E0F27">
              <w:rPr>
                <w:b/>
                <w:bCs/>
              </w:rPr>
              <w:t xml:space="preserve">Mean </w:t>
            </w:r>
          </w:p>
        </w:tc>
        <w:tc>
          <w:tcPr>
            <w:tcW w:w="941" w:type="dxa"/>
          </w:tcPr>
          <w:p w14:paraId="4723A334" w14:textId="527180AD" w:rsidR="009E0F27" w:rsidRPr="009E0F27" w:rsidRDefault="009E0F27" w:rsidP="00FF13E6">
            <w:pPr>
              <w:rPr>
                <w:b/>
                <w:bCs/>
              </w:rPr>
            </w:pPr>
            <w:r w:rsidRPr="009E0F27">
              <w:rPr>
                <w:b/>
                <w:bCs/>
              </w:rPr>
              <w:t>S.D.</w:t>
            </w:r>
          </w:p>
        </w:tc>
        <w:tc>
          <w:tcPr>
            <w:tcW w:w="1166"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9E0F27">
        <w:tc>
          <w:tcPr>
            <w:tcW w:w="1846" w:type="dxa"/>
          </w:tcPr>
          <w:p w14:paraId="2E25A9D0" w14:textId="5BD50B4E" w:rsidR="00FF13E6" w:rsidRDefault="00FF13E6" w:rsidP="00FF13E6">
            <w:r>
              <w:t>Stem density (tree/ha)</w:t>
            </w:r>
          </w:p>
        </w:tc>
        <w:tc>
          <w:tcPr>
            <w:tcW w:w="1287" w:type="dxa"/>
          </w:tcPr>
          <w:p w14:paraId="75F06800" w14:textId="4A4BC1A1" w:rsidR="00FF13E6" w:rsidRDefault="00FF13E6" w:rsidP="00FF13E6">
            <w:r w:rsidRPr="00FF13E6">
              <w:t>275.000</w:t>
            </w:r>
            <w:r>
              <w:t xml:space="preserve"> </w:t>
            </w:r>
          </w:p>
        </w:tc>
        <w:tc>
          <w:tcPr>
            <w:tcW w:w="941" w:type="dxa"/>
          </w:tcPr>
          <w:p w14:paraId="22D2C73B" w14:textId="4F97E23F" w:rsidR="00FF13E6" w:rsidRDefault="00FF13E6" w:rsidP="00FF13E6">
            <w:r w:rsidRPr="00FF13E6">
              <w:t>166.550</w:t>
            </w:r>
          </w:p>
        </w:tc>
        <w:tc>
          <w:tcPr>
            <w:tcW w:w="1166"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9E0F27">
        <w:tc>
          <w:tcPr>
            <w:tcW w:w="1846" w:type="dxa"/>
          </w:tcPr>
          <w:p w14:paraId="553C85C3" w14:textId="313185C3" w:rsidR="00FF13E6" w:rsidRDefault="00FF13E6" w:rsidP="00FF13E6">
            <w:r>
              <w:t>Basal area (m/ha)</w:t>
            </w:r>
          </w:p>
        </w:tc>
        <w:tc>
          <w:tcPr>
            <w:tcW w:w="1287" w:type="dxa"/>
          </w:tcPr>
          <w:p w14:paraId="0DE45DC3" w14:textId="078C51EC" w:rsidR="00FF13E6" w:rsidRDefault="00FF13E6" w:rsidP="00FF13E6">
            <w:r w:rsidRPr="00FF13E6">
              <w:t>6.875</w:t>
            </w:r>
          </w:p>
        </w:tc>
        <w:tc>
          <w:tcPr>
            <w:tcW w:w="941" w:type="dxa"/>
          </w:tcPr>
          <w:p w14:paraId="0CEDC61A" w14:textId="70F8379A" w:rsidR="00FF13E6" w:rsidRDefault="00FF13E6" w:rsidP="00FF13E6">
            <w:r w:rsidRPr="00FF13E6">
              <w:t>4.432</w:t>
            </w:r>
          </w:p>
        </w:tc>
        <w:tc>
          <w:tcPr>
            <w:tcW w:w="1166"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9E0F27">
        <w:tc>
          <w:tcPr>
            <w:tcW w:w="1846" w:type="dxa"/>
          </w:tcPr>
          <w:p w14:paraId="6D023B99" w14:textId="1E3A0968" w:rsidR="00FF13E6" w:rsidRDefault="00FF13E6" w:rsidP="00FF13E6">
            <w:proofErr w:type="spellStart"/>
            <w:r>
              <w:t>Lorey’s</w:t>
            </w:r>
            <w:proofErr w:type="spellEnd"/>
            <w:r>
              <w:t xml:space="preserve"> height (m)</w:t>
            </w:r>
          </w:p>
        </w:tc>
        <w:tc>
          <w:tcPr>
            <w:tcW w:w="1287" w:type="dxa"/>
          </w:tcPr>
          <w:p w14:paraId="09B55F7C" w14:textId="7368373D" w:rsidR="00FF13E6" w:rsidRDefault="00FF13E6" w:rsidP="00FF13E6">
            <w:pPr>
              <w:tabs>
                <w:tab w:val="left" w:pos="493"/>
              </w:tabs>
            </w:pPr>
            <w:r w:rsidRPr="00FF13E6">
              <w:t>9.376</w:t>
            </w:r>
          </w:p>
        </w:tc>
        <w:tc>
          <w:tcPr>
            <w:tcW w:w="941" w:type="dxa"/>
          </w:tcPr>
          <w:p w14:paraId="0E1CD81D" w14:textId="29CD804A" w:rsidR="00FF13E6" w:rsidRDefault="00FF13E6" w:rsidP="00FF13E6">
            <w:r w:rsidRPr="00FF13E6">
              <w:t>3.550</w:t>
            </w:r>
          </w:p>
        </w:tc>
        <w:tc>
          <w:tcPr>
            <w:tcW w:w="1166"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9E0F27">
        <w:tc>
          <w:tcPr>
            <w:tcW w:w="1846" w:type="dxa"/>
          </w:tcPr>
          <w:p w14:paraId="4D448748" w14:textId="7BDB4700" w:rsidR="00FF13E6" w:rsidRDefault="00627EE0" w:rsidP="00FF13E6">
            <w:r>
              <w:t>AGB</w:t>
            </w:r>
            <w:r w:rsidR="00FF13E6">
              <w:t xml:space="preserve"> (Mg/ha)</w:t>
            </w:r>
          </w:p>
        </w:tc>
        <w:tc>
          <w:tcPr>
            <w:tcW w:w="1287" w:type="dxa"/>
          </w:tcPr>
          <w:p w14:paraId="5906B717" w14:textId="458EDC13" w:rsidR="00FF13E6" w:rsidRDefault="00FF13E6" w:rsidP="00FF13E6">
            <w:r w:rsidRPr="00FF13E6">
              <w:t>33.381</w:t>
            </w:r>
          </w:p>
        </w:tc>
        <w:tc>
          <w:tcPr>
            <w:tcW w:w="941" w:type="dxa"/>
          </w:tcPr>
          <w:p w14:paraId="71AAC757" w14:textId="16DAB281" w:rsidR="00FF13E6" w:rsidRDefault="00FF13E6" w:rsidP="00FF13E6">
            <w:r w:rsidRPr="00FF13E6">
              <w:t>32.631</w:t>
            </w:r>
          </w:p>
        </w:tc>
        <w:tc>
          <w:tcPr>
            <w:tcW w:w="1166"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1C0BAA06" w:rsidR="00FF13E6" w:rsidRDefault="00FF13E6" w:rsidP="00FF13E6">
            <w:pPr>
              <w:tabs>
                <w:tab w:val="left" w:pos="436"/>
              </w:tabs>
            </w:pPr>
            <w:r w:rsidRPr="00FF13E6">
              <w:t>151.605</w:t>
            </w:r>
            <w:r>
              <w:tab/>
            </w:r>
          </w:p>
        </w:tc>
      </w:tr>
    </w:tbl>
    <w:p w14:paraId="247CDCE3" w14:textId="73054C33" w:rsidR="0029374D" w:rsidRDefault="0029374D" w:rsidP="0029374D">
      <w:r>
        <w:t xml:space="preserve"> </w:t>
      </w:r>
    </w:p>
    <w:p w14:paraId="71F9AC5E" w14:textId="77777777" w:rsidR="005253DF" w:rsidRDefault="0002460D">
      <w:r>
        <w:t>Table 5. ANOVAS o</w:t>
      </w:r>
      <w:r w:rsidR="005253DF">
        <w:t>f tree size classes contribution to AGB and stem.</w:t>
      </w:r>
    </w:p>
    <w:p w14:paraId="5103117D" w14:textId="08E5C66B" w:rsidR="00E72CF0" w:rsidRDefault="00E72CF0">
      <w:r>
        <w:t xml:space="preserve">Table </w:t>
      </w:r>
      <w:r w:rsidR="0002460D">
        <w:t>6</w:t>
      </w:r>
      <w:r>
        <w:t>.</w:t>
      </w:r>
      <w:r w:rsidR="00AA6C78">
        <w:t xml:space="preserve"> Multiple regression model-AGB</w:t>
      </w:r>
    </w:p>
    <w:p w14:paraId="689547AF" w14:textId="6ACA7121" w:rsidR="00AA6C78" w:rsidRDefault="00AA6C78">
      <w:r>
        <w:t xml:space="preserve">Table </w:t>
      </w:r>
      <w:r w:rsidR="0002460D">
        <w:t>7</w:t>
      </w:r>
      <w:r>
        <w:t xml:space="preserve">. </w:t>
      </w:r>
      <w:r w:rsidR="00D7056F">
        <w:t xml:space="preserve">R2, CP and BIC of all models. </w:t>
      </w:r>
    </w:p>
    <w:p w14:paraId="58E086FB" w14:textId="5CB353DE" w:rsidR="00AA6C78" w:rsidRPr="00E72CF0" w:rsidRDefault="00AA6C78">
      <w:r>
        <w:t xml:space="preserve">Table </w:t>
      </w:r>
      <w:r w:rsidR="0029374D">
        <w:t>7</w:t>
      </w:r>
      <w:r>
        <w:t>.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049E8524" w:rsidR="007B1347" w:rsidRDefault="00A66BFF" w:rsidP="007B1347">
      <w:r>
        <w:t xml:space="preserve">Figure S1. </w:t>
      </w:r>
      <w:r w:rsidR="007B1347">
        <w:t>Non-hierarchical cluster analysis – plots categories in three ‘successional stages’</w:t>
      </w:r>
    </w:p>
    <w:p w14:paraId="097425D6" w14:textId="0128C5E9" w:rsidR="008E0B54" w:rsidRDefault="00A66BFF" w:rsidP="007B1347">
      <w:r>
        <w:t xml:space="preserve">Figure S2. </w:t>
      </w:r>
      <w:r w:rsidR="008E0B54">
        <w:t>Relationship between landscape composition value and forest disturbance</w:t>
      </w:r>
    </w:p>
    <w:p w14:paraId="4D0485B4" w14:textId="2C10CB12" w:rsidR="007B1347" w:rsidRDefault="008E0B54" w:rsidP="007B1347">
      <w:r>
        <w:t xml:space="preserve">Figure S3. </w:t>
      </w:r>
      <w:r w:rsidR="007B1347">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2F45"/>
    <w:rsid w:val="0002460D"/>
    <w:rsid w:val="00026BC0"/>
    <w:rsid w:val="00031DF0"/>
    <w:rsid w:val="00032262"/>
    <w:rsid w:val="00033AC4"/>
    <w:rsid w:val="00045254"/>
    <w:rsid w:val="000459DF"/>
    <w:rsid w:val="00046A27"/>
    <w:rsid w:val="000D0B87"/>
    <w:rsid w:val="000D36D1"/>
    <w:rsid w:val="000E7711"/>
    <w:rsid w:val="000F3FCA"/>
    <w:rsid w:val="001157C5"/>
    <w:rsid w:val="001255A6"/>
    <w:rsid w:val="00130AE9"/>
    <w:rsid w:val="00131800"/>
    <w:rsid w:val="00134917"/>
    <w:rsid w:val="001424A3"/>
    <w:rsid w:val="00147903"/>
    <w:rsid w:val="0015163A"/>
    <w:rsid w:val="00153894"/>
    <w:rsid w:val="0016647D"/>
    <w:rsid w:val="001715F4"/>
    <w:rsid w:val="00180313"/>
    <w:rsid w:val="001871AF"/>
    <w:rsid w:val="001872F6"/>
    <w:rsid w:val="001C6E1B"/>
    <w:rsid w:val="001D1DF5"/>
    <w:rsid w:val="001D4FEA"/>
    <w:rsid w:val="001F241B"/>
    <w:rsid w:val="00220CB3"/>
    <w:rsid w:val="00246A0B"/>
    <w:rsid w:val="002502A4"/>
    <w:rsid w:val="0025062E"/>
    <w:rsid w:val="0026099C"/>
    <w:rsid w:val="002704B2"/>
    <w:rsid w:val="0029374D"/>
    <w:rsid w:val="002A2F6B"/>
    <w:rsid w:val="002B2054"/>
    <w:rsid w:val="002B3B48"/>
    <w:rsid w:val="002B56B2"/>
    <w:rsid w:val="002B6B04"/>
    <w:rsid w:val="002C7C38"/>
    <w:rsid w:val="002E678B"/>
    <w:rsid w:val="002F10FB"/>
    <w:rsid w:val="002F46BE"/>
    <w:rsid w:val="002F65B5"/>
    <w:rsid w:val="002F6887"/>
    <w:rsid w:val="00310407"/>
    <w:rsid w:val="00323A21"/>
    <w:rsid w:val="003249DA"/>
    <w:rsid w:val="0032671E"/>
    <w:rsid w:val="0032737F"/>
    <w:rsid w:val="0033188C"/>
    <w:rsid w:val="00347884"/>
    <w:rsid w:val="00357A68"/>
    <w:rsid w:val="00367B62"/>
    <w:rsid w:val="00374D1F"/>
    <w:rsid w:val="003878AB"/>
    <w:rsid w:val="003A3660"/>
    <w:rsid w:val="003C023A"/>
    <w:rsid w:val="003C0426"/>
    <w:rsid w:val="00436AE9"/>
    <w:rsid w:val="004522E7"/>
    <w:rsid w:val="00467A11"/>
    <w:rsid w:val="00472738"/>
    <w:rsid w:val="00486A20"/>
    <w:rsid w:val="004A4121"/>
    <w:rsid w:val="004A6FE9"/>
    <w:rsid w:val="004C7757"/>
    <w:rsid w:val="004E6F8A"/>
    <w:rsid w:val="004E732D"/>
    <w:rsid w:val="00521264"/>
    <w:rsid w:val="005253DF"/>
    <w:rsid w:val="00555335"/>
    <w:rsid w:val="00556B6E"/>
    <w:rsid w:val="00563B45"/>
    <w:rsid w:val="00572059"/>
    <w:rsid w:val="005774AC"/>
    <w:rsid w:val="00583173"/>
    <w:rsid w:val="005A32CC"/>
    <w:rsid w:val="005A4A21"/>
    <w:rsid w:val="005C0A50"/>
    <w:rsid w:val="005D30B0"/>
    <w:rsid w:val="005E1125"/>
    <w:rsid w:val="005E1A3C"/>
    <w:rsid w:val="005E242B"/>
    <w:rsid w:val="005E30C1"/>
    <w:rsid w:val="005E3EC7"/>
    <w:rsid w:val="005E4030"/>
    <w:rsid w:val="005F0C47"/>
    <w:rsid w:val="005F1B92"/>
    <w:rsid w:val="00604808"/>
    <w:rsid w:val="006110D2"/>
    <w:rsid w:val="00612D57"/>
    <w:rsid w:val="00617140"/>
    <w:rsid w:val="0062564B"/>
    <w:rsid w:val="00627EE0"/>
    <w:rsid w:val="006554A1"/>
    <w:rsid w:val="006B6C9F"/>
    <w:rsid w:val="006D1CD6"/>
    <w:rsid w:val="006D748E"/>
    <w:rsid w:val="006E5D26"/>
    <w:rsid w:val="00712031"/>
    <w:rsid w:val="00724EDB"/>
    <w:rsid w:val="00732CE0"/>
    <w:rsid w:val="00734255"/>
    <w:rsid w:val="00740D1C"/>
    <w:rsid w:val="00754CAE"/>
    <w:rsid w:val="00756968"/>
    <w:rsid w:val="0078236C"/>
    <w:rsid w:val="007858F3"/>
    <w:rsid w:val="007962B2"/>
    <w:rsid w:val="007A053A"/>
    <w:rsid w:val="007A3621"/>
    <w:rsid w:val="007B1347"/>
    <w:rsid w:val="007B22AF"/>
    <w:rsid w:val="007D38D3"/>
    <w:rsid w:val="007D4B3A"/>
    <w:rsid w:val="007E5FEF"/>
    <w:rsid w:val="008013B1"/>
    <w:rsid w:val="00802976"/>
    <w:rsid w:val="00824370"/>
    <w:rsid w:val="00826EC2"/>
    <w:rsid w:val="008366F6"/>
    <w:rsid w:val="00841881"/>
    <w:rsid w:val="00843834"/>
    <w:rsid w:val="0087152F"/>
    <w:rsid w:val="00887371"/>
    <w:rsid w:val="008A226F"/>
    <w:rsid w:val="008A52DE"/>
    <w:rsid w:val="008B0CE3"/>
    <w:rsid w:val="008E0B54"/>
    <w:rsid w:val="008E13E4"/>
    <w:rsid w:val="008F0C64"/>
    <w:rsid w:val="00925CBE"/>
    <w:rsid w:val="009321C3"/>
    <w:rsid w:val="00942768"/>
    <w:rsid w:val="00944A60"/>
    <w:rsid w:val="009472E0"/>
    <w:rsid w:val="00966414"/>
    <w:rsid w:val="009726A9"/>
    <w:rsid w:val="009761E9"/>
    <w:rsid w:val="009847A8"/>
    <w:rsid w:val="009A477D"/>
    <w:rsid w:val="009B6F89"/>
    <w:rsid w:val="009D14DA"/>
    <w:rsid w:val="009D34BC"/>
    <w:rsid w:val="009D4270"/>
    <w:rsid w:val="009E0F27"/>
    <w:rsid w:val="00A065AE"/>
    <w:rsid w:val="00A1338D"/>
    <w:rsid w:val="00A37B1C"/>
    <w:rsid w:val="00A463A5"/>
    <w:rsid w:val="00A55307"/>
    <w:rsid w:val="00A61571"/>
    <w:rsid w:val="00A6402B"/>
    <w:rsid w:val="00A66BFF"/>
    <w:rsid w:val="00A73B68"/>
    <w:rsid w:val="00A94203"/>
    <w:rsid w:val="00A964E1"/>
    <w:rsid w:val="00AA6C78"/>
    <w:rsid w:val="00AB4CBF"/>
    <w:rsid w:val="00AB6841"/>
    <w:rsid w:val="00AB7D92"/>
    <w:rsid w:val="00AD65E2"/>
    <w:rsid w:val="00B01785"/>
    <w:rsid w:val="00B30F52"/>
    <w:rsid w:val="00B31DF0"/>
    <w:rsid w:val="00B34548"/>
    <w:rsid w:val="00B36C88"/>
    <w:rsid w:val="00B405E8"/>
    <w:rsid w:val="00B65E6C"/>
    <w:rsid w:val="00BA2CCE"/>
    <w:rsid w:val="00BB0782"/>
    <w:rsid w:val="00BC59BF"/>
    <w:rsid w:val="00BD21E4"/>
    <w:rsid w:val="00BD2D44"/>
    <w:rsid w:val="00BE25A9"/>
    <w:rsid w:val="00C049EB"/>
    <w:rsid w:val="00C05831"/>
    <w:rsid w:val="00C11442"/>
    <w:rsid w:val="00C15A2A"/>
    <w:rsid w:val="00C178FC"/>
    <w:rsid w:val="00C230C9"/>
    <w:rsid w:val="00C448C4"/>
    <w:rsid w:val="00C53A9A"/>
    <w:rsid w:val="00C5621A"/>
    <w:rsid w:val="00C62945"/>
    <w:rsid w:val="00C708AE"/>
    <w:rsid w:val="00C87E8E"/>
    <w:rsid w:val="00C91162"/>
    <w:rsid w:val="00CA588B"/>
    <w:rsid w:val="00CA7407"/>
    <w:rsid w:val="00CB78F2"/>
    <w:rsid w:val="00CC2AF6"/>
    <w:rsid w:val="00CC46F1"/>
    <w:rsid w:val="00CD037F"/>
    <w:rsid w:val="00CD2053"/>
    <w:rsid w:val="00CD3D6E"/>
    <w:rsid w:val="00CE28B6"/>
    <w:rsid w:val="00CE29E1"/>
    <w:rsid w:val="00CF3149"/>
    <w:rsid w:val="00CF34DF"/>
    <w:rsid w:val="00D035A7"/>
    <w:rsid w:val="00D03822"/>
    <w:rsid w:val="00D249F6"/>
    <w:rsid w:val="00D50E20"/>
    <w:rsid w:val="00D65F2A"/>
    <w:rsid w:val="00D66041"/>
    <w:rsid w:val="00D67390"/>
    <w:rsid w:val="00D7056F"/>
    <w:rsid w:val="00D741C0"/>
    <w:rsid w:val="00DA33B4"/>
    <w:rsid w:val="00DA37F8"/>
    <w:rsid w:val="00DA42FD"/>
    <w:rsid w:val="00DB5D83"/>
    <w:rsid w:val="00DB6561"/>
    <w:rsid w:val="00DF309C"/>
    <w:rsid w:val="00E103E4"/>
    <w:rsid w:val="00E11D6D"/>
    <w:rsid w:val="00E21A15"/>
    <w:rsid w:val="00E24BE9"/>
    <w:rsid w:val="00E26313"/>
    <w:rsid w:val="00E7268A"/>
    <w:rsid w:val="00E72CF0"/>
    <w:rsid w:val="00E849DC"/>
    <w:rsid w:val="00E92D22"/>
    <w:rsid w:val="00EA5B92"/>
    <w:rsid w:val="00EB5280"/>
    <w:rsid w:val="00EE503E"/>
    <w:rsid w:val="00EF7316"/>
    <w:rsid w:val="00F3719E"/>
    <w:rsid w:val="00F426CB"/>
    <w:rsid w:val="00F433B7"/>
    <w:rsid w:val="00F46522"/>
    <w:rsid w:val="00F70EE6"/>
    <w:rsid w:val="00F924F6"/>
    <w:rsid w:val="00F95F87"/>
    <w:rsid w:val="00FA3E68"/>
    <w:rsid w:val="00FA40CD"/>
    <w:rsid w:val="00FA4794"/>
    <w:rsid w:val="00FD0436"/>
    <w:rsid w:val="00FD0D17"/>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6530</TotalTime>
  <Pages>9</Pages>
  <Words>3972</Words>
  <Characters>22642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121</cp:revision>
  <dcterms:created xsi:type="dcterms:W3CDTF">2022-02-09T04:05:00Z</dcterms:created>
  <dcterms:modified xsi:type="dcterms:W3CDTF">2022-02-18T06:24:00Z</dcterms:modified>
</cp:coreProperties>
</file>