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RENTUJEMY SPÓŁKA Z OGRANICZONĄ ODPOWIEDZIALNOŚCIĄ</w:t>
      </w:r>
    </w:p>
    <w:p>
      <w:r>
        <w:rPr>
          <w:sz w:val="22"/>
          <w:szCs w:val="22"/>
        </w:rPr>
        <w:t xml:space="preserve">Aleje Jerozolimskie 123A, 02-017 Warszawa</w:t>
      </w:r>
    </w:p>
    <w:p>
      <w:r>
        <w:rPr>
          <w:sz w:val="22"/>
          <w:szCs w:val="22"/>
        </w:rPr>
        <w:t xml:space="preserve">NIP: 5213993890</w:t>
      </w:r>
    </w:p>
    <w:p>
      <w:pPr>
        <w:spacing w:after="300"/>
      </w:pPr>
      <w:r>
        <w:t xml:space="preserve"/>
      </w:r>
    </w:p>
    <w:p>
      <w:pPr>
        <w:jc w:val="right"/>
      </w:pPr>
      <w:r>
        <w:rPr>
          <w:sz w:val="22"/>
          <w:szCs w:val="22"/>
        </w:rPr>
        <w:t xml:space="preserve">Naczelnik</w:t>
      </w:r>
    </w:p>
    <w:p>
      <w:pPr>
        <w:jc w:val="right"/>
      </w:pPr>
      <w:r>
        <w:rPr>
          <w:sz w:val="22"/>
          <w:szCs w:val="22"/>
        </w:rPr>
        <w:t xml:space="preserve">Trzeciego Urzędu Skarbowego</w:t>
      </w:r>
    </w:p>
    <w:p>
      <w:pPr>
        <w:jc w:val="right"/>
      </w:pPr>
      <w:r>
        <w:rPr>
          <w:sz w:val="22"/>
          <w:szCs w:val="22"/>
        </w:rPr>
        <w:t xml:space="preserve">Warszawa-Śródmieście</w:t>
      </w:r>
    </w:p>
    <w:p>
      <w:pPr>
        <w:jc w:val="right"/>
      </w:pPr>
      <w:r>
        <w:rPr>
          <w:sz w:val="22"/>
          <w:szCs w:val="22"/>
        </w:rPr>
        <w:t xml:space="preserve">ul. Lindleya 14, 02-013 Warszawa</w:t>
      </w:r>
    </w:p>
    <w:p>
      <w:pPr>
        <w:spacing w:after="200"/>
      </w:pPr>
      <w:r>
        <w:t xml:space="preserve"/>
      </w:r>
    </w:p>
    <w:p>
      <w:pPr>
        <w:jc w:val="right"/>
      </w:pPr>
      <w:r>
        <w:rPr>
          <w:sz w:val="22"/>
          <w:szCs w:val="22"/>
        </w:rPr>
        <w:t xml:space="preserve">Lizbona, 07 kwietnia 2026 roku</w:t>
      </w:r>
    </w:p>
    <w:p>
      <w:pPr>
        <w:spacing w:after="200"/>
      </w:pPr>
      <w:r>
        <w:t xml:space="preserve"/>
      </w:r>
    </w:p>
    <w:p>
      <w:r>
        <w:rPr>
          <w:b/>
          <w:bCs/>
          <w:sz w:val="22"/>
          <w:szCs w:val="22"/>
        </w:rPr>
        <w:t xml:space="preserve">Dotyczy: Odpowiedź na wezwanie do złożenia wyjaśnień z dnia 7 kwietnia 2026 r.</w:t>
      </w:r>
    </w:p>
    <w:p>
      <w:r>
        <w:rPr>
          <w:b/>
          <w:bCs/>
          <w:sz w:val="22"/>
          <w:szCs w:val="22"/>
        </w:rPr>
        <w:t xml:space="preserve">Znak sprawy: 1449-SKA-8.4033.22.2026 | UNP: 1449-26-122877</w:t>
      </w:r>
    </w:p>
    <w:p>
      <w:pPr>
        <w:spacing w:after="200"/>
      </w:pPr>
      <w:r>
        <w:t xml:space="preserve"/>
      </w:r>
    </w:p>
    <w:p>
      <w:r>
        <w:rPr>
          <w:sz w:val="22"/>
          <w:szCs w:val="22"/>
        </w:rPr>
        <w:t xml:space="preserve">Szanowny Panie Naczelniku,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W odpowiedzi na wezwanie do złożenia wyjaśnień z dnia 7 kwietnia 2026 r. (znak sprawy: 1449-SKA-8.4033.22.2026), dotyczące rozbieżności w zakresie transakcji wewnątrzwspólnotowych, uprzejmie przedstawiamy poniższe wyjaśnienia.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I. Wewnątrzwspólnotowa dostawa towarów (WDT) — JPK_V7M za 10/2025</w:t>
      </w:r>
    </w:p>
    <w:p>
      <w:pPr>
        <w:jc w:val="both"/>
      </w:pPr>
      <w:r>
        <w:rPr>
          <w:sz w:val="22"/>
          <w:szCs w:val="22"/>
        </w:rPr>
        <w:t xml:space="preserve">RENTUJEMY sp. z o.o. prowadzi działalność wyłącznie w zakresie usług zarządzania nieruchomościami na wynajem krótkoterminowy. Spółka nie realizuje dostaw towarów ani żadnych transakcji związanych z obrotem rzeczami ruchomymi. W związku z powyższym Spółka nie dokonała w październiku 2025 r. żadnej wewnątrzwspólnotowej dostawy towarów (WDT).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Rozliczenia VAT Spółki w 2025 r., w tym składanie deklaracji JPK_V7M oraz informacji podsumowujących VAT-UE, prowadzone były przez Biuro Rachunkowe Chandon Waller &amp; Partners Sp. z o.o., któremu Spółka na bieżąco przekazywała całość dokumentacji. Niniejsze wezwanie zostało niezwłocznie przekazane biuru rachunkowemu celem wyjaśnienia charakteru transakcji wykazanej w kwocie 2.164 zł w VAT-UE za 10/2025 r. oraz potwierdzenia prawidłowości dokonanych rozliczeń.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II. Import usług — IV kwartał 2025 r.</w:t>
      </w:r>
    </w:p>
    <w:p>
      <w:pPr>
        <w:jc w:val="both"/>
      </w:pPr>
      <w:r>
        <w:rPr>
          <w:sz w:val="22"/>
          <w:szCs w:val="22"/>
        </w:rPr>
        <w:t xml:space="preserve">W IV kwartale 2025 r. Spółka RENTUJEMY sp. z o.o. korzystała z usług świadczonych przez trzech kontrahentów będących podatnikami VAT z innych państw Unii Europejskiej. Wszystkie trzy usługi stanowią import usług w rozumieniu art. 2 pkt 9 ustawy o VAT z dnia 11 marca 2004 r. i jako takie powinny zostać wykazane w polach 29 i 30 JPK_V7M. Poniżej przedstawiamy opis każdej z transakcji.</w:t>
      </w:r>
    </w:p>
    <w:p>
      <w:r>
        <w:t xml:space="preserve"/>
      </w:r>
    </w:p>
    <w:p>
      <w:pPr>
        <w:pStyle w:val="Heading2"/>
      </w:pPr>
      <w:r>
        <w:rPr>
          <w:b/>
          <w:bCs/>
          <w:sz w:val="23"/>
          <w:szCs w:val="23"/>
        </w:rPr>
        <w:t xml:space="preserve">1. DE 320543677 — Alphateam Hackers (Niemcy)</w:t>
      </w:r>
    </w:p>
    <w:p>
      <w:pPr>
        <w:jc w:val="both"/>
      </w:pPr>
      <w:r>
        <w:rPr>
          <w:sz w:val="22"/>
          <w:szCs w:val="22"/>
        </w:rPr>
        <w:t xml:space="preserve">Alphateam Hackers jest dostawcą oprogramowania SaaS służącego do operacyjnego zarządzania portfelem nieruchomości. Świadczone usługi obejmują: koordynację pracy personelu, automatyzację obsługi wiadomości od gości z wykorzystaniem sztucznej inteligencji, synchronizację rezerwacji pomiędzy platformami OTA oraz przygotowanie rozliczeń wypłat dla właścicieli nieruchomości. Wynagrodzenie ustalane jest w modelu abonamentowym jako 35 EUR miesięcznie za każdą aktywną nieruchomość.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Usługi te stanowią usługi elektroniczne/SaaS świadczone przez podmiot z siedzibą w Niemczech na rzecz polskiego podatnika VAT. Miejsce świadczenia usług, zgodnie z art. 28b ust. 1 ustawy o VAT, znajduje się w Polsce. Transakcja podlega opodatkowaniu VAT w Polsce w ramach mechanizmu odwrotnego obciążenia (import usług).</w:t>
      </w:r>
    </w:p>
    <w:p>
      <w:r>
        <w:t xml:space="preserve"/>
      </w:r>
    </w:p>
    <w:p>
      <w:pPr>
        <w:pStyle w:val="Heading2"/>
      </w:pPr>
      <w:r>
        <w:rPr>
          <w:b/>
          <w:bCs/>
          <w:sz w:val="23"/>
          <w:szCs w:val="23"/>
        </w:rPr>
        <w:t xml:space="preserve">2. IE 9827384L — Airbnb Ireland UC (Irlandia)</w:t>
      </w:r>
    </w:p>
    <w:p>
      <w:pPr>
        <w:jc w:val="both"/>
      </w:pPr>
      <w:r>
        <w:rPr>
          <w:sz w:val="22"/>
          <w:szCs w:val="22"/>
        </w:rPr>
        <w:t xml:space="preserve">Airbnb Ireland UC jest operatorem platformy internetowej pośrednictwa w wynajmie krótkoterminowym. Na podstawie umowy z Airbnb, Spółka RENTUJEMY sp. z o.o. udostępnia zarządzane nieruchomości na platformie Airbnb w zamian za prowizję naliczaną od każdej sfinalizowanej rezerwacji w wysokości ok. 15% wartości rezerwacji. Usługa pośrednictwa świadczona jest przez podmiot irlandzki na rzecz polskiego podatnika VAT.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Zgodnie z art. 28b ust. 1 ustawy o VAT, miejsce świadczenia tej usługi pośrednictwa elektronicznego znajduje się w Polsce. Transakcja stanowi import usług podlegający opodatkowaniu VAT w Polsce na zasadach odwrotnego obciążenia.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Należy wskazać, że Airbnb obsługuje płatności gości we własnym zakresie — środki z tytułu rezerwacji wpływają na rachunki Airbnb, a Spółka RENTUJEMY sp. z o.o. otrzymuje wypłaty już pomniejszone o należną prowizję. Prowizja nie jest zatem regulowana odrębnym przelewem, lecz potrącana przez Airbnb z kwoty wypłacanej Spółce.</w:t>
      </w:r>
    </w:p>
    <w:p>
      <w:r>
        <w:t xml:space="preserve"/>
      </w:r>
    </w:p>
    <w:p>
      <w:pPr>
        <w:pStyle w:val="Heading2"/>
      </w:pPr>
      <w:r>
        <w:rPr>
          <w:b/>
          <w:bCs/>
          <w:sz w:val="23"/>
          <w:szCs w:val="23"/>
        </w:rPr>
        <w:t xml:space="preserve">3. NL 805734958B01 — Booking.com B.V. (Holandia)</w:t>
      </w:r>
    </w:p>
    <w:p>
      <w:pPr>
        <w:jc w:val="both"/>
      </w:pPr>
      <w:r>
        <w:rPr>
          <w:sz w:val="22"/>
          <w:szCs w:val="22"/>
        </w:rPr>
        <w:t xml:space="preserve">Booking.com B.V. jest operatorem platformy rezerwacyjnej. Na podstawie umowy z Booking.com, Spółka RENTUJEMY sp. z o.o. udostępnia zarządzane nieruchomości na platformie Booking.com w zamian za prowizję naliczaną od każdej sfinalizowanej rezerwacji w wysokości od 13% do 22% wartości rezerwacji, w zależności od kategorii nieruchomości i wybranego programu widoczności.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Podobnie jak w przypadku Airbnb, miejsce świadczenia tej usługi zgodnie z art. 28b ust. 1 ustawy o VAT znajduje się w Polsce. Transakcja stanowi import usług podlegający opodatkowaniu VAT w Polsce na zasadach odwrotnego obciążenia.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Analogicznie jak Airbnb, Booking.com obsługuje płatności gości we własnym zakresie — środki z tytułu rezerwacji wpływają na rachunki Booking.com, natomiast Spółka RENTUJEMY sp. z o.o. otrzymuje wypłaty już pomniejszone o należną prowizję. Prowizja jest zatem potrącana przez Booking.com bezpośrednio z kwoty wypłacanej Spółce, a nie regulowana odrębnym przelewem.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III. Korekty deklaracji VAT</w:t>
      </w:r>
    </w:p>
    <w:p>
      <w:pPr>
        <w:jc w:val="both"/>
      </w:pPr>
      <w:r>
        <w:rPr>
          <w:sz w:val="22"/>
          <w:szCs w:val="22"/>
        </w:rPr>
        <w:t xml:space="preserve">Spółka RENTUJEMY sp. z o.o. przekazała niniejsze wezwanie do niezwłocznej weryfikacji obsługującemu ją Biuru Rachunkowemu Chandon Waller &amp; Partners Sp. z o.o., które prowadziło miesięczne rozliczenia VAT oraz składało deklaracje JPK_V7M w 2025 r. Biuro rachunkowe podjęło analizę prawidłowości wykazania importu usług w JPK_V7M za październik, listopad i grudzień 2025 r. W przypadku stwierdzenia rozbieżności wymagających korekty, stosowne korekty JPK_V7M zostaną złożone w możliwie najkrótszym terminie.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Jednocześnie informujemy, że import usług od ww. kontrahentów ma charakter neutralny podatkowo — kwota VAT należnego odpowiada kwocie VAT naliczonego podlegającego odliczeniu, wobec czego ewentualne korekty nie powinny skutkować powstaniem zaległości podatkowej po stronie Spółki.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sz w:val="24"/>
          <w:szCs w:val="24"/>
        </w:rPr>
        <w:t xml:space="preserve">IV. Dokumenty źródłowe</w:t>
      </w:r>
    </w:p>
    <w:p>
      <w:pPr>
        <w:jc w:val="both"/>
      </w:pPr>
      <w:r>
        <w:rPr>
          <w:sz w:val="22"/>
          <w:szCs w:val="22"/>
        </w:rPr>
        <w:t xml:space="preserve">W załączeniu do niniejszego pisma przekazujemy przykładowe faktury wystawione przez każdego z trzech kontrahentów za IV kwartał 2025 r. wraz z potwierdzeniami zapłaty. Spółka dysponuje kompletem dokumentacji źródłowej za cały analizowany okres i jest gotowa do jej udostępnienia na każde żądanie organu.</w:t>
      </w:r>
    </w:p>
    <w:p>
      <w:r>
        <w:t xml:space="preserve"/>
      </w:r>
    </w:p>
    <w:p>
      <w:pPr>
        <w:jc w:val="both"/>
      </w:pPr>
      <w:r>
        <w:rPr>
          <w:b/>
          <w:bCs/>
          <w:sz w:val="22"/>
          <w:szCs w:val="22"/>
        </w:rPr>
        <w:t xml:space="preserve">Załączniki:</w:t>
      </w:r>
    </w:p>
    <w:p>
      <w:r>
        <w:rPr>
          <w:sz w:val="22"/>
          <w:szCs w:val="22"/>
        </w:rPr>
        <w:t xml:space="preserve">1. Przykładowe faktury Alphateam Hackers (DE 320543677) za IV kwartał 2025 r.</w:t>
      </w:r>
    </w:p>
    <w:p>
      <w:r>
        <w:rPr>
          <w:sz w:val="22"/>
          <w:szCs w:val="22"/>
        </w:rPr>
        <w:t xml:space="preserve">2. Przykładowe faktury Airbnb Ireland UC (IE 9827384L) za IV kwartał 2025 r.</w:t>
      </w:r>
    </w:p>
    <w:p>
      <w:r>
        <w:rPr>
          <w:sz w:val="22"/>
          <w:szCs w:val="22"/>
        </w:rPr>
        <w:t xml:space="preserve">3. Przykładowe faktury Booking.com B.V. (NL 805734958B01) za IV kwartał 2025 r.</w:t>
      </w:r>
    </w:p>
    <w:p>
      <w:r>
        <w:rPr>
          <w:sz w:val="22"/>
          <w:szCs w:val="22"/>
        </w:rPr>
        <w:t xml:space="preserve">4. Potwierdzenia zapłaty do ww. faktur.</w:t>
      </w:r>
    </w:p>
    <w:p>
      <w:pPr>
        <w:spacing w:after="400"/>
      </w:pPr>
      <w:r>
        <w:t xml:space="preserve"/>
      </w:r>
    </w:p>
    <w:p>
      <w:r>
        <w:rPr>
          <w:sz w:val="22"/>
          <w:szCs w:val="22"/>
        </w:rPr>
        <w:t xml:space="preserve">Z wyrazami szacunku,</w:t>
      </w:r>
    </w:p>
    <w:p>
      <w:pPr>
        <w:spacing w:after="600"/>
      </w:pPr>
      <w:r>
        <w:t xml:space="preserve"/>
      </w:r>
    </w:p>
    <w:p>
      <w:r>
        <w:rPr>
          <w:sz w:val="22"/>
          <w:szCs w:val="22"/>
        </w:rPr>
        <w:t xml:space="preserve">________________________________</w:t>
      </w:r>
    </w:p>
    <w:p>
      <w:r>
        <w:rPr>
          <w:b/>
          <w:bCs/>
          <w:sz w:val="22"/>
          <w:szCs w:val="22"/>
        </w:rPr>
        <w:t xml:space="preserve">Adrian Barwicki</w:t>
      </w:r>
    </w:p>
    <w:p>
      <w:r>
        <w:rPr>
          <w:sz w:val="22"/>
          <w:szCs w:val="22"/>
        </w:rPr>
        <w:t xml:space="preserve">Prezes Zarządu</w:t>
      </w:r>
    </w:p>
    <w:p>
      <w:r>
        <w:rPr>
          <w:sz w:val="22"/>
          <w:szCs w:val="22"/>
        </w:rPr>
        <w:t xml:space="preserve">RENTUJEMY SPÓŁKA Z OGRANICZONĄ ODPOWIEDZIALNOŚCIĄ</w:t>
      </w:r>
    </w:p>
    <w:sectPr>
      <w:pgSz w:w="11906" w:h="16838" w:orient="portrait"/>
      <w:pgMar w:top="1418" w:right="1418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2026-04-07T15:17:54.496Z</dcterms:created>
  <dcterms:modified xsi:type="dcterms:W3CDTF">2026-04-07T15:17:54.496Z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