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1F3864"/>
          <w:sz w:val="52"/>
          <w:szCs w:val="52"/>
        </w:rPr>
        <w:t xml:space="preserve">INTERCOMPANY TRANSFER PRICING</w:t>
      </w:r>
    </w:p>
    <w:p>
      <w:pPr>
        <w:jc w:val="center"/>
      </w:pPr>
      <w:r>
        <w:rPr>
          <w:rFonts w:ascii="Arial" w:cs="Arial" w:eastAsia="Arial" w:hAnsi="Arial"/>
          <w:b/>
          <w:bCs/>
          <w:color w:val="1F3864"/>
          <w:sz w:val="52"/>
          <w:szCs w:val="52"/>
        </w:rPr>
        <w:t xml:space="preserve">POLICY &amp; DOCUMENTATION</w:t>
      </w:r>
    </w:p>
    <w:p>
      <w:pPr>
        <w:spacing w:after="0" w:before="0"/>
      </w:pPr>
      <w:r>
        <w:t xml:space="preserve"/>
      </w:r>
    </w:p>
    <w:p>
      <w:pPr>
        <w:spacing w:after="0" w:before="0"/>
      </w:pPr>
      <w:r>
        <w:t xml:space="preserve"/>
      </w:r>
    </w:p>
    <w:p>
      <w:pPr>
        <w:pBdr>
          <w:bottom w:val="single" w:color="2E75B6" w:sz="12" w:space="4"/>
        </w:pBdr>
        <w:jc w:val="center"/>
      </w:pPr>
      <w:r>
        <w:t xml:space="preserve"/>
      </w:r>
    </w:p>
    <w:p>
      <w:pPr>
        <w:spacing w:after="0" w:before="0"/>
      </w:pPr>
      <w:r>
        <w:t xml:space="preserve"/>
      </w:r>
    </w:p>
    <w:p>
      <w:pPr>
        <w:jc w:val="center"/>
      </w:pPr>
      <w:r>
        <w:rPr>
          <w:rFonts w:ascii="Arial" w:cs="Arial" w:eastAsia="Arial" w:hAnsi="Arial"/>
          <w:b/>
          <w:bCs/>
          <w:color w:val="2E75B6"/>
          <w:sz w:val="30"/>
          <w:szCs w:val="30"/>
        </w:rPr>
        <w:t xml:space="preserve">Barwicki Group of Companies</w:t>
      </w:r>
    </w:p>
    <w:p>
      <w:pPr>
        <w:spacing w:after="0" w:before="0"/>
      </w:pPr>
      <w:r>
        <w:t xml:space="preserve"/>
      </w:r>
    </w:p>
    <w:p>
      <w:pPr>
        <w:jc w:val="center"/>
      </w:pPr>
      <w:r>
        <w:rPr>
          <w:rFonts w:ascii="Arial" w:cs="Arial" w:eastAsia="Arial" w:hAnsi="Arial"/>
          <w:i/>
          <w:iCs/>
          <w:color w:val="404040"/>
          <w:sz w:val="24"/>
          <w:szCs w:val="24"/>
        </w:rPr>
        <w:t xml:space="preserve">Covering entities across Poland, Germany &amp; UAE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04040"/>
                <w:sz w:val="22"/>
                <w:szCs w:val="22"/>
              </w:rPr>
              <w:t xml:space="preserve">Document 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2"/>
                <w:szCs w:val="22"/>
              </w:rPr>
              <w:t xml:space="preserve">March 26, 2026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04040"/>
                <w:sz w:val="22"/>
                <w:szCs w:val="22"/>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2"/>
                <w:szCs w:val="22"/>
              </w:rPr>
              <w:t xml:space="preserve">1.0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04040"/>
                <w:sz w:val="22"/>
                <w:szCs w:val="22"/>
              </w:rPr>
              <w:t xml:space="preserve">Classification: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04040"/>
                <w:sz w:val="22"/>
                <w:szCs w:val="22"/>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200" w:before="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1. Introduction &amp; Scope</w:t>
      </w:r>
    </w:p>
    <w:p>
      <w:pPr>
        <w:spacing w:after="80" w:before="80"/>
      </w:pPr>
      <w:r>
        <w:rPr>
          <w:rFonts w:ascii="Arial" w:cs="Arial" w:eastAsia="Arial" w:hAnsi="Arial"/>
          <w:color w:val="404040"/>
          <w:sz w:val="22"/>
          <w:szCs w:val="22"/>
        </w:rPr>
        <w:t xml:space="preserve">This document establishes the intercompany transfer pricing policy for the Barwicki Group of Companies. It defines the rules, methodologies, and documentation requirements governing transactions between affiliated entities across Poland, Germany, and the United Arab Emirates.</w:t>
      </w:r>
    </w:p>
    <w:p>
      <w:pPr>
        <w:spacing w:after="80" w:before="80"/>
      </w:pPr>
      <w:r>
        <w:rPr>
          <w:rFonts w:ascii="Arial" w:cs="Arial" w:eastAsia="Arial" w:hAnsi="Arial"/>
          <w:color w:val="404040"/>
          <w:sz w:val="22"/>
          <w:szCs w:val="22"/>
        </w:rPr>
        <w:t xml:space="preserve">This policy is prepared in accordance with the arm's length principle as set out in Article 9 of the OECD Model Tax Convention and the OECD Transfer Pricing Guidelines for Multinational Enterprises and Tax Administrations (2022 edition), and applicable local regulations in Poland (CIT Act, Chapter 1a), Germany (AStG §1), and the UAE (Federal Decree-Law No. 47 of 2022 on Corporate Tax).</w:t>
      </w:r>
    </w:p>
    <w:p>
      <w:pPr>
        <w:spacing w:after="0" w:before="0"/>
      </w:pPr>
      <w:r>
        <w:t xml:space="preserve"/>
      </w:r>
    </w:p>
    <w:p>
      <w:pPr>
        <w:pStyle w:val="Heading2"/>
        <w:spacing w:after="160" w:before="320"/>
      </w:pPr>
      <w:r>
        <w:rPr>
          <w:rFonts w:ascii="Arial" w:cs="Arial" w:eastAsia="Arial" w:hAnsi="Arial"/>
          <w:b/>
          <w:bCs/>
          <w:color w:val="2E75B6"/>
          <w:sz w:val="26"/>
          <w:szCs w:val="26"/>
        </w:rPr>
        <w:t xml:space="preserve">1.1 Purpose</w:t>
      </w:r>
    </w:p>
    <w:p>
      <w:pPr>
        <w:pStyle w:val="ListParagraph"/>
        <w:numPr>
          <w:ilvl w:val="0"/>
          <w:numId w:val="2"/>
        </w:numPr>
        <w:spacing w:after="60" w:before="60"/>
      </w:pPr>
      <w:r>
        <w:rPr>
          <w:rFonts w:ascii="Arial" w:cs="Arial" w:eastAsia="Arial" w:hAnsi="Arial"/>
          <w:color w:val="404040"/>
          <w:sz w:val="22"/>
          <w:szCs w:val="22"/>
        </w:rPr>
        <w:t xml:space="preserve">Ensure all intercompany transactions are priced on arm's length terms</w:t>
      </w:r>
    </w:p>
    <w:p>
      <w:pPr>
        <w:pStyle w:val="ListParagraph"/>
        <w:numPr>
          <w:ilvl w:val="0"/>
          <w:numId w:val="2"/>
        </w:numPr>
        <w:spacing w:after="60" w:before="60"/>
      </w:pPr>
      <w:r>
        <w:rPr>
          <w:rFonts w:ascii="Arial" w:cs="Arial" w:eastAsia="Arial" w:hAnsi="Arial"/>
          <w:color w:val="404040"/>
          <w:sz w:val="22"/>
          <w:szCs w:val="22"/>
        </w:rPr>
        <w:t xml:space="preserve">Provide a defensible record for tax authorities in all relevant jurisdictions</w:t>
      </w:r>
    </w:p>
    <w:p>
      <w:pPr>
        <w:pStyle w:val="ListParagraph"/>
        <w:numPr>
          <w:ilvl w:val="0"/>
          <w:numId w:val="2"/>
        </w:numPr>
        <w:spacing w:after="60" w:before="60"/>
      </w:pPr>
      <w:r>
        <w:rPr>
          <w:rFonts w:ascii="Arial" w:cs="Arial" w:eastAsia="Arial" w:hAnsi="Arial"/>
          <w:color w:val="404040"/>
          <w:sz w:val="22"/>
          <w:szCs w:val="22"/>
        </w:rPr>
        <w:t xml:space="preserve">Establish clear invoicing rules, cost allocation methods, and documentation standards</w:t>
      </w:r>
    </w:p>
    <w:p>
      <w:pPr>
        <w:pStyle w:val="ListParagraph"/>
        <w:numPr>
          <w:ilvl w:val="0"/>
          <w:numId w:val="2"/>
        </w:numPr>
        <w:spacing w:after="60" w:before="60"/>
      </w:pPr>
      <w:r>
        <w:rPr>
          <w:rFonts w:ascii="Arial" w:cs="Arial" w:eastAsia="Arial" w:hAnsi="Arial"/>
          <w:color w:val="404040"/>
          <w:sz w:val="22"/>
          <w:szCs w:val="22"/>
        </w:rPr>
        <w:t xml:space="preserve">Reduce the risk of transfer pricing adjustments, penalties, and double taxation</w:t>
      </w:r>
    </w:p>
    <w:p>
      <w:pPr>
        <w:spacing w:after="0" w:before="0"/>
      </w:pPr>
      <w:r>
        <w:t xml:space="preserve"/>
      </w:r>
    </w:p>
    <w:p>
      <w:pPr>
        <w:pStyle w:val="Heading2"/>
        <w:spacing w:after="160" w:before="320"/>
      </w:pPr>
      <w:r>
        <w:rPr>
          <w:rFonts w:ascii="Arial" w:cs="Arial" w:eastAsia="Arial" w:hAnsi="Arial"/>
          <w:b/>
          <w:bCs/>
          <w:color w:val="2E75B6"/>
          <w:sz w:val="26"/>
          <w:szCs w:val="26"/>
        </w:rPr>
        <w:t xml:space="preserve">1.2 Applicability</w:t>
      </w:r>
    </w:p>
    <w:p>
      <w:pPr>
        <w:spacing w:after="80" w:before="80"/>
      </w:pPr>
      <w:r>
        <w:rPr>
          <w:rFonts w:ascii="Arial" w:cs="Arial" w:eastAsia="Arial" w:hAnsi="Arial"/>
          <w:color w:val="404040"/>
          <w:sz w:val="22"/>
          <w:szCs w:val="22"/>
        </w:rPr>
        <w:t xml:space="preserve">This policy applies to all controlled transactions between the entities listed in Section 2. It must be reviewed annually and updated whenever there is a material change in the group's structure, business model, or transaction volumes.</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2. Group Entities</w:t>
      </w:r>
    </w:p>
    <w:p>
      <w:pPr>
        <w:spacing w:after="80" w:before="80"/>
      </w:pPr>
      <w:r>
        <w:rPr>
          <w:rFonts w:ascii="Arial" w:cs="Arial" w:eastAsia="Arial" w:hAnsi="Arial"/>
          <w:color w:val="404040"/>
          <w:sz w:val="22"/>
          <w:szCs w:val="22"/>
        </w:rPr>
        <w:t xml:space="preserve">The following entities are covered by this policy: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400"/>
        <w:gridCol w:w="38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Vester Family Trust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Poland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Family trust holding RENTUJEMY; provides financing and assumes long-term lease risk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RENTUJEMY Sp. z o.o.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Sp. z o.o.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Poland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Operational HQ; property management (~300 properties); owns RENTUJEMY.COM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ABGRION GmbH &amp; Co. KG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Germany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 delivery &amp; consulting arm; exclusive integration partner for Enhanced Rentals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Enhanced Rentals GmbH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GmbH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Germany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SaaS platform owner; sells software subscriptions to property managers globally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Alphateam Hackers GmbH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GmbH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Germany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Software development; owned by ABGRION GmbH &amp; Co. KG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ILKIMEN Consulting GmbH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GmbH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Germany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IT consulting &amp; infrastructure; provides SLA-based technical support to ABGRION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RJMY Vacation Homes Rental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LLC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UAE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Vacation rental operations; 100% owned by RENTUJEMY Sp. z o.o.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Gamma Tech Partners FZCO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FZCO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UAE (Dubai)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IT services; integration partner of Enhanced Rentals GmbH</w:t>
            </w:r>
          </w:p>
        </w:tc>
      </w:tr>
    </w:tbl>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3. Controlled Transactions Overview</w:t>
      </w:r>
    </w:p>
    <w:p>
      <w:pPr>
        <w:spacing w:after="80" w:before="80"/>
      </w:pPr>
      <w:r>
        <w:rPr>
          <w:rFonts w:ascii="Arial" w:cs="Arial" w:eastAsia="Arial" w:hAnsi="Arial"/>
          <w:color w:val="404040"/>
          <w:sz w:val="22"/>
          <w:szCs w:val="22"/>
        </w:rPr>
        <w:t xml:space="preserve">The following intercompany transactions are covered by this policy: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TP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Vester Family Trust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RENTUJEMY Sp. z o.o.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Lease risk absorption + financing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CUP / Cost of Capital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ABGRION GmbH &amp; Co. KG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RENTUJEMY Sp. z o.o.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Consulting, training, technical support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Cost + 20%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Alphateam Hackers GmbH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Enhanced Rentals GmbH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Software development &amp; maintenance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Cost + 20%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Alphateam Hackers GmbH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ABGRION GmbH &amp; Co. KG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Development, integrations, engineering</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Cost + 20%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ILKIMEN Consulting GmbH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ABGRION GmbH &amp; Co. 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SLA-based technical support &amp; consulting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Cost + 20%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Enhanced Rentals GmbH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RENTUJEMY Sp. z o.o.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SaaS software subscriptions (5-20 EUR/property)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CUP</w:t>
            </w:r>
          </w:p>
        </w:tc>
      </w:tr>
    </w:tbl>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4. Vester Family Trust → RENTUJEMY Sp. z o.o.</w:t>
      </w:r>
    </w:p>
    <w:p>
      <w:pPr>
        <w:pStyle w:val="Heading2"/>
        <w:spacing w:after="160" w:before="320"/>
      </w:pPr>
      <w:r>
        <w:rPr>
          <w:rFonts w:ascii="Arial" w:cs="Arial" w:eastAsia="Arial" w:hAnsi="Arial"/>
          <w:b/>
          <w:bCs/>
          <w:color w:val="2E75B6"/>
          <w:sz w:val="26"/>
          <w:szCs w:val="26"/>
        </w:rPr>
        <w:t xml:space="preserve">4.1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Vester Family Trust (Polish entity)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RENTUJEMY Sp. z o.o., Warsaw, Poland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Beneficiaries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Teresa Barwicka (Fundator) and Adrian Barwicki (CEO)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Ownership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Vester Family Trust holds 60% of RENTUJEMY Sp. z o.o.</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4.2 Lease Risk Absorption</w:t>
      </w:r>
    </w:p>
    <w:p>
      <w:pPr>
        <w:pStyle w:val="Heading3"/>
        <w:spacing w:after="120" w:before="240"/>
      </w:pPr>
      <w:r>
        <w:rPr>
          <w:rFonts w:ascii="Arial" w:cs="Arial" w:eastAsia="Arial" w:hAnsi="Arial"/>
          <w:b/>
          <w:bCs/>
          <w:color w:val="404040"/>
          <w:sz w:val="24"/>
          <w:szCs w:val="24"/>
        </w:rPr>
        <w:t xml:space="preserve">4.2.1 Service Description</w:t>
      </w:r>
    </w:p>
    <w:p>
      <w:pPr>
        <w:spacing w:after="80" w:before="80"/>
      </w:pPr>
      <w:r>
        <w:rPr>
          <w:rFonts w:ascii="Arial" w:cs="Arial" w:eastAsia="Arial" w:hAnsi="Arial"/>
          <w:color w:val="404040"/>
          <w:sz w:val="22"/>
          <w:szCs w:val="22"/>
        </w:rPr>
        <w:t xml:space="preserve">Vester Family Trust assumes long-term financial risk exposure related to rental agreements on behalf of RENTUJEMY Sp. z o.o. This includes:</w:t>
      </w:r>
    </w:p>
    <w:p>
      <w:pPr>
        <w:pStyle w:val="ListParagraph"/>
        <w:numPr>
          <w:ilvl w:val="0"/>
          <w:numId w:val="2"/>
        </w:numPr>
        <w:spacing w:after="60" w:before="60"/>
      </w:pPr>
      <w:r>
        <w:rPr>
          <w:rFonts w:ascii="Arial" w:cs="Arial" w:eastAsia="Arial" w:hAnsi="Arial"/>
          <w:color w:val="404040"/>
          <w:sz w:val="22"/>
          <w:szCs w:val="22"/>
        </w:rPr>
        <w:t xml:space="preserve">Multi-year lease commitments (e.g., 5-year agreements)</w:t>
      </w:r>
    </w:p>
    <w:p>
      <w:pPr>
        <w:pStyle w:val="ListParagraph"/>
        <w:numPr>
          <w:ilvl w:val="0"/>
          <w:numId w:val="2"/>
        </w:numPr>
        <w:spacing w:after="60" w:before="60"/>
      </w:pPr>
      <w:r>
        <w:rPr>
          <w:rFonts w:ascii="Arial" w:cs="Arial" w:eastAsia="Arial" w:hAnsi="Arial"/>
          <w:color w:val="404040"/>
          <w:sz w:val="22"/>
          <w:szCs w:val="22"/>
        </w:rPr>
        <w:t xml:space="preserve">Substantial deposit guarantees provided to landlords and property developers</w:t>
      </w:r>
    </w:p>
    <w:p>
      <w:pPr>
        <w:pStyle w:val="ListParagraph"/>
        <w:numPr>
          <w:ilvl w:val="0"/>
          <w:numId w:val="2"/>
        </w:numPr>
        <w:spacing w:after="60" w:before="60"/>
      </w:pPr>
      <w:r>
        <w:rPr>
          <w:rFonts w:ascii="Arial" w:cs="Arial" w:eastAsia="Arial" w:hAnsi="Arial"/>
          <w:color w:val="404040"/>
          <w:sz w:val="22"/>
          <w:szCs w:val="22"/>
        </w:rPr>
        <w:t xml:space="preserve">Long-horizon contractual obligations that exceed RENTUJEMY’s operational time horizon</w:t>
      </w:r>
    </w:p>
    <w:p>
      <w:pPr>
        <w:pStyle w:val="ListParagraph"/>
        <w:numPr>
          <w:ilvl w:val="0"/>
          <w:numId w:val="2"/>
        </w:numPr>
        <w:spacing w:after="60" w:before="60"/>
      </w:pPr>
      <w:r>
        <w:rPr>
          <w:rFonts w:ascii="Arial" w:cs="Arial" w:eastAsia="Arial" w:hAnsi="Arial"/>
          <w:color w:val="404040"/>
          <w:sz w:val="22"/>
          <w:szCs w:val="22"/>
        </w:rPr>
        <w:t xml:space="preserve">Creditworthiness enhancement in negotiations with institutional partners</w:t>
      </w:r>
    </w:p>
    <w:p>
      <w:pPr>
        <w:spacing w:after="0" w:before="0"/>
      </w:pPr>
      <w:r>
        <w:t xml:space="preserve"/>
      </w:r>
    </w:p>
    <w:p>
      <w:pPr>
        <w:pStyle w:val="Heading3"/>
        <w:spacing w:after="120" w:before="240"/>
      </w:pPr>
      <w:r>
        <w:rPr>
          <w:rFonts w:ascii="Arial" w:cs="Arial" w:eastAsia="Arial" w:hAnsi="Arial"/>
          <w:b/>
          <w:bCs/>
          <w:color w:val="404040"/>
          <w:sz w:val="24"/>
          <w:szCs w:val="24"/>
        </w:rPr>
        <w:t xml:space="preserve">4.2.2 Economic Rationale</w:t>
      </w:r>
    </w:p>
    <w:p>
      <w:pPr>
        <w:spacing w:after="80" w:before="80"/>
      </w:pPr>
      <w:r>
        <w:rPr>
          <w:rFonts w:ascii="Arial" w:cs="Arial" w:eastAsia="Arial" w:hAnsi="Arial"/>
          <w:color w:val="404040"/>
          <w:sz w:val="22"/>
          <w:szCs w:val="22"/>
        </w:rPr>
        <w:t xml:space="preserve">As a family trust structure with a stronger balance sheet and more stable long-term financial profile, Vester is better positioned than RENTUJEMY to negotiate favourable terms. This arrangement enables:</w:t>
      </w:r>
    </w:p>
    <w:p>
      <w:pPr>
        <w:pStyle w:val="ListParagraph"/>
        <w:numPr>
          <w:ilvl w:val="0"/>
          <w:numId w:val="2"/>
        </w:numPr>
        <w:spacing w:after="60" w:before="60"/>
      </w:pPr>
      <w:r>
        <w:rPr>
          <w:rFonts w:ascii="Arial" w:cs="Arial" w:eastAsia="Arial" w:hAnsi="Arial"/>
          <w:color w:val="404040"/>
          <w:sz w:val="22"/>
          <w:szCs w:val="22"/>
        </w:rPr>
        <w:t xml:space="preserve">Improved creditworthiness in negotiations with landlords</w:t>
      </w:r>
    </w:p>
    <w:p>
      <w:pPr>
        <w:pStyle w:val="ListParagraph"/>
        <w:numPr>
          <w:ilvl w:val="0"/>
          <w:numId w:val="2"/>
        </w:numPr>
        <w:spacing w:after="60" w:before="60"/>
      </w:pPr>
      <w:r>
        <w:rPr>
          <w:rFonts w:ascii="Arial" w:cs="Arial" w:eastAsia="Arial" w:hAnsi="Arial"/>
          <w:color w:val="404040"/>
          <w:sz w:val="22"/>
          <w:szCs w:val="22"/>
        </w:rPr>
        <w:t xml:space="preserve">Higher trust and confidence from property owners and developers</w:t>
      </w:r>
    </w:p>
    <w:p>
      <w:pPr>
        <w:pStyle w:val="ListParagraph"/>
        <w:numPr>
          <w:ilvl w:val="0"/>
          <w:numId w:val="2"/>
        </w:numPr>
        <w:spacing w:after="60" w:before="60"/>
      </w:pPr>
      <w:r>
        <w:rPr>
          <w:rFonts w:ascii="Arial" w:cs="Arial" w:eastAsia="Arial" w:hAnsi="Arial"/>
          <w:color w:val="404040"/>
          <w:sz w:val="22"/>
          <w:szCs w:val="22"/>
        </w:rPr>
        <w:t xml:space="preserve">Ability to take on larger or longer contracts than RENTUJEMY could independently</w:t>
      </w:r>
    </w:p>
    <w:p>
      <w:pPr>
        <w:pStyle w:val="ListParagraph"/>
        <w:numPr>
          <w:ilvl w:val="0"/>
          <w:numId w:val="2"/>
        </w:numPr>
        <w:spacing w:after="60" w:before="60"/>
      </w:pPr>
      <w:r>
        <w:rPr>
          <w:rFonts w:ascii="Arial" w:cs="Arial" w:eastAsia="Arial" w:hAnsi="Arial"/>
          <w:color w:val="404040"/>
          <w:sz w:val="22"/>
          <w:szCs w:val="22"/>
        </w:rPr>
        <w:t xml:space="preserve">Risk absorption for commitments exceeding RENTUJEMY’s operational time horizon</w:t>
      </w:r>
    </w:p>
    <w:p>
      <w:pPr>
        <w:pStyle w:val="ListParagraph"/>
        <w:numPr>
          <w:ilvl w:val="0"/>
          <w:numId w:val="2"/>
        </w:numPr>
        <w:spacing w:after="60" w:before="60"/>
      </w:pPr>
      <w:r>
        <w:rPr>
          <w:rFonts w:ascii="Arial" w:cs="Arial" w:eastAsia="Arial" w:hAnsi="Arial"/>
          <w:color w:val="404040"/>
          <w:sz w:val="22"/>
          <w:szCs w:val="22"/>
        </w:rPr>
        <w:t xml:space="preserve">Separation of operational risk (RENTUJEMY) from strategic financial risk (Vester)</w:t>
      </w:r>
    </w:p>
    <w:p>
      <w:pPr>
        <w:pStyle w:val="ListParagraph"/>
        <w:numPr>
          <w:ilvl w:val="0"/>
          <w:numId w:val="2"/>
        </w:numPr>
        <w:spacing w:after="60" w:before="60"/>
      </w:pPr>
      <w:r>
        <w:rPr>
          <w:rFonts w:ascii="Arial" w:cs="Arial" w:eastAsia="Arial" w:hAnsi="Arial"/>
          <w:color w:val="404040"/>
          <w:sz w:val="22"/>
          <w:szCs w:val="22"/>
        </w:rPr>
        <w:t xml:space="preserve">Improved platform stability for scaling without overburdening the operating company</w:t>
      </w:r>
    </w:p>
    <w:p>
      <w:pPr>
        <w:pStyle w:val="ListParagraph"/>
        <w:numPr>
          <w:ilvl w:val="0"/>
          <w:numId w:val="2"/>
        </w:numPr>
        <w:spacing w:after="60" w:before="60"/>
      </w:pPr>
      <w:r>
        <w:rPr>
          <w:rFonts w:ascii="Arial" w:cs="Arial" w:eastAsia="Arial" w:hAnsi="Arial"/>
          <w:color w:val="404040"/>
          <w:sz w:val="22"/>
          <w:szCs w:val="22"/>
        </w:rPr>
        <w:t xml:space="preserve">Improved exit profile: RENTUJEMY can terminate lease agreements within weeks rather than months, as the long-term commitment sits with Vester</w:t>
      </w:r>
    </w:p>
    <w:p>
      <w:pPr>
        <w:spacing w:after="0" w:before="0"/>
      </w:pPr>
      <w:r>
        <w:t xml:space="preserve"/>
      </w:r>
    </w:p>
    <w:p>
      <w:pPr>
        <w:pStyle w:val="Heading3"/>
        <w:spacing w:after="120" w:before="240"/>
      </w:pPr>
      <w:r>
        <w:rPr>
          <w:rFonts w:ascii="Arial" w:cs="Arial" w:eastAsia="Arial" w:hAnsi="Arial"/>
          <w:b/>
          <w:bCs/>
          <w:color w:val="404040"/>
          <w:sz w:val="24"/>
          <w:szCs w:val="24"/>
        </w:rPr>
        <w:t xml:space="preserve">4.2.3 Pricing Method</w:t>
      </w:r>
    </w:p>
    <w:p>
      <w:pPr>
        <w:spacing w:after="80" w:before="80"/>
      </w:pPr>
      <w:r>
        <w:rPr>
          <w:rFonts w:ascii="Arial" w:cs="Arial" w:eastAsia="Arial" w:hAnsi="Arial"/>
          <w:color w:val="404040"/>
          <w:sz w:val="22"/>
          <w:szCs w:val="22"/>
        </w:rPr>
        <w:t xml:space="preserve">The Comparable Uncontrolled Price (CUP) method applies. The fee charged by Vester to RENTUJEMY for assuming lease risk should reflect the risk premium that an independent third-party guarantor or financial institution would charge for equivalent risk exposure. Benchmarking should reference:</w:t>
      </w:r>
    </w:p>
    <w:p>
      <w:pPr>
        <w:pStyle w:val="ListParagraph"/>
        <w:numPr>
          <w:ilvl w:val="0"/>
          <w:numId w:val="2"/>
        </w:numPr>
        <w:spacing w:after="60" w:before="60"/>
      </w:pPr>
      <w:r>
        <w:rPr>
          <w:rFonts w:ascii="Arial" w:cs="Arial" w:eastAsia="Arial" w:hAnsi="Arial"/>
          <w:color w:val="404040"/>
          <w:sz w:val="22"/>
          <w:szCs w:val="22"/>
        </w:rPr>
        <w:t xml:space="preserve">Bank guarantee fees for commercial leases (typically 1-3% p.a. of the guaranteed value)</w:t>
      </w:r>
    </w:p>
    <w:p>
      <w:pPr>
        <w:pStyle w:val="ListParagraph"/>
        <w:numPr>
          <w:ilvl w:val="0"/>
          <w:numId w:val="2"/>
        </w:numPr>
        <w:spacing w:after="60" w:before="60"/>
      </w:pPr>
      <w:r>
        <w:rPr>
          <w:rFonts w:ascii="Arial" w:cs="Arial" w:eastAsia="Arial" w:hAnsi="Arial"/>
          <w:color w:val="404040"/>
          <w:sz w:val="22"/>
          <w:szCs w:val="22"/>
        </w:rPr>
        <w:t xml:space="preserve">Surety bond pricing in the Polish market</w:t>
      </w:r>
    </w:p>
    <w:p>
      <w:pPr>
        <w:pStyle w:val="ListParagraph"/>
        <w:numPr>
          <w:ilvl w:val="0"/>
          <w:numId w:val="2"/>
        </w:numPr>
        <w:spacing w:after="60" w:before="60"/>
      </w:pPr>
      <w:r>
        <w:rPr>
          <w:rFonts w:ascii="Arial" w:cs="Arial" w:eastAsia="Arial" w:hAnsi="Arial"/>
          <w:color w:val="404040"/>
          <w:sz w:val="22"/>
          <w:szCs w:val="22"/>
        </w:rPr>
        <w:t xml:space="preserve">Comparable rental guarantee service fees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4.3 Financing</w:t>
      </w:r>
    </w:p>
    <w:p>
      <w:pPr>
        <w:pStyle w:val="Heading3"/>
        <w:spacing w:after="120" w:before="240"/>
      </w:pPr>
      <w:r>
        <w:rPr>
          <w:rFonts w:ascii="Arial" w:cs="Arial" w:eastAsia="Arial" w:hAnsi="Arial"/>
          <w:b/>
          <w:bCs/>
          <w:color w:val="404040"/>
          <w:sz w:val="24"/>
          <w:szCs w:val="24"/>
        </w:rPr>
        <w:t xml:space="preserve">4.3.1 Service Description</w:t>
      </w:r>
    </w:p>
    <w:p>
      <w:pPr>
        <w:spacing w:after="80" w:before="80"/>
      </w:pPr>
      <w:r>
        <w:rPr>
          <w:rFonts w:ascii="Arial" w:cs="Arial" w:eastAsia="Arial" w:hAnsi="Arial"/>
          <w:color w:val="404040"/>
          <w:sz w:val="22"/>
          <w:szCs w:val="22"/>
        </w:rPr>
        <w:t xml:space="preserve">Vester Family Trust provides financing capacity to RENTUJEMY Sp. z o.o., including:</w:t>
      </w:r>
    </w:p>
    <w:p>
      <w:pPr>
        <w:pStyle w:val="ListParagraph"/>
        <w:numPr>
          <w:ilvl w:val="0"/>
          <w:numId w:val="2"/>
        </w:numPr>
        <w:spacing w:after="60" w:before="60"/>
      </w:pPr>
      <w:r>
        <w:rPr>
          <w:rFonts w:ascii="Arial" w:cs="Arial" w:eastAsia="Arial" w:hAnsi="Arial"/>
          <w:color w:val="404040"/>
          <w:sz w:val="22"/>
          <w:szCs w:val="22"/>
        </w:rPr>
        <w:t xml:space="preserve">Capital injections for expansion</w:t>
      </w:r>
    </w:p>
    <w:p>
      <w:pPr>
        <w:pStyle w:val="ListParagraph"/>
        <w:numPr>
          <w:ilvl w:val="0"/>
          <w:numId w:val="2"/>
        </w:numPr>
        <w:spacing w:after="60" w:before="60"/>
      </w:pPr>
      <w:r>
        <w:rPr>
          <w:rFonts w:ascii="Arial" w:cs="Arial" w:eastAsia="Arial" w:hAnsi="Arial"/>
          <w:color w:val="404040"/>
          <w:sz w:val="22"/>
          <w:szCs w:val="22"/>
        </w:rPr>
        <w:t xml:space="preserve">Upfront lease commitments and deposit funding</w:t>
      </w:r>
    </w:p>
    <w:p>
      <w:pPr>
        <w:pStyle w:val="ListParagraph"/>
        <w:numPr>
          <w:ilvl w:val="0"/>
          <w:numId w:val="2"/>
        </w:numPr>
        <w:spacing w:after="60" w:before="60"/>
      </w:pPr>
      <w:r>
        <w:rPr>
          <w:rFonts w:ascii="Arial" w:cs="Arial" w:eastAsia="Arial" w:hAnsi="Arial"/>
          <w:color w:val="404040"/>
          <w:sz w:val="22"/>
          <w:szCs w:val="22"/>
        </w:rPr>
        <w:t xml:space="preserve">Structured financing lines on a monthly interest-bearing basis</w:t>
      </w:r>
    </w:p>
    <w:p>
      <w:pPr>
        <w:spacing w:after="0" w:before="0"/>
      </w:pPr>
      <w:r>
        <w:t xml:space="preserve"/>
      </w:r>
    </w:p>
    <w:p>
      <w:pPr>
        <w:pStyle w:val="Heading3"/>
        <w:spacing w:after="120" w:before="240"/>
      </w:pPr>
      <w:r>
        <w:rPr>
          <w:rFonts w:ascii="Arial" w:cs="Arial" w:eastAsia="Arial" w:hAnsi="Arial"/>
          <w:b/>
          <w:bCs/>
          <w:color w:val="404040"/>
          <w:sz w:val="24"/>
          <w:szCs w:val="24"/>
        </w:rPr>
        <w:t xml:space="preserve">4.3.2 Economic Rationale</w:t>
      </w:r>
    </w:p>
    <w:p>
      <w:pPr>
        <w:spacing w:after="80" w:before="80"/>
      </w:pPr>
      <w:r>
        <w:rPr>
          <w:rFonts w:ascii="Arial" w:cs="Arial" w:eastAsia="Arial" w:hAnsi="Arial"/>
          <w:color w:val="404040"/>
          <w:sz w:val="22"/>
          <w:szCs w:val="22"/>
        </w:rPr>
        <w:t xml:space="preserve">RENTUJEMY, as a relatively new company, has not yet established sufficient credit history with banks to access institutional financing at competitive rates. Financing from Vester Family Trust serves as a bridge until RENTUJEMY gains sufficient creditworthiness with banking institutions. This ensures:</w:t>
      </w:r>
    </w:p>
    <w:p>
      <w:pPr>
        <w:pStyle w:val="ListParagraph"/>
        <w:numPr>
          <w:ilvl w:val="0"/>
          <w:numId w:val="2"/>
        </w:numPr>
        <w:spacing w:after="60" w:before="60"/>
      </w:pPr>
      <w:r>
        <w:rPr>
          <w:rFonts w:ascii="Arial" w:cs="Arial" w:eastAsia="Arial" w:hAnsi="Arial"/>
          <w:color w:val="404040"/>
          <w:sz w:val="22"/>
          <w:szCs w:val="22"/>
        </w:rPr>
        <w:t xml:space="preserve">Transparent cash flow governance between the trust and the operating company</w:t>
      </w:r>
    </w:p>
    <w:p>
      <w:pPr>
        <w:pStyle w:val="ListParagraph"/>
        <w:numPr>
          <w:ilvl w:val="0"/>
          <w:numId w:val="2"/>
        </w:numPr>
        <w:spacing w:after="60" w:before="60"/>
      </w:pPr>
      <w:r>
        <w:rPr>
          <w:rFonts w:ascii="Arial" w:cs="Arial" w:eastAsia="Arial" w:hAnsi="Arial"/>
          <w:color w:val="404040"/>
          <w:sz w:val="22"/>
          <w:szCs w:val="22"/>
        </w:rPr>
        <w:t xml:space="preserve">Controlled leverage within the group</w:t>
      </w:r>
    </w:p>
    <w:p>
      <w:pPr>
        <w:pStyle w:val="ListParagraph"/>
        <w:numPr>
          <w:ilvl w:val="0"/>
          <w:numId w:val="2"/>
        </w:numPr>
        <w:spacing w:after="60" w:before="60"/>
      </w:pPr>
      <w:r>
        <w:rPr>
          <w:rFonts w:ascii="Arial" w:cs="Arial" w:eastAsia="Arial" w:hAnsi="Arial"/>
          <w:color w:val="404040"/>
          <w:sz w:val="22"/>
          <w:szCs w:val="22"/>
        </w:rPr>
        <w:t xml:space="preserve">Continuity of operations during the growth phase</w:t>
      </w:r>
    </w:p>
    <w:p>
      <w:pPr>
        <w:spacing w:after="0" w:before="0"/>
      </w:pPr>
      <w:r>
        <w:t xml:space="preserve"/>
      </w:r>
    </w:p>
    <w:p>
      <w:pPr>
        <w:pStyle w:val="Heading3"/>
        <w:spacing w:after="120" w:before="240"/>
      </w:pPr>
      <w:r>
        <w:rPr>
          <w:rFonts w:ascii="Arial" w:cs="Arial" w:eastAsia="Arial" w:hAnsi="Arial"/>
          <w:b/>
          <w:bCs/>
          <w:color w:val="404040"/>
          <w:sz w:val="24"/>
          <w:szCs w:val="24"/>
        </w:rPr>
        <w:t xml:space="preserve">4.3.3 Current Loan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Current Loan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1,000,000 PLN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Monthly interest-bearing loan from Vester Family Trust to RENTUJEMY Sp. z o.o.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Pricing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Interest rate based on arm’s length market rates (CUP — comparable bank lending rates for SMEs in Poland)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Benchmark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Polish National Bank base rate + applicable credit spread for comparable SME borrowers</w:t>
            </w:r>
          </w:p>
        </w:tc>
      </w:tr>
    </w:tbl>
    <w:p>
      <w:pPr>
        <w:spacing w:after="0" w:before="0"/>
      </w:pPr>
      <w:r>
        <w:t xml:space="preserve"/>
      </w:r>
    </w:p>
    <w:p>
      <w:pPr>
        <w:spacing w:after="80" w:before="80"/>
      </w:pPr>
      <w:r>
        <w:rPr>
          <w:rFonts w:ascii="Arial" w:cs="Arial" w:eastAsia="Arial" w:hAnsi="Arial"/>
          <w:color w:val="404040"/>
          <w:sz w:val="22"/>
          <w:szCs w:val="22"/>
        </w:rPr>
        <w:t xml:space="preserve">The interest rate must be reviewed at least annually and benchmarked against market rates for comparable unsecured loans to Polish SMEs. Loan documentation (agreement, repayment schedule, interest accrual records) must be maintained and available for regulatory review.</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5. ABGRION GmbH &amp; Co. KG → RENTUJEMY Sp. z o.o.</w:t>
      </w:r>
    </w:p>
    <w:p>
      <w:pPr>
        <w:pStyle w:val="Heading2"/>
        <w:spacing w:after="160" w:before="320"/>
      </w:pPr>
      <w:r>
        <w:rPr>
          <w:rFonts w:ascii="Arial" w:cs="Arial" w:eastAsia="Arial" w:hAnsi="Arial"/>
          <w:b/>
          <w:bCs/>
          <w:color w:val="2E75B6"/>
          <w:sz w:val="26"/>
          <w:szCs w:val="26"/>
        </w:rPr>
        <w:t xml:space="preserve">5.1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ABGRION GmbH &amp; Co. KG,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RENTUJEMY Sp. z o.o., Warsaw, Poland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Relationship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ABGRION is the service delivery &amp; consulting arm behind the Enhanced Rentals platform</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5.2 Purpose of Services</w:t>
      </w:r>
    </w:p>
    <w:p>
      <w:pPr>
        <w:spacing w:after="80" w:before="80"/>
      </w:pPr>
      <w:r>
        <w:rPr>
          <w:rFonts w:ascii="Arial" w:cs="Arial" w:eastAsia="Arial" w:hAnsi="Arial"/>
          <w:color w:val="404040"/>
          <w:sz w:val="22"/>
          <w:szCs w:val="22"/>
        </w:rPr>
        <w:t xml:space="preserve">RENTUJEMY Sp. z o.o. manages short-term rental properties and requires software that automates key operational areas: pricing, reservations, owner dashboards, task management, and guest communication. To achieve this, the company uses the Enhanced Rentals platform developed and operated by Alphateam Hackers GmbH (Germany).</w:t>
      </w:r>
    </w:p>
    <w:p>
      <w:pPr>
        <w:spacing w:after="80" w:before="80"/>
      </w:pPr>
      <w:r>
        <w:rPr>
          <w:rFonts w:ascii="Arial" w:cs="Arial" w:eastAsia="Arial" w:hAnsi="Arial"/>
          <w:color w:val="404040"/>
          <w:sz w:val="22"/>
          <w:szCs w:val="22"/>
        </w:rPr>
        <w:t xml:space="preserve">In addition to the standard SaaS subscription paid to Enhanced Rentals GmbH, RENTUJEMY obtains the following services from ABGRION GmbH &amp; Co. KG:</w:t>
      </w:r>
    </w:p>
    <w:p>
      <w:pPr>
        <w:pStyle w:val="ListParagraph"/>
        <w:numPr>
          <w:ilvl w:val="0"/>
          <w:numId w:val="2"/>
        </w:numPr>
        <w:spacing w:after="60" w:before="60"/>
      </w:pPr>
      <w:r>
        <w:rPr>
          <w:rFonts w:ascii="Arial" w:cs="Arial" w:eastAsia="Arial" w:hAnsi="Arial"/>
          <w:color w:val="404040"/>
          <w:sz w:val="22"/>
          <w:szCs w:val="22"/>
        </w:rPr>
        <w:t xml:space="preserve">Client-specific consulting and technical support</w:t>
      </w:r>
    </w:p>
    <w:p>
      <w:pPr>
        <w:pStyle w:val="ListParagraph"/>
        <w:numPr>
          <w:ilvl w:val="0"/>
          <w:numId w:val="2"/>
        </w:numPr>
        <w:spacing w:after="60" w:before="60"/>
      </w:pPr>
      <w:r>
        <w:rPr>
          <w:rFonts w:ascii="Arial" w:cs="Arial" w:eastAsia="Arial" w:hAnsi="Arial"/>
          <w:color w:val="404040"/>
          <w:sz w:val="22"/>
          <w:szCs w:val="22"/>
        </w:rPr>
        <w:t xml:space="preserve">Implementation services and system onboarding</w:t>
      </w:r>
    </w:p>
    <w:p>
      <w:pPr>
        <w:pStyle w:val="ListParagraph"/>
        <w:numPr>
          <w:ilvl w:val="0"/>
          <w:numId w:val="2"/>
        </w:numPr>
        <w:spacing w:after="60" w:before="60"/>
      </w:pPr>
      <w:r>
        <w:rPr>
          <w:rFonts w:ascii="Arial" w:cs="Arial" w:eastAsia="Arial" w:hAnsi="Arial"/>
          <w:color w:val="404040"/>
          <w:sz w:val="22"/>
          <w:szCs w:val="22"/>
        </w:rPr>
        <w:t xml:space="preserve">Employee training on Enhanced Rentals Suite</w:t>
      </w:r>
    </w:p>
    <w:p>
      <w:pPr>
        <w:pStyle w:val="ListParagraph"/>
        <w:numPr>
          <w:ilvl w:val="0"/>
          <w:numId w:val="2"/>
        </w:numPr>
        <w:spacing w:after="60" w:before="60"/>
      </w:pPr>
      <w:r>
        <w:rPr>
          <w:rFonts w:ascii="Arial" w:cs="Arial" w:eastAsia="Arial" w:hAnsi="Arial"/>
          <w:color w:val="404040"/>
          <w:sz w:val="22"/>
          <w:szCs w:val="22"/>
        </w:rPr>
        <w:t xml:space="preserve">Custom integrations and automation development</w:t>
      </w:r>
    </w:p>
    <w:p>
      <w:pPr>
        <w:pStyle w:val="ListParagraph"/>
        <w:numPr>
          <w:ilvl w:val="0"/>
          <w:numId w:val="2"/>
        </w:numPr>
        <w:spacing w:after="60" w:before="60"/>
      </w:pPr>
      <w:r>
        <w:rPr>
          <w:rFonts w:ascii="Arial" w:cs="Arial" w:eastAsia="Arial" w:hAnsi="Arial"/>
          <w:color w:val="404040"/>
          <w:sz w:val="22"/>
          <w:szCs w:val="22"/>
        </w:rPr>
        <w:t xml:space="preserve">Ongoing technical support under SLA</w:t>
      </w:r>
    </w:p>
    <w:p>
      <w:pPr>
        <w:spacing w:after="0" w:before="0"/>
      </w:pPr>
      <w:r>
        <w:t xml:space="preserve"/>
      </w:r>
    </w:p>
    <w:p>
      <w:pPr>
        <w:pStyle w:val="Heading2"/>
        <w:spacing w:after="160" w:before="320"/>
      </w:pPr>
      <w:r>
        <w:rPr>
          <w:rFonts w:ascii="Arial" w:cs="Arial" w:eastAsia="Arial" w:hAnsi="Arial"/>
          <w:b/>
          <w:bCs/>
          <w:color w:val="2E75B6"/>
          <w:sz w:val="26"/>
          <w:szCs w:val="26"/>
        </w:rPr>
        <w:t xml:space="preserve">5.3 Economic Rationale</w:t>
      </w:r>
    </w:p>
    <w:p>
      <w:pPr>
        <w:spacing w:after="80" w:before="80"/>
      </w:pPr>
      <w:r>
        <w:rPr>
          <w:rFonts w:ascii="Arial" w:cs="Arial" w:eastAsia="Arial" w:hAnsi="Arial"/>
          <w:color w:val="404040"/>
          <w:sz w:val="22"/>
          <w:szCs w:val="22"/>
        </w:rPr>
        <w:t xml:space="preserve">The Enhanced Rentals platform extends the Hostaway system used by RENTUJEMY with proprietary modules (upsells, cleaning scheduling, payout automation, dynamic pricing). These tools reduce manual labour, improve data accuracy, and increase revenue per booking.</w:t>
      </w:r>
    </w:p>
    <w:p>
      <w:pPr>
        <w:spacing w:after="80" w:before="80"/>
      </w:pPr>
      <w:r>
        <w:rPr>
          <w:rFonts w:ascii="Arial" w:cs="Arial" w:eastAsia="Arial" w:hAnsi="Arial"/>
          <w:color w:val="404040"/>
          <w:sz w:val="22"/>
          <w:szCs w:val="22"/>
        </w:rPr>
        <w:t xml:space="preserve">Without this software and related consulting and training services, RENTUJEMY could not maintain its current operational scale or service quality, and could not operate its portal RENTUJEMY.COM. The services are continuous, measurable, and directly linked to income generation from rental operations.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5.4 Pricing Method</w:t>
      </w:r>
    </w:p>
    <w:p>
      <w:pPr>
        <w:spacing w:after="80" w:before="80"/>
      </w:pPr>
      <w:r>
        <w:rPr>
          <w:rFonts w:ascii="Arial" w:cs="Arial" w:eastAsia="Arial" w:hAnsi="Arial"/>
          <w:color w:val="404040"/>
          <w:sz w:val="22"/>
          <w:szCs w:val="22"/>
        </w:rPr>
        <w:t xml:space="preserve">Cost Plus Method (Cost + 20%). See Section 7 for the full ABGRION Transfer Pricing Policy including cost allocation rules, invoicing structure, and project reference system.</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6. Alphateam Hackers GmbH → Enhanced Rentals GmbH &amp; ABGRION GmbH &amp; Co. KG</w:t>
      </w:r>
    </w:p>
    <w:p>
      <w:pPr>
        <w:pStyle w:val="Heading2"/>
        <w:spacing w:after="160" w:before="320"/>
      </w:pPr>
      <w:r>
        <w:rPr>
          <w:rFonts w:ascii="Arial" w:cs="Arial" w:eastAsia="Arial" w:hAnsi="Arial"/>
          <w:b/>
          <w:bCs/>
          <w:color w:val="2E75B6"/>
          <w:sz w:val="26"/>
          <w:szCs w:val="26"/>
        </w:rPr>
        <w:t xml:space="preserve">6.1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Alphateam Hackers GmbH,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Enhanced Rentals GmbH,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ABGRION GmbH &amp; Co. KG,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Ownership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Alphateam Hackers GmbH is 100% owned by ABGRION GmbH &amp; Co. KG</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6.2 Services</w:t>
      </w:r>
    </w:p>
    <w:p>
      <w:pPr>
        <w:spacing w:after="80" w:before="80"/>
      </w:pPr>
      <w:r>
        <w:rPr>
          <w:rFonts w:ascii="Arial" w:cs="Arial" w:eastAsia="Arial" w:hAnsi="Arial"/>
          <w:color w:val="404040"/>
          <w:sz w:val="22"/>
          <w:szCs w:val="22"/>
        </w:rPr>
        <w:t xml:space="preserve">Alphateam Hackers GmbH provides software development and engineering services to both Enhanced Rentals GmbH (the SaaS platform owner) and ABGRION GmbH &amp; Co. KG (the service delivery arm). Services include:</w:t>
      </w:r>
    </w:p>
    <w:p>
      <w:pPr>
        <w:pStyle w:val="ListParagraph"/>
        <w:numPr>
          <w:ilvl w:val="0"/>
          <w:numId w:val="2"/>
        </w:numPr>
        <w:spacing w:after="60" w:before="60"/>
      </w:pPr>
      <w:r>
        <w:rPr>
          <w:rFonts w:ascii="Arial" w:cs="Arial" w:eastAsia="Arial" w:hAnsi="Arial"/>
          <w:color w:val="404040"/>
          <w:sz w:val="22"/>
          <w:szCs w:val="22"/>
        </w:rPr>
        <w:t xml:space="preserve">Core platform development and feature delivery for Enhanced Rentals Suite</w:t>
      </w:r>
    </w:p>
    <w:p>
      <w:pPr>
        <w:pStyle w:val="ListParagraph"/>
        <w:numPr>
          <w:ilvl w:val="0"/>
          <w:numId w:val="2"/>
        </w:numPr>
        <w:spacing w:after="60" w:before="60"/>
      </w:pPr>
      <w:r>
        <w:rPr>
          <w:rFonts w:ascii="Arial" w:cs="Arial" w:eastAsia="Arial" w:hAnsi="Arial"/>
          <w:color w:val="404040"/>
          <w:sz w:val="22"/>
          <w:szCs w:val="22"/>
        </w:rPr>
        <w:t xml:space="preserve">Client-specific integrations and custom feature development</w:t>
      </w:r>
    </w:p>
    <w:p>
      <w:pPr>
        <w:pStyle w:val="ListParagraph"/>
        <w:numPr>
          <w:ilvl w:val="0"/>
          <w:numId w:val="2"/>
        </w:numPr>
        <w:spacing w:after="60" w:before="60"/>
      </w:pPr>
      <w:r>
        <w:rPr>
          <w:rFonts w:ascii="Arial" w:cs="Arial" w:eastAsia="Arial" w:hAnsi="Arial"/>
          <w:color w:val="404040"/>
          <w:sz w:val="22"/>
          <w:szCs w:val="22"/>
        </w:rPr>
        <w:t xml:space="preserve">Infrastructure maintenance and performance optimization</w:t>
      </w:r>
    </w:p>
    <w:p>
      <w:pPr>
        <w:pStyle w:val="ListParagraph"/>
        <w:numPr>
          <w:ilvl w:val="0"/>
          <w:numId w:val="2"/>
        </w:numPr>
        <w:spacing w:after="60" w:before="60"/>
      </w:pPr>
      <w:r>
        <w:rPr>
          <w:rFonts w:ascii="Arial" w:cs="Arial" w:eastAsia="Arial" w:hAnsi="Arial"/>
          <w:color w:val="404040"/>
          <w:sz w:val="22"/>
          <w:szCs w:val="22"/>
        </w:rPr>
        <w:t xml:space="preserve">Quality assurance, testing, and release management</w:t>
      </w:r>
    </w:p>
    <w:p>
      <w:pPr>
        <w:pStyle w:val="ListParagraph"/>
        <w:numPr>
          <w:ilvl w:val="0"/>
          <w:numId w:val="2"/>
        </w:numPr>
        <w:spacing w:after="60" w:before="60"/>
      </w:pPr>
      <w:r>
        <w:rPr>
          <w:rFonts w:ascii="Arial" w:cs="Arial" w:eastAsia="Arial" w:hAnsi="Arial"/>
          <w:color w:val="404040"/>
          <w:sz w:val="22"/>
          <w:szCs w:val="22"/>
        </w:rPr>
        <w:t xml:space="preserve">Project-specific engineering work for ABGRION client engagements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6.3 Pricing Method</w:t>
      </w:r>
    </w:p>
    <w:p>
      <w:pPr>
        <w:spacing w:after="80" w:before="80"/>
      </w:pPr>
      <w:r>
        <w:rPr>
          <w:rFonts w:ascii="Arial" w:cs="Arial" w:eastAsia="Arial" w:hAnsi="Arial"/>
          <w:color w:val="404040"/>
          <w:sz w:val="22"/>
          <w:szCs w:val="22"/>
        </w:rPr>
        <w:t xml:space="preserve">Cost Plus Method (Cost + 20%). Alphateam re-invoices all attributable development costs to the relevant recipient entity using a Cost + 20% margin. The same hourly billing and cost inclusion rules set out in Section 7 apply.</w:t>
      </w:r>
    </w:p>
    <w:p>
      <w:pPr>
        <w:spacing w:after="80" w:before="80"/>
      </w:pPr>
      <w:r>
        <w:rPr>
          <w:rFonts w:ascii="Arial" w:cs="Arial" w:eastAsia="Arial" w:hAnsi="Arial"/>
          <w:color w:val="404040"/>
          <w:sz w:val="22"/>
          <w:szCs w:val="22"/>
        </w:rPr>
        <w:t xml:space="preserve">Where work is jointly attributable to both Enhanced Rentals GmbH and ABGRION GmbH &amp; Co. KG, costs shall be allocated based on documented time tracking (hours per project per entity).</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7. ILKIMEN Consulting GmbH → ABGRION GmbH &amp; Co. KG</w:t>
      </w:r>
    </w:p>
    <w:p>
      <w:pPr>
        <w:pStyle w:val="Heading2"/>
        <w:spacing w:after="160" w:before="320"/>
      </w:pPr>
      <w:r>
        <w:rPr>
          <w:rFonts w:ascii="Arial" w:cs="Arial" w:eastAsia="Arial" w:hAnsi="Arial"/>
          <w:b/>
          <w:bCs/>
          <w:color w:val="2E75B6"/>
          <w:sz w:val="26"/>
          <w:szCs w:val="26"/>
        </w:rPr>
        <w:t xml:space="preserve">7.1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ILKIMEN Consulting GmbH, Walldorf, Germany (100% owned by Sefa Ilkimen)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ABGRION GmbH &amp; Co. KG,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Relationship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ILKIMEN holds shares in both ABGRION (via Enhanced Rentals GmbH) and RENTUJEMY Sp. z o.o.</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7.2 Services</w:t>
      </w:r>
    </w:p>
    <w:p>
      <w:pPr>
        <w:spacing w:after="80" w:before="80"/>
      </w:pPr>
      <w:r>
        <w:rPr>
          <w:rFonts w:ascii="Arial" w:cs="Arial" w:eastAsia="Arial" w:hAnsi="Arial"/>
          <w:color w:val="404040"/>
          <w:sz w:val="22"/>
          <w:szCs w:val="22"/>
        </w:rPr>
        <w:t xml:space="preserve">ILKIMEN Consulting GmbH provides ongoing technical support and consulting services to ABGRION GmbH &amp; Co. KG under a Service Level Agreement (SLA). Services include:</w:t>
      </w:r>
    </w:p>
    <w:p>
      <w:pPr>
        <w:pStyle w:val="ListParagraph"/>
        <w:numPr>
          <w:ilvl w:val="0"/>
          <w:numId w:val="2"/>
        </w:numPr>
        <w:spacing w:after="60" w:before="60"/>
      </w:pPr>
      <w:r>
        <w:rPr>
          <w:rFonts w:ascii="Arial" w:cs="Arial" w:eastAsia="Arial" w:hAnsi="Arial"/>
          <w:color w:val="404040"/>
          <w:sz w:val="22"/>
          <w:szCs w:val="22"/>
        </w:rPr>
        <w:t xml:space="preserve">Technical support and incident response under SLA</w:t>
      </w:r>
    </w:p>
    <w:p>
      <w:pPr>
        <w:pStyle w:val="ListParagraph"/>
        <w:numPr>
          <w:ilvl w:val="0"/>
          <w:numId w:val="2"/>
        </w:numPr>
        <w:spacing w:after="60" w:before="60"/>
      </w:pPr>
      <w:r>
        <w:rPr>
          <w:rFonts w:ascii="Arial" w:cs="Arial" w:eastAsia="Arial" w:hAnsi="Arial"/>
          <w:color w:val="404040"/>
          <w:sz w:val="22"/>
          <w:szCs w:val="22"/>
        </w:rPr>
        <w:t xml:space="preserve">Infrastructure consulting and architecture advisory</w:t>
      </w:r>
    </w:p>
    <w:p>
      <w:pPr>
        <w:pStyle w:val="ListParagraph"/>
        <w:numPr>
          <w:ilvl w:val="0"/>
          <w:numId w:val="2"/>
        </w:numPr>
        <w:spacing w:after="60" w:before="60"/>
      </w:pPr>
      <w:r>
        <w:rPr>
          <w:rFonts w:ascii="Arial" w:cs="Arial" w:eastAsia="Arial" w:hAnsi="Arial"/>
          <w:color w:val="404040"/>
          <w:sz w:val="22"/>
          <w:szCs w:val="22"/>
        </w:rPr>
        <w:t xml:space="preserve">Software integrations and maintenance</w:t>
      </w:r>
    </w:p>
    <w:p>
      <w:pPr>
        <w:pStyle w:val="ListParagraph"/>
        <w:numPr>
          <w:ilvl w:val="0"/>
          <w:numId w:val="2"/>
        </w:numPr>
        <w:spacing w:after="60" w:before="60"/>
      </w:pPr>
      <w:r>
        <w:rPr>
          <w:rFonts w:ascii="Arial" w:cs="Arial" w:eastAsia="Arial" w:hAnsi="Arial"/>
          <w:color w:val="404040"/>
          <w:sz w:val="22"/>
          <w:szCs w:val="22"/>
        </w:rPr>
        <w:t xml:space="preserve">Capacity support for ABGRION client engagements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7.3 Pricing Method</w:t>
      </w:r>
    </w:p>
    <w:p>
      <w:pPr>
        <w:spacing w:after="80" w:before="80"/>
      </w:pPr>
      <w:r>
        <w:rPr>
          <w:rFonts w:ascii="Arial" w:cs="Arial" w:eastAsia="Arial" w:hAnsi="Arial"/>
          <w:color w:val="404040"/>
          <w:sz w:val="22"/>
          <w:szCs w:val="22"/>
        </w:rPr>
        <w:t xml:space="preserve">Cost Plus Method (Cost + 20%). The same ABGRION pricing rules set out in Section 8 apply, with ABGRION as the recipient and ILKIMEN as the provider. The SLA must define service scope, response times, escalation procedures, and measurable KPIs. Invoicing must reference the SLA contract and be issued monthly.</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8. ABGRION Transfer Pricing Policy — Cost Plus Method</w:t>
      </w:r>
    </w:p>
    <w:p>
      <w:pPr>
        <w:pStyle w:val="Heading2"/>
        <w:spacing w:after="160" w:before="320"/>
      </w:pPr>
      <w:r>
        <w:rPr>
          <w:rFonts w:ascii="Arial" w:cs="Arial" w:eastAsia="Arial" w:hAnsi="Arial"/>
          <w:b/>
          <w:bCs/>
          <w:color w:val="2E75B6"/>
          <w:sz w:val="26"/>
          <w:szCs w:val="26"/>
        </w:rPr>
        <w:t xml:space="preserve">8.1 Overview</w:t>
      </w:r>
    </w:p>
    <w:p>
      <w:pPr>
        <w:spacing w:after="80" w:before="80"/>
      </w:pPr>
      <w:r>
        <w:rPr>
          <w:rFonts w:ascii="Arial" w:cs="Arial" w:eastAsia="Arial" w:hAnsi="Arial"/>
          <w:color w:val="404040"/>
          <w:sz w:val="22"/>
          <w:szCs w:val="22"/>
        </w:rPr>
        <w:t xml:space="preserve">ABGRION GmbH &amp; Co. KG acts as the service delivery and consulting arm behind the Enhanced Rentals platform. It is the exclusive entity responsible for:</w:t>
      </w:r>
    </w:p>
    <w:p>
      <w:pPr>
        <w:pStyle w:val="ListParagraph"/>
        <w:numPr>
          <w:ilvl w:val="0"/>
          <w:numId w:val="2"/>
        </w:numPr>
        <w:spacing w:after="60" w:before="60"/>
      </w:pPr>
      <w:r>
        <w:rPr>
          <w:rFonts w:ascii="Arial" w:cs="Arial" w:eastAsia="Arial" w:hAnsi="Arial"/>
          <w:color w:val="404040"/>
          <w:sz w:val="22"/>
          <w:szCs w:val="22"/>
        </w:rPr>
        <w:t xml:space="preserve">Delivering integrations for the Enhanced Rentals ecosystem</w:t>
      </w:r>
    </w:p>
    <w:p>
      <w:pPr>
        <w:pStyle w:val="ListParagraph"/>
        <w:numPr>
          <w:ilvl w:val="0"/>
          <w:numId w:val="2"/>
        </w:numPr>
        <w:spacing w:after="60" w:before="60"/>
      </w:pPr>
      <w:r>
        <w:rPr>
          <w:rFonts w:ascii="Arial" w:cs="Arial" w:eastAsia="Arial" w:hAnsi="Arial"/>
          <w:color w:val="404040"/>
          <w:sz w:val="22"/>
          <w:szCs w:val="22"/>
        </w:rPr>
        <w:t xml:space="preserve">Maintaining integration standards and security</w:t>
      </w:r>
    </w:p>
    <w:p>
      <w:pPr>
        <w:pStyle w:val="ListParagraph"/>
        <w:numPr>
          <w:ilvl w:val="0"/>
          <w:numId w:val="2"/>
        </w:numPr>
        <w:spacing w:after="60" w:before="60"/>
      </w:pPr>
      <w:r>
        <w:rPr>
          <w:rFonts w:ascii="Arial" w:cs="Arial" w:eastAsia="Arial" w:hAnsi="Arial"/>
          <w:color w:val="404040"/>
          <w:sz w:val="22"/>
          <w:szCs w:val="22"/>
        </w:rPr>
        <w:t xml:space="preserve">Onboarding integration partners</w:t>
      </w:r>
    </w:p>
    <w:p>
      <w:pPr>
        <w:pStyle w:val="ListParagraph"/>
        <w:numPr>
          <w:ilvl w:val="0"/>
          <w:numId w:val="2"/>
        </w:numPr>
        <w:spacing w:after="60" w:before="60"/>
      </w:pPr>
      <w:r>
        <w:rPr>
          <w:rFonts w:ascii="Arial" w:cs="Arial" w:eastAsia="Arial" w:hAnsi="Arial"/>
          <w:color w:val="404040"/>
          <w:sz w:val="22"/>
          <w:szCs w:val="22"/>
        </w:rPr>
        <w:t xml:space="preserve">Ensuring quality, performance, and versioning for Enhanced Rentals Suite</w:t>
      </w:r>
    </w:p>
    <w:p>
      <w:pPr>
        <w:pStyle w:val="ListParagraph"/>
        <w:numPr>
          <w:ilvl w:val="0"/>
          <w:numId w:val="2"/>
        </w:numPr>
        <w:spacing w:after="60" w:before="60"/>
      </w:pPr>
      <w:r>
        <w:rPr>
          <w:rFonts w:ascii="Arial" w:cs="Arial" w:eastAsia="Arial" w:hAnsi="Arial"/>
          <w:color w:val="404040"/>
          <w:sz w:val="22"/>
          <w:szCs w:val="22"/>
        </w:rPr>
        <w:t xml:space="preserve">Managing long-term support for all integrations</w:t>
      </w:r>
    </w:p>
    <w:p>
      <w:pPr>
        <w:spacing w:after="0" w:before="0"/>
      </w:pPr>
      <w:r>
        <w:t xml:space="preserve"/>
      </w:r>
    </w:p>
    <w:p>
      <w:pPr>
        <w:spacing w:after="80" w:before="80"/>
      </w:pPr>
      <w:r>
        <w:rPr>
          <w:rFonts w:ascii="Arial" w:cs="Arial" w:eastAsia="Arial" w:hAnsi="Arial"/>
          <w:color w:val="404040"/>
          <w:sz w:val="22"/>
          <w:szCs w:val="22"/>
        </w:rPr>
        <w:t xml:space="preserve">No external developer or contractor may build or modify integrations outside ABGRION’s supervision and billing structure.</w:t>
      </w:r>
    </w:p>
    <w:p>
      <w:pPr>
        <w:spacing w:after="0" w:before="0"/>
      </w:pPr>
      <w:r>
        <w:t xml:space="preserve"/>
      </w:r>
    </w:p>
    <w:p>
      <w:pPr>
        <w:pStyle w:val="Heading2"/>
        <w:spacing w:after="160" w:before="320"/>
      </w:pPr>
      <w:r>
        <w:rPr>
          <w:rFonts w:ascii="Arial" w:cs="Arial" w:eastAsia="Arial" w:hAnsi="Arial"/>
          <w:b/>
          <w:bCs/>
          <w:color w:val="2E75B6"/>
          <w:sz w:val="26"/>
          <w:szCs w:val="26"/>
        </w:rPr>
        <w:t xml:space="preserve">8.2 Pricing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Transfer Price Formula</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pPr>
              <w:jc w:val="center"/>
            </w:pPr>
            <w:r>
              <w:rPr>
                <w:rFonts w:ascii="Arial Narrow" w:cs="Arial Narrow" w:eastAsia="Arial Narrow" w:hAnsi="Arial Narrow"/>
                <w:b/>
                <w:bCs/>
                <w:color w:val="FFFFFF"/>
                <w:sz w:val="28"/>
                <w:szCs w:val="28"/>
              </w:rPr>
              <w:t xml:space="preserve">Transfer Price = (Attributable Costs) × 1.20</w:t>
            </w:r>
          </w:p>
        </w:tc>
      </w:tr>
    </w:tbl>
    <w:p>
      <w:pPr>
        <w:spacing w:after="0" w:before="0"/>
      </w:pPr>
      <w:r>
        <w:t xml:space="preserve"/>
      </w:r>
    </w:p>
    <w:p>
      <w:pPr>
        <w:spacing w:after="80" w:before="80"/>
      </w:pPr>
      <w:r>
        <w:rPr>
          <w:rFonts w:ascii="Arial" w:cs="Arial" w:eastAsia="Arial" w:hAnsi="Arial"/>
          <w:color w:val="404040"/>
          <w:sz w:val="22"/>
          <w:szCs w:val="22"/>
        </w:rPr>
        <w:t xml:space="preserve">Where Attributable Costs are all directly identifiable costs related to the specific service, project, or client engagement, excluding the categories listed in Section 8.4.</w:t>
      </w:r>
    </w:p>
    <w:p>
      <w:pPr>
        <w:spacing w:after="0" w:before="0"/>
      </w:pPr>
      <w:r>
        <w:t xml:space="preserve"/>
      </w:r>
    </w:p>
    <w:p>
      <w:pPr>
        <w:pStyle w:val="Heading2"/>
        <w:spacing w:after="160" w:before="320"/>
      </w:pPr>
      <w:r>
        <w:rPr>
          <w:rFonts w:ascii="Arial" w:cs="Arial" w:eastAsia="Arial" w:hAnsi="Arial"/>
          <w:b/>
          <w:bCs/>
          <w:color w:val="2E75B6"/>
          <w:sz w:val="26"/>
          <w:szCs w:val="26"/>
        </w:rPr>
        <w:t xml:space="preserve">8.3 Billable Hours</w:t>
      </w:r>
    </w:p>
    <w:p>
      <w:pPr>
        <w:pStyle w:val="ListParagraph"/>
        <w:numPr>
          <w:ilvl w:val="0"/>
          <w:numId w:val="2"/>
        </w:numPr>
        <w:spacing w:after="60" w:before="60"/>
      </w:pPr>
      <w:r>
        <w:rPr>
          <w:rFonts w:ascii="Arial" w:cs="Arial" w:eastAsia="Arial" w:hAnsi="Arial"/>
          <w:color w:val="404040"/>
          <w:sz w:val="22"/>
          <w:szCs w:val="22"/>
        </w:rPr>
        <w:t xml:space="preserve">Invoices must be based on a billable hour cost, ensuring the same number of hours are billed as were worked on the project</w:t>
      </w:r>
    </w:p>
    <w:p>
      <w:pPr>
        <w:pStyle w:val="ListParagraph"/>
        <w:numPr>
          <w:ilvl w:val="0"/>
          <w:numId w:val="2"/>
        </w:numPr>
        <w:spacing w:after="60" w:before="60"/>
      </w:pPr>
      <w:r>
        <w:rPr>
          <w:rFonts w:ascii="Arial" w:cs="Arial" w:eastAsia="Arial" w:hAnsi="Arial"/>
          <w:color w:val="404040"/>
          <w:sz w:val="22"/>
          <w:szCs w:val="22"/>
        </w:rPr>
        <w:t xml:space="preserve">The average margin of 20% must be maintained across all invoices</w:t>
      </w:r>
    </w:p>
    <w:p>
      <w:pPr>
        <w:pStyle w:val="ListParagraph"/>
        <w:numPr>
          <w:ilvl w:val="0"/>
          <w:numId w:val="2"/>
        </w:numPr>
        <w:spacing w:after="60" w:before="60"/>
      </w:pPr>
      <w:r>
        <w:rPr>
          <w:rFonts w:ascii="Arial" w:cs="Arial" w:eastAsia="Arial" w:hAnsi="Arial"/>
          <w:color w:val="404040"/>
          <w:sz w:val="22"/>
          <w:szCs w:val="22"/>
        </w:rPr>
        <w:t xml:space="preserve">If the 20% average margin is not maintained for a specific client or project, hourly rates must be adjusted accordingly</w:t>
      </w:r>
    </w:p>
    <w:p>
      <w:pPr>
        <w:pStyle w:val="ListParagraph"/>
        <w:numPr>
          <w:ilvl w:val="0"/>
          <w:numId w:val="2"/>
        </w:numPr>
        <w:spacing w:after="60" w:before="60"/>
      </w:pPr>
      <w:r>
        <w:rPr>
          <w:rFonts w:ascii="Arial" w:cs="Arial" w:eastAsia="Arial" w:hAnsi="Arial"/>
          <w:color w:val="404040"/>
          <w:sz w:val="22"/>
          <w:szCs w:val="22"/>
        </w:rPr>
        <w:t xml:space="preserve">Internal employee hours that are attributable to the project may be re-billed</w:t>
      </w:r>
    </w:p>
    <w:p>
      <w:pPr>
        <w:pStyle w:val="ListParagraph"/>
        <w:numPr>
          <w:ilvl w:val="0"/>
          <w:numId w:val="2"/>
        </w:numPr>
        <w:spacing w:after="60" w:before="60"/>
      </w:pPr>
      <w:r>
        <w:rPr>
          <w:rFonts w:ascii="Arial" w:cs="Arial" w:eastAsia="Arial" w:hAnsi="Arial"/>
          <w:color w:val="404040"/>
          <w:sz w:val="22"/>
          <w:szCs w:val="22"/>
        </w:rPr>
        <w:t xml:space="preserve">Where no clear hour amount exists, hours should be estimated based on complexity and documented as a best estimate</w:t>
      </w:r>
    </w:p>
    <w:p>
      <w:pPr>
        <w:spacing w:after="0" w:before="0"/>
      </w:pPr>
      <w:r>
        <w:t xml:space="preserve"/>
      </w:r>
    </w:p>
    <w:p>
      <w:pPr>
        <w:pStyle w:val="Heading2"/>
        <w:spacing w:after="160" w:before="320"/>
      </w:pPr>
      <w:r>
        <w:rPr>
          <w:rFonts w:ascii="Arial" w:cs="Arial" w:eastAsia="Arial" w:hAnsi="Arial"/>
          <w:b/>
          <w:bCs/>
          <w:color w:val="2E75B6"/>
          <w:sz w:val="26"/>
          <w:szCs w:val="26"/>
        </w:rPr>
        <w:t xml:space="preserve">8.4 Includable vs. Excluded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E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INCLUDABLE COSTS</w:t>
            </w:r>
          </w:p>
        </w:tc>
        <w:tc>
          <w:tcPr>
            <w:tcW w:type="dxa" w:w="46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EXCLUDED COSTS</w:t>
            </w:r>
          </w:p>
        </w:tc>
      </w:tr>
      <w:tr>
        <w:tc>
          <w:tcPr>
            <w:tcW w:type="dxa" w:w="468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vAlign w:val="top"/>
          </w:tcPr>
          <w:p>
            <w:pPr>
              <w:pStyle w:val="ListParagraph"/>
              <w:numPr>
                <w:ilvl w:val="0"/>
                <w:numId w:val="2"/>
              </w:numPr>
            </w:pPr>
            <w:r>
              <w:rPr>
                <w:rFonts w:ascii="Arial" w:cs="Arial" w:eastAsia="Arial" w:hAnsi="Arial"/>
                <w:color w:val="404040"/>
                <w:sz w:val="20"/>
                <w:szCs w:val="20"/>
              </w:rPr>
              <w:t xml:space="preserve">Direct engineering / development hours</w:t>
            </w:r>
          </w:p>
          <w:p>
            <w:pPr>
              <w:pStyle w:val="ListParagraph"/>
              <w:numPr>
                <w:ilvl w:val="0"/>
                <w:numId w:val="2"/>
              </w:numPr>
            </w:pPr>
            <w:r>
              <w:rPr>
                <w:rFonts w:ascii="Arial" w:cs="Arial" w:eastAsia="Arial" w:hAnsi="Arial"/>
                <w:color w:val="404040"/>
                <w:sz w:val="20"/>
                <w:szCs w:val="20"/>
              </w:rPr>
              <w:t xml:space="preserve">Project-specific tooling or software licences</w:t>
            </w:r>
          </w:p>
          <w:p>
            <w:pPr>
              <w:pStyle w:val="ListParagraph"/>
              <w:numPr>
                <w:ilvl w:val="0"/>
                <w:numId w:val="2"/>
              </w:numPr>
            </w:pPr>
            <w:r>
              <w:rPr>
                <w:rFonts w:ascii="Arial" w:cs="Arial" w:eastAsia="Arial" w:hAnsi="Arial"/>
                <w:color w:val="404040"/>
                <w:sz w:val="20"/>
                <w:szCs w:val="20"/>
              </w:rPr>
              <w:t xml:space="preserve">External contractor costs attributable to the project</w:t>
            </w:r>
          </w:p>
          <w:p>
            <w:pPr>
              <w:pStyle w:val="ListParagraph"/>
              <w:numPr>
                <w:ilvl w:val="0"/>
                <w:numId w:val="2"/>
              </w:numPr>
            </w:pPr>
            <w:r>
              <w:rPr>
                <w:rFonts w:ascii="Arial" w:cs="Arial" w:eastAsia="Arial" w:hAnsi="Arial"/>
                <w:color w:val="404040"/>
                <w:sz w:val="20"/>
                <w:szCs w:val="20"/>
              </w:rPr>
              <w:t xml:space="preserve">Support roles directly tied to project delivery (e.g. accounting, customer support for a specific client)</w:t>
            </w:r>
          </w:p>
          <w:p>
            <w:pPr>
              <w:pStyle w:val="ListParagraph"/>
              <w:numPr>
                <w:ilvl w:val="0"/>
                <w:numId w:val="2"/>
              </w:numPr>
            </w:pPr>
            <w:r>
              <w:rPr>
                <w:rFonts w:ascii="Arial" w:cs="Arial" w:eastAsia="Arial" w:hAnsi="Arial"/>
                <w:color w:val="404040"/>
                <w:sz w:val="20"/>
                <w:szCs w:val="20"/>
              </w:rPr>
              <w:t xml:space="preserve">Internal employee hours attributable to the project</w:t>
            </w:r>
          </w:p>
        </w:tc>
        <w:tc>
          <w:tcPr>
            <w:tcW w:type="dxa" w:w="4680"/>
            <w:tcBorders>
              <w:top w:val="single" w:color="CCCCCC" w:sz="1"/>
              <w:left w:val="single" w:color="CCCCCC" w:sz="1"/>
              <w:bottom w:val="single" w:color="CCCCCC" w:sz="1"/>
              <w:right w:val="single" w:color="CCCCCC" w:sz="1"/>
            </w:tcBorders>
            <w:shd w:fill="FBE9E9" w:val="clear"/>
            <w:tcMar>
              <w:top w:type="dxa" w:w="80"/>
              <w:left w:type="dxa" w:w="120"/>
              <w:bottom w:type="dxa" w:w="80"/>
              <w:right w:type="dxa" w:w="120"/>
            </w:tcMar>
            <w:vAlign w:val="top"/>
          </w:tcPr>
          <w:p>
            <w:pPr>
              <w:pStyle w:val="ListParagraph"/>
              <w:numPr>
                <w:ilvl w:val="0"/>
                <w:numId w:val="2"/>
              </w:numPr>
            </w:pPr>
            <w:r>
              <w:rPr>
                <w:rFonts w:ascii="Arial" w:cs="Arial" w:eastAsia="Arial" w:hAnsi="Arial"/>
                <w:color w:val="404040"/>
                <w:sz w:val="20"/>
                <w:szCs w:val="20"/>
              </w:rPr>
              <w:t xml:space="preserve">General overhead</w:t>
            </w:r>
          </w:p>
          <w:p>
            <w:pPr>
              <w:pStyle w:val="ListParagraph"/>
              <w:numPr>
                <w:ilvl w:val="0"/>
                <w:numId w:val="2"/>
              </w:numPr>
            </w:pPr>
            <w:r>
              <w:rPr>
                <w:rFonts w:ascii="Arial" w:cs="Arial" w:eastAsia="Arial" w:hAnsi="Arial"/>
                <w:color w:val="404040"/>
                <w:sz w:val="20"/>
                <w:szCs w:val="20"/>
              </w:rPr>
              <w:t xml:space="preserve">Non-project staff salaries</w:t>
            </w:r>
          </w:p>
          <w:p>
            <w:pPr>
              <w:pStyle w:val="ListParagraph"/>
              <w:numPr>
                <w:ilvl w:val="0"/>
                <w:numId w:val="2"/>
              </w:numPr>
            </w:pPr>
            <w:r>
              <w:rPr>
                <w:rFonts w:ascii="Arial" w:cs="Arial" w:eastAsia="Arial" w:hAnsi="Arial"/>
                <w:color w:val="404040"/>
                <w:sz w:val="20"/>
                <w:szCs w:val="20"/>
              </w:rPr>
              <w:t xml:space="preserve">Management salaries not directly tied to project delivery</w:t>
            </w:r>
          </w:p>
          <w:p>
            <w:pPr>
              <w:pStyle w:val="ListParagraph"/>
              <w:numPr>
                <w:ilvl w:val="0"/>
                <w:numId w:val="2"/>
              </w:numPr>
            </w:pPr>
            <w:r>
              <w:rPr>
                <w:rFonts w:ascii="Arial" w:cs="Arial" w:eastAsia="Arial" w:hAnsi="Arial"/>
                <w:color w:val="404040"/>
                <w:sz w:val="20"/>
                <w:szCs w:val="20"/>
              </w:rPr>
              <w:t xml:space="preserve">Company-wide software subscriptions</w:t>
            </w:r>
          </w:p>
          <w:p>
            <w:pPr>
              <w:pStyle w:val="ListParagraph"/>
              <w:numPr>
                <w:ilvl w:val="0"/>
                <w:numId w:val="2"/>
              </w:numPr>
            </w:pPr>
            <w:r>
              <w:rPr>
                <w:rFonts w:ascii="Arial" w:cs="Arial" w:eastAsia="Arial" w:hAnsi="Arial"/>
                <w:color w:val="404040"/>
                <w:sz w:val="20"/>
                <w:szCs w:val="20"/>
              </w:rPr>
              <w:t xml:space="preserve">Marketing &amp; sales costs</w:t>
            </w:r>
          </w:p>
          <w:p>
            <w:pPr>
              <w:pStyle w:val="ListParagraph"/>
              <w:numPr>
                <w:ilvl w:val="0"/>
                <w:numId w:val="2"/>
              </w:numPr>
            </w:pPr>
            <w:r>
              <w:rPr>
                <w:rFonts w:ascii="Arial" w:cs="Arial" w:eastAsia="Arial" w:hAnsi="Arial"/>
                <w:color w:val="404040"/>
                <w:sz w:val="20"/>
                <w:szCs w:val="20"/>
              </w:rPr>
              <w:t xml:space="preserve">Administrative or general operational costs</w:t>
            </w:r>
          </w:p>
        </w:tc>
      </w:tr>
    </w:tbl>
    <w:p>
      <w:r>
        <w:br w:type="page"/>
      </w:r>
    </w:p>
    <w:p>
      <w:pPr>
        <w:pStyle w:val="Heading2"/>
        <w:spacing w:after="160" w:before="320"/>
      </w:pPr>
      <w:r>
        <w:rPr>
          <w:rFonts w:ascii="Arial" w:cs="Arial" w:eastAsia="Arial" w:hAnsi="Arial"/>
          <w:b/>
          <w:bCs/>
          <w:color w:val="2E75B6"/>
          <w:sz w:val="26"/>
          <w:szCs w:val="26"/>
        </w:rPr>
        <w:t xml:space="preserve">8.5 Invoicing Structure</w:t>
      </w:r>
    </w:p>
    <w:p>
      <w:pPr>
        <w:spacing w:after="80" w:before="80"/>
      </w:pPr>
      <w:r>
        <w:rPr>
          <w:rFonts w:ascii="Arial" w:cs="Arial" w:eastAsia="Arial" w:hAnsi="Arial"/>
          <w:color w:val="404040"/>
          <w:sz w:val="22"/>
          <w:szCs w:val="22"/>
        </w:rPr>
        <w:t xml:space="preserve">Each invoice must contain the following elements:</w:t>
      </w:r>
    </w:p>
    <w:p>
      <w:pPr>
        <w:pStyle w:val="ListParagraph"/>
        <w:numPr>
          <w:ilvl w:val="0"/>
          <w:numId w:val="2"/>
        </w:numPr>
        <w:spacing w:after="60" w:before="60"/>
      </w:pPr>
      <w:r>
        <w:rPr>
          <w:rFonts w:ascii="Arial" w:cs="Arial" w:eastAsia="Arial" w:hAnsi="Arial"/>
          <w:color w:val="404040"/>
          <w:sz w:val="22"/>
          <w:szCs w:val="22"/>
        </w:rPr>
        <w:t xml:space="preserve">Delivery / service month (invoicing is monthly)</w:t>
      </w:r>
    </w:p>
    <w:p>
      <w:pPr>
        <w:pStyle w:val="ListParagraph"/>
        <w:numPr>
          <w:ilvl w:val="0"/>
          <w:numId w:val="2"/>
        </w:numPr>
        <w:spacing w:after="60" w:before="60"/>
      </w:pPr>
      <w:r>
        <w:rPr>
          <w:rFonts w:ascii="Arial" w:cs="Arial" w:eastAsia="Arial" w:hAnsi="Arial"/>
          <w:color w:val="404040"/>
          <w:sz w:val="22"/>
          <w:szCs w:val="22"/>
        </w:rPr>
        <w:t xml:space="preserve">Project reference with itemised service lines (see Section 8.6)</w:t>
      </w:r>
    </w:p>
    <w:p>
      <w:pPr>
        <w:pStyle w:val="ListParagraph"/>
        <w:numPr>
          <w:ilvl w:val="0"/>
          <w:numId w:val="2"/>
        </w:numPr>
        <w:spacing w:after="60" w:before="60"/>
      </w:pPr>
      <w:r>
        <w:rPr>
          <w:rFonts w:ascii="Arial" w:cs="Arial" w:eastAsia="Arial" w:hAnsi="Arial"/>
          <w:color w:val="404040"/>
          <w:sz w:val="22"/>
          <w:szCs w:val="22"/>
        </w:rPr>
        <w:t xml:space="preserve">Reference to the applicable SLA contract</w:t>
      </w:r>
    </w:p>
    <w:p>
      <w:pPr>
        <w:pStyle w:val="ListParagraph"/>
        <w:numPr>
          <w:ilvl w:val="0"/>
          <w:numId w:val="2"/>
        </w:numPr>
        <w:spacing w:after="60" w:before="60"/>
      </w:pPr>
      <w:r>
        <w:rPr>
          <w:rFonts w:ascii="Arial" w:cs="Arial" w:eastAsia="Arial" w:hAnsi="Arial"/>
          <w:color w:val="404040"/>
          <w:sz w:val="22"/>
          <w:szCs w:val="22"/>
        </w:rPr>
        <w:t xml:space="preserve">Billable hours per line item with hourly rate</w:t>
      </w:r>
    </w:p>
    <w:p>
      <w:pPr>
        <w:pStyle w:val="ListParagraph"/>
        <w:numPr>
          <w:ilvl w:val="0"/>
          <w:numId w:val="2"/>
        </w:numPr>
        <w:spacing w:after="60" w:before="60"/>
      </w:pPr>
      <w:r>
        <w:rPr>
          <w:rFonts w:ascii="Arial" w:cs="Arial" w:eastAsia="Arial" w:hAnsi="Arial"/>
          <w:color w:val="404040"/>
          <w:sz w:val="22"/>
          <w:szCs w:val="22"/>
        </w:rPr>
        <w:t xml:space="preserve">Cost base and applied margin (20%)</w:t>
      </w:r>
    </w:p>
    <w:p>
      <w:pPr>
        <w:pStyle w:val="ListParagraph"/>
        <w:numPr>
          <w:ilvl w:val="0"/>
          <w:numId w:val="2"/>
        </w:numPr>
        <w:spacing w:after="60" w:before="60"/>
      </w:pPr>
      <w:r>
        <w:rPr>
          <w:rFonts w:ascii="Arial" w:cs="Arial" w:eastAsia="Arial" w:hAnsi="Arial"/>
          <w:color w:val="404040"/>
          <w:sz w:val="22"/>
          <w:szCs w:val="22"/>
        </w:rPr>
        <w:t xml:space="preserve">Total invoice amount</w:t>
      </w:r>
    </w:p>
    <w:p>
      <w:pPr>
        <w:spacing w:after="0" w:before="0"/>
      </w:pPr>
      <w:r>
        <w:t xml:space="preserve"/>
      </w:r>
    </w:p>
    <w:p>
      <w:pPr>
        <w:spacing w:after="80" w:before="80"/>
      </w:pPr>
      <w:r>
        <w:rPr>
          <w:rFonts w:ascii="Arial" w:cs="Arial" w:eastAsia="Arial" w:hAnsi="Arial"/>
          <w:color w:val="404040"/>
          <w:sz w:val="22"/>
          <w:szCs w:val="22"/>
        </w:rPr>
        <w:t xml:space="preserve">Invoices shall be issued no later than the 10th calendar day of the month following the service delivery month.</w:t>
      </w:r>
    </w:p>
    <w:p>
      <w:pPr>
        <w:spacing w:after="0" w:before="0"/>
      </w:pPr>
      <w:r>
        <w:t xml:space="preserve"/>
      </w:r>
    </w:p>
    <w:p>
      <w:pPr>
        <w:pStyle w:val="Heading2"/>
        <w:spacing w:after="160" w:before="320"/>
      </w:pPr>
      <w:r>
        <w:rPr>
          <w:rFonts w:ascii="Arial" w:cs="Arial" w:eastAsia="Arial" w:hAnsi="Arial"/>
          <w:b/>
          <w:bCs/>
          <w:color w:val="2E75B6"/>
          <w:sz w:val="26"/>
          <w:szCs w:val="26"/>
        </w:rPr>
        <w:t xml:space="preserve">8.6 Project Reference System</w:t>
      </w:r>
    </w:p>
    <w:p>
      <w:pPr>
        <w:spacing w:after="80" w:before="80"/>
      </w:pPr>
      <w:r>
        <w:rPr>
          <w:rFonts w:ascii="Arial" w:cs="Arial" w:eastAsia="Arial" w:hAnsi="Arial"/>
          <w:color w:val="404040"/>
          <w:sz w:val="22"/>
          <w:szCs w:val="22"/>
        </w:rPr>
        <w:t xml:space="preserve">All invoices must reference one or more of the following project categories:</w:t>
      </w:r>
    </w:p>
    <w:p>
      <w:pPr>
        <w:spacing w:after="0" w:before="0"/>
      </w:pPr>
      <w:r>
        <w:t xml:space="preserve"/>
      </w:r>
    </w:p>
    <w:p>
      <w:pPr>
        <w:pStyle w:val="Heading3"/>
        <w:spacing w:after="120" w:before="240"/>
      </w:pPr>
      <w:r>
        <w:rPr>
          <w:rFonts w:ascii="Arial" w:cs="Arial" w:eastAsia="Arial" w:hAnsi="Arial"/>
          <w:b/>
          <w:bCs/>
          <w:color w:val="404040"/>
          <w:sz w:val="24"/>
          <w:szCs w:val="24"/>
        </w:rPr>
        <w:t xml:space="preserve">8.6.1 Customer Frontends (e.g. Booking Portals such as RENTUJEMY.COM)</w:t>
      </w:r>
    </w:p>
    <w:p>
      <w:pPr>
        <w:pStyle w:val="ListParagraph"/>
        <w:numPr>
          <w:ilvl w:val="0"/>
          <w:numId w:val="2"/>
        </w:numPr>
        <w:spacing w:after="60" w:before="60"/>
      </w:pPr>
      <w:r>
        <w:rPr>
          <w:rFonts w:ascii="Arial" w:cs="Arial" w:eastAsia="Arial" w:hAnsi="Arial"/>
          <w:color w:val="404040"/>
          <w:sz w:val="22"/>
          <w:szCs w:val="22"/>
        </w:rPr>
        <w:t xml:space="preserve">Fixes</w:t>
      </w:r>
    </w:p>
    <w:p>
      <w:pPr>
        <w:pStyle w:val="ListParagraph"/>
        <w:numPr>
          <w:ilvl w:val="0"/>
          <w:numId w:val="2"/>
        </w:numPr>
        <w:spacing w:after="60" w:before="60"/>
      </w:pPr>
      <w:r>
        <w:rPr>
          <w:rFonts w:ascii="Arial" w:cs="Arial" w:eastAsia="Arial" w:hAnsi="Arial"/>
          <w:color w:val="404040"/>
          <w:sz w:val="22"/>
          <w:szCs w:val="22"/>
        </w:rPr>
        <w:t xml:space="preserve">New Features</w:t>
      </w:r>
    </w:p>
    <w:p>
      <w:pPr>
        <w:pStyle w:val="ListParagraph"/>
        <w:numPr>
          <w:ilvl w:val="0"/>
          <w:numId w:val="2"/>
        </w:numPr>
        <w:spacing w:after="60" w:before="60"/>
      </w:pPr>
      <w:r>
        <w:rPr>
          <w:rFonts w:ascii="Arial" w:cs="Arial" w:eastAsia="Arial" w:hAnsi="Arial"/>
          <w:color w:val="404040"/>
          <w:sz w:val="22"/>
          <w:szCs w:val="22"/>
        </w:rPr>
        <w:t xml:space="preserve">Performance &amp; Refactoring</w:t>
      </w:r>
    </w:p>
    <w:p>
      <w:pPr>
        <w:spacing w:after="0" w:before="0"/>
      </w:pPr>
      <w:r>
        <w:t xml:space="preserve"/>
      </w:r>
    </w:p>
    <w:p>
      <w:pPr>
        <w:pStyle w:val="Heading3"/>
        <w:spacing w:after="120" w:before="240"/>
      </w:pPr>
      <w:r>
        <w:rPr>
          <w:rFonts w:ascii="Arial" w:cs="Arial" w:eastAsia="Arial" w:hAnsi="Arial"/>
          <w:b/>
          <w:bCs/>
          <w:color w:val="404040"/>
          <w:sz w:val="24"/>
          <w:szCs w:val="24"/>
        </w:rPr>
        <w:t xml:space="preserve">8.6.2 Client-Specific Integrations for Admin Frontend (Enhanced Rentals Suite)</w:t>
      </w:r>
    </w:p>
    <w:p>
      <w:pPr>
        <w:spacing w:after="80" w:before="80"/>
      </w:pPr>
      <w:r>
        <w:rPr>
          <w:rFonts w:ascii="Arial" w:cs="Arial" w:eastAsia="Arial" w:hAnsi="Arial"/>
          <w:color w:val="404040"/>
          <w:sz w:val="22"/>
          <w:szCs w:val="22"/>
        </w:rPr>
        <w:t xml:space="preserve">Custom client requirements incorporated into standard code, hidden behind feature flags. Clients continue to pay standard subscription fees to use the software with these client-specific features.</w:t>
      </w:r>
    </w:p>
    <w:p>
      <w:pPr>
        <w:pStyle w:val="ListParagraph"/>
        <w:numPr>
          <w:ilvl w:val="0"/>
          <w:numId w:val="2"/>
        </w:numPr>
        <w:spacing w:after="60" w:before="60"/>
      </w:pPr>
      <w:r>
        <w:rPr>
          <w:rFonts w:ascii="Arial" w:cs="Arial" w:eastAsia="Arial" w:hAnsi="Arial"/>
          <w:color w:val="404040"/>
          <w:sz w:val="22"/>
          <w:szCs w:val="22"/>
        </w:rPr>
        <w:t xml:space="preserve">RENTUJEMY — developments behind feature flag tenantInfo.isRENTUJEMY</w:t>
      </w:r>
    </w:p>
    <w:p>
      <w:pPr>
        <w:pStyle w:val="ListParagraph"/>
        <w:numPr>
          <w:ilvl w:val="0"/>
          <w:numId w:val="2"/>
        </w:numPr>
        <w:spacing w:after="60" w:before="60"/>
      </w:pPr>
      <w:r>
        <w:rPr>
          <w:rFonts w:ascii="Arial" w:cs="Arial" w:eastAsia="Arial" w:hAnsi="Arial"/>
          <w:color w:val="404040"/>
          <w:sz w:val="22"/>
          <w:szCs w:val="22"/>
        </w:rPr>
        <w:t xml:space="preserve">M2RENT — developments behind feature flag tenantInfo.M2RENT</w:t>
      </w:r>
    </w:p>
    <w:p>
      <w:pPr>
        <w:spacing w:after="0" w:before="0"/>
      </w:pPr>
      <w:r>
        <w:t xml:space="preserve"/>
      </w:r>
    </w:p>
    <w:p>
      <w:pPr>
        <w:pStyle w:val="Heading3"/>
        <w:spacing w:after="120" w:before="240"/>
      </w:pPr>
      <w:r>
        <w:rPr>
          <w:rFonts w:ascii="Arial" w:cs="Arial" w:eastAsia="Arial" w:hAnsi="Arial"/>
          <w:b/>
          <w:bCs/>
          <w:color w:val="404040"/>
          <w:sz w:val="24"/>
          <w:szCs w:val="24"/>
        </w:rPr>
        <w:t xml:space="preserve">8.6.3 Client-Specific Automations / Integrations with ER API</w:t>
      </w:r>
    </w:p>
    <w:p>
      <w:pPr>
        <w:spacing w:after="80" w:before="80"/>
      </w:pPr>
      <w:r>
        <w:rPr>
          <w:rFonts w:ascii="Arial" w:cs="Arial" w:eastAsia="Arial" w:hAnsi="Arial"/>
          <w:color w:val="404040"/>
          <w:sz w:val="22"/>
          <w:szCs w:val="22"/>
        </w:rPr>
        <w:t xml:space="preserve">Client-specific automations (cron jobs) that belong to the respective clients:</w:t>
      </w:r>
    </w:p>
    <w:p>
      <w:pPr>
        <w:pStyle w:val="ListParagraph"/>
        <w:numPr>
          <w:ilvl w:val="1"/>
          <w:numId w:val="2"/>
        </w:numPr>
        <w:spacing w:after="60" w:before="60"/>
      </w:pPr>
      <w:r>
        <w:rPr>
          <w:rFonts w:ascii="Arial" w:cs="Arial" w:eastAsia="Arial" w:hAnsi="Arial"/>
          <w:color w:val="404040"/>
          <w:sz w:val="22"/>
          <w:szCs w:val="22"/>
        </w:rPr>
        <w:t xml:space="preserve">Cron for RENTUJEMY Accounting</w:t>
      </w:r>
    </w:p>
    <w:p>
      <w:pPr>
        <w:pStyle w:val="ListParagraph"/>
        <w:numPr>
          <w:ilvl w:val="1"/>
          <w:numId w:val="2"/>
        </w:numPr>
        <w:spacing w:after="60" w:before="60"/>
      </w:pPr>
      <w:r>
        <w:rPr>
          <w:rFonts w:ascii="Arial" w:cs="Arial" w:eastAsia="Arial" w:hAnsi="Arial"/>
          <w:color w:val="404040"/>
          <w:sz w:val="22"/>
          <w:szCs w:val="22"/>
        </w:rPr>
        <w:t xml:space="preserve">Cron for RENTUJEMY Deposits</w:t>
      </w:r>
    </w:p>
    <w:p>
      <w:pPr>
        <w:pStyle w:val="ListParagraph"/>
        <w:numPr>
          <w:ilvl w:val="1"/>
          <w:numId w:val="2"/>
        </w:numPr>
        <w:spacing w:after="60" w:before="60"/>
      </w:pPr>
      <w:r>
        <w:rPr>
          <w:rFonts w:ascii="Arial" w:cs="Arial" w:eastAsia="Arial" w:hAnsi="Arial"/>
          <w:color w:val="404040"/>
          <w:sz w:val="22"/>
          <w:szCs w:val="22"/>
        </w:rPr>
        <w:t xml:space="preserve">Cron for RENTUJEMY Check-ins</w:t>
      </w:r>
    </w:p>
    <w:p>
      <w:pPr>
        <w:pStyle w:val="ListParagraph"/>
        <w:numPr>
          <w:ilvl w:val="1"/>
          <w:numId w:val="2"/>
        </w:numPr>
        <w:spacing w:after="60" w:before="60"/>
      </w:pPr>
      <w:r>
        <w:rPr>
          <w:rFonts w:ascii="Arial" w:cs="Arial" w:eastAsia="Arial" w:hAnsi="Arial"/>
          <w:color w:val="404040"/>
          <w:sz w:val="22"/>
          <w:szCs w:val="22"/>
        </w:rPr>
        <w:t xml:space="preserve">Cron for RENTUJEMY Tasks</w:t>
      </w:r>
    </w:p>
    <w:p>
      <w:pPr>
        <w:pStyle w:val="ListParagraph"/>
        <w:numPr>
          <w:ilvl w:val="1"/>
          <w:numId w:val="2"/>
        </w:numPr>
        <w:spacing w:after="60" w:before="60"/>
      </w:pPr>
      <w:r>
        <w:rPr>
          <w:rFonts w:ascii="Arial" w:cs="Arial" w:eastAsia="Arial" w:hAnsi="Arial"/>
          <w:color w:val="404040"/>
          <w:sz w:val="22"/>
          <w:szCs w:val="22"/>
        </w:rPr>
        <w:t xml:space="preserve">Cron for RENTUJEMY Occupancy</w:t>
      </w:r>
    </w:p>
    <w:p>
      <w:pPr>
        <w:pStyle w:val="ListParagraph"/>
        <w:numPr>
          <w:ilvl w:val="0"/>
          <w:numId w:val="2"/>
        </w:numPr>
        <w:spacing w:after="60" w:before="60"/>
      </w:pPr>
      <w:r>
        <w:rPr>
          <w:rFonts w:ascii="Arial" w:cs="Arial" w:eastAsia="Arial" w:hAnsi="Arial"/>
          <w:color w:val="404040"/>
          <w:sz w:val="22"/>
          <w:szCs w:val="22"/>
        </w:rPr>
        <w:t xml:space="preserve">Client-specific integrations (e.g. via Zapier)</w:t>
      </w:r>
    </w:p>
    <w:p>
      <w:pPr>
        <w:spacing w:after="0" w:before="0"/>
      </w:pPr>
      <w:r>
        <w:t xml:space="preserve"/>
      </w:r>
    </w:p>
    <w:p>
      <w:pPr>
        <w:pStyle w:val="Heading3"/>
        <w:spacing w:after="120" w:before="240"/>
      </w:pPr>
      <w:r>
        <w:rPr>
          <w:rFonts w:ascii="Arial" w:cs="Arial" w:eastAsia="Arial" w:hAnsi="Arial"/>
          <w:b/>
          <w:bCs/>
          <w:color w:val="404040"/>
          <w:sz w:val="24"/>
          <w:szCs w:val="24"/>
        </w:rPr>
        <w:t xml:space="preserve">8.6.4 Client-Specific Consulting Services</w:t>
      </w:r>
    </w:p>
    <w:p>
      <w:pPr>
        <w:pStyle w:val="ListParagraph"/>
        <w:numPr>
          <w:ilvl w:val="0"/>
          <w:numId w:val="2"/>
        </w:numPr>
        <w:spacing w:after="60" w:before="60"/>
      </w:pPr>
      <w:r>
        <w:rPr>
          <w:rFonts w:ascii="Arial" w:cs="Arial" w:eastAsia="Arial" w:hAnsi="Arial"/>
          <w:color w:val="404040"/>
          <w:sz w:val="22"/>
          <w:szCs w:val="22"/>
        </w:rPr>
        <w:t xml:space="preserve">Onboarding trainings to use Enhanced Rentals Suite</w:t>
      </w:r>
    </w:p>
    <w:p>
      <w:pPr>
        <w:pStyle w:val="ListParagraph"/>
        <w:numPr>
          <w:ilvl w:val="0"/>
          <w:numId w:val="2"/>
        </w:numPr>
        <w:spacing w:after="60" w:before="60"/>
      </w:pPr>
      <w:r>
        <w:rPr>
          <w:rFonts w:ascii="Arial" w:cs="Arial" w:eastAsia="Arial" w:hAnsi="Arial"/>
          <w:color w:val="404040"/>
          <w:sz w:val="22"/>
          <w:szCs w:val="22"/>
        </w:rPr>
        <w:t xml:space="preserve">Ongoing support to use Enhanced Rentals Suite (e.g. Slack-based queries from client employees)</w:t>
      </w:r>
    </w:p>
    <w:p>
      <w:pPr>
        <w:pStyle w:val="ListParagraph"/>
        <w:numPr>
          <w:ilvl w:val="0"/>
          <w:numId w:val="2"/>
        </w:numPr>
        <w:spacing w:after="60" w:before="60"/>
      </w:pPr>
      <w:r>
        <w:rPr>
          <w:rFonts w:ascii="Arial" w:cs="Arial" w:eastAsia="Arial" w:hAnsi="Arial"/>
          <w:color w:val="404040"/>
          <w:sz w:val="22"/>
          <w:szCs w:val="22"/>
        </w:rPr>
        <w:t xml:space="preserve">IT-related trainings (e.g. training client’s own developers on Enhanced Rentals Suite APIs)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8.7 Invoice Line Item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 Item Description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Customer Frontend — Fixes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04040"/>
                <w:sz w:val="20"/>
                <w:szCs w:val="20"/>
              </w:rPr>
              <w:t xml:space="preserve">Customer Frontends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Client-specific integrations for admin-frontend (Enhanced Rentals Suite)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04040"/>
                <w:sz w:val="20"/>
                <w:szCs w:val="20"/>
              </w:rPr>
              <w:t xml:space="preserve">Client-Specific Integrations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Client-Specific Automations / Integrations with ER API — Cron for RENTUJEMY Tasks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04040"/>
                <w:sz w:val="20"/>
                <w:szCs w:val="20"/>
              </w:rPr>
              <w:t xml:space="preserve">Client-Specific Automations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Client-Specific Consulting Services — Trainings to use Enhanced Rentals Suite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04040"/>
                <w:sz w:val="20"/>
                <w:szCs w:val="20"/>
              </w:rPr>
              <w:t xml:space="preserve">Client-Specific Consulting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Client-Specific Consulting Services — Support via Slack (Enhanced Rentals Suite)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04040"/>
                <w:sz w:val="20"/>
                <w:szCs w:val="20"/>
              </w:rPr>
              <w:t xml:space="preserve">Client-Specific Consulting</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Client-Specific Integrations — RENTUJEMY (feature flag: isRENTUJEMY)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04040"/>
                <w:sz w:val="20"/>
                <w:szCs w:val="20"/>
              </w:rPr>
              <w:t xml:space="preserve">Client-Specific Integrations</w:t>
            </w:r>
          </w:p>
        </w:tc>
      </w:tr>
    </w:tbl>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9. Enhanced Rentals GmbH → RENTUJEMY Sp. z o.o. (SaaS Subscriptions)</w:t>
      </w:r>
    </w:p>
    <w:p>
      <w:pPr>
        <w:pStyle w:val="Heading2"/>
        <w:spacing w:after="160" w:before="320"/>
      </w:pPr>
      <w:r>
        <w:rPr>
          <w:rFonts w:ascii="Arial" w:cs="Arial" w:eastAsia="Arial" w:hAnsi="Arial"/>
          <w:b/>
          <w:bCs/>
          <w:color w:val="2E75B6"/>
          <w:sz w:val="26"/>
          <w:szCs w:val="26"/>
        </w:rPr>
        <w:t xml:space="preserve">9.1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Enhanced Rentals GmbH, Walldorf, Germany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Recipient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RENTUJEMY Sp. z o.o., Warsaw, Poland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Pricing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Comparable Uncontrolled Price (CUP)</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9.2 Service Description</w:t>
      </w:r>
    </w:p>
    <w:p>
      <w:pPr>
        <w:spacing w:after="80" w:before="80"/>
      </w:pPr>
      <w:r>
        <w:rPr>
          <w:rFonts w:ascii="Arial" w:cs="Arial" w:eastAsia="Arial" w:hAnsi="Arial"/>
          <w:color w:val="404040"/>
          <w:sz w:val="22"/>
          <w:szCs w:val="22"/>
        </w:rPr>
        <w:t xml:space="preserve">Enhanced Rentals GmbH licenses its SaaS platform to RENTUJEMY Sp. z o.o. for use in managing short-term rental operations. The subscription covers:</w:t>
      </w:r>
    </w:p>
    <w:p>
      <w:pPr>
        <w:pStyle w:val="ListParagraph"/>
        <w:numPr>
          <w:ilvl w:val="0"/>
          <w:numId w:val="2"/>
        </w:numPr>
        <w:spacing w:after="60" w:before="60"/>
      </w:pPr>
      <w:r>
        <w:rPr>
          <w:rFonts w:ascii="Arial" w:cs="Arial" w:eastAsia="Arial" w:hAnsi="Arial"/>
          <w:color w:val="404040"/>
          <w:sz w:val="22"/>
          <w:szCs w:val="22"/>
        </w:rPr>
        <w:t xml:space="preserve">Access to the Enhanced Rentals platform (pricing, reservations, owner dashboards, task management, guest communication)</w:t>
      </w:r>
    </w:p>
    <w:p>
      <w:pPr>
        <w:pStyle w:val="ListParagraph"/>
        <w:numPr>
          <w:ilvl w:val="0"/>
          <w:numId w:val="2"/>
        </w:numPr>
        <w:spacing w:after="60" w:before="60"/>
      </w:pPr>
      <w:r>
        <w:rPr>
          <w:rFonts w:ascii="Arial" w:cs="Arial" w:eastAsia="Arial" w:hAnsi="Arial"/>
          <w:color w:val="404040"/>
          <w:sz w:val="22"/>
          <w:szCs w:val="22"/>
        </w:rPr>
        <w:t xml:space="preserve">Standard software updates and platform maintenance</w:t>
      </w:r>
    </w:p>
    <w:p>
      <w:pPr>
        <w:pStyle w:val="ListParagraph"/>
        <w:numPr>
          <w:ilvl w:val="0"/>
          <w:numId w:val="2"/>
        </w:numPr>
        <w:spacing w:after="60" w:before="60"/>
      </w:pPr>
      <w:r>
        <w:rPr>
          <w:rFonts w:ascii="Arial" w:cs="Arial" w:eastAsia="Arial" w:hAnsi="Arial"/>
          <w:color w:val="404040"/>
          <w:sz w:val="22"/>
          <w:szCs w:val="22"/>
        </w:rPr>
        <w:t xml:space="preserve">Base-level technical support</w:t>
      </w:r>
    </w:p>
    <w:p>
      <w:pPr>
        <w:spacing w:after="0" w:before="0"/>
      </w:pPr>
      <w:r>
        <w:t xml:space="preserve"/>
      </w:r>
    </w:p>
    <w:p>
      <w:pPr>
        <w:pStyle w:val="Heading2"/>
        <w:spacing w:after="160" w:before="320"/>
      </w:pPr>
      <w:r>
        <w:rPr>
          <w:rFonts w:ascii="Arial" w:cs="Arial" w:eastAsia="Arial" w:hAnsi="Arial"/>
          <w:b/>
          <w:bCs/>
          <w:color w:val="2E75B6"/>
          <w:sz w:val="26"/>
          <w:szCs w:val="26"/>
        </w:rPr>
        <w:t xml:space="preserve">9.3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Comparable Uncontrolled Price (CUP)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 – 20 EUR per property per month, depending on property type and feature tier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Benchmark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Rate is consistent with pricing charged to independent third-party customers for equivalent service tiers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Invoicing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Monthly, per number of active properties in the billing period</w:t>
            </w:r>
          </w:p>
        </w:tc>
      </w:tr>
    </w:tbl>
    <w:p>
      <w:pPr>
        <w:spacing w:after="80" w:before="80"/>
      </w:pPr>
      <w:r>
        <w:rPr>
          <w:rFonts w:ascii="Arial" w:cs="Arial" w:eastAsia="Arial" w:hAnsi="Arial"/>
          <w:color w:val="404040"/>
          <w:sz w:val="22"/>
          <w:szCs w:val="22"/>
        </w:rPr>
        <w:t xml:space="preserve">The per-property subscription rate charged to RENTUJEMY must be consistent with the rate charged to unrelated third-party customers under comparable conditions. Any discount applied to RENTUJEMY relative to third-party pricing must be documented and justified (e.g., volume discount, long-term contract).</w:t>
      </w:r>
    </w:p>
    <w:p>
      <w:r>
        <w:br w:type="page"/>
      </w:r>
    </w:p>
    <w:p>
      <w:pPr>
        <w:pStyle w:val="Heading1"/>
        <w:pBdr>
          <w:bottom w:val="single" w:color="2E75B6" w:sz="8" w:space="6"/>
        </w:pBdr>
        <w:spacing w:after="200" w:before="400"/>
      </w:pPr>
      <w:r>
        <w:rPr>
          <w:rFonts w:ascii="Arial" w:cs="Arial" w:eastAsia="Arial" w:hAnsi="Arial"/>
          <w:b/>
          <w:bCs/>
          <w:color w:val="1F3864"/>
          <w:sz w:val="32"/>
          <w:szCs w:val="32"/>
        </w:rPr>
        <w:t xml:space="preserve">10. Documentation &amp; Compliance Requirements</w:t>
      </w:r>
    </w:p>
    <w:p>
      <w:pPr>
        <w:pStyle w:val="Heading2"/>
        <w:spacing w:after="160" w:before="320"/>
      </w:pPr>
      <w:r>
        <w:rPr>
          <w:rFonts w:ascii="Arial" w:cs="Arial" w:eastAsia="Arial" w:hAnsi="Arial"/>
          <w:b/>
          <w:bCs/>
          <w:color w:val="2E75B6"/>
          <w:sz w:val="26"/>
          <w:szCs w:val="26"/>
        </w:rPr>
        <w:t xml:space="preserve">10.1 Required Documentation</w:t>
      </w:r>
    </w:p>
    <w:p>
      <w:pPr>
        <w:spacing w:after="80" w:before="80"/>
      </w:pPr>
      <w:r>
        <w:rPr>
          <w:rFonts w:ascii="Arial" w:cs="Arial" w:eastAsia="Arial" w:hAnsi="Arial"/>
          <w:color w:val="404040"/>
          <w:sz w:val="22"/>
          <w:szCs w:val="22"/>
        </w:rPr>
        <w:t xml:space="preserve">For each controlled transaction, the following documentation must be maintained:</w:t>
      </w:r>
    </w:p>
    <w:p>
      <w:pPr>
        <w:pStyle w:val="ListParagraph"/>
        <w:numPr>
          <w:ilvl w:val="0"/>
          <w:numId w:val="2"/>
        </w:numPr>
        <w:spacing w:after="60" w:before="60"/>
      </w:pPr>
      <w:r>
        <w:rPr>
          <w:rFonts w:ascii="Arial" w:cs="Arial" w:eastAsia="Arial" w:hAnsi="Arial"/>
          <w:color w:val="404040"/>
          <w:sz w:val="22"/>
          <w:szCs w:val="22"/>
        </w:rPr>
        <w:t xml:space="preserve">A copy of this Transfer Pricing Policy</w:t>
      </w:r>
    </w:p>
    <w:p>
      <w:pPr>
        <w:pStyle w:val="ListParagraph"/>
        <w:numPr>
          <w:ilvl w:val="0"/>
          <w:numId w:val="2"/>
        </w:numPr>
        <w:spacing w:after="60" w:before="60"/>
      </w:pPr>
      <w:r>
        <w:rPr>
          <w:rFonts w:ascii="Arial" w:cs="Arial" w:eastAsia="Arial" w:hAnsi="Arial"/>
          <w:color w:val="404040"/>
          <w:sz w:val="22"/>
          <w:szCs w:val="22"/>
        </w:rPr>
        <w:t xml:space="preserve">Intercompany agreements / service agreements for each transaction</w:t>
      </w:r>
    </w:p>
    <w:p>
      <w:pPr>
        <w:pStyle w:val="ListParagraph"/>
        <w:numPr>
          <w:ilvl w:val="0"/>
          <w:numId w:val="2"/>
        </w:numPr>
        <w:spacing w:after="60" w:before="60"/>
      </w:pPr>
      <w:r>
        <w:rPr>
          <w:rFonts w:ascii="Arial" w:cs="Arial" w:eastAsia="Arial" w:hAnsi="Arial"/>
          <w:color w:val="404040"/>
          <w:sz w:val="22"/>
          <w:szCs w:val="22"/>
        </w:rPr>
        <w:t xml:space="preserve">For loan transactions: signed loan agreement, repayment schedule, interest accrual records</w:t>
      </w:r>
    </w:p>
    <w:p>
      <w:pPr>
        <w:pStyle w:val="ListParagraph"/>
        <w:numPr>
          <w:ilvl w:val="0"/>
          <w:numId w:val="2"/>
        </w:numPr>
        <w:spacing w:after="60" w:before="60"/>
      </w:pPr>
      <w:r>
        <w:rPr>
          <w:rFonts w:ascii="Arial" w:cs="Arial" w:eastAsia="Arial" w:hAnsi="Arial"/>
          <w:color w:val="404040"/>
          <w:sz w:val="22"/>
          <w:szCs w:val="22"/>
        </w:rPr>
        <w:t xml:space="preserve">Monthly invoices with the project reference, hours worked, and cost base</w:t>
      </w:r>
    </w:p>
    <w:p>
      <w:pPr>
        <w:pStyle w:val="ListParagraph"/>
        <w:numPr>
          <w:ilvl w:val="0"/>
          <w:numId w:val="2"/>
        </w:numPr>
        <w:spacing w:after="60" w:before="60"/>
      </w:pPr>
      <w:r>
        <w:rPr>
          <w:rFonts w:ascii="Arial" w:cs="Arial" w:eastAsia="Arial" w:hAnsi="Arial"/>
          <w:color w:val="404040"/>
          <w:sz w:val="22"/>
          <w:szCs w:val="22"/>
        </w:rPr>
        <w:t xml:space="preserve">Benchmarking analysis supporting the arm’s length nature of prices (to be reviewed annually)</w:t>
      </w:r>
    </w:p>
    <w:p>
      <w:pPr>
        <w:pStyle w:val="ListParagraph"/>
        <w:numPr>
          <w:ilvl w:val="0"/>
          <w:numId w:val="2"/>
        </w:numPr>
        <w:spacing w:after="60" w:before="60"/>
      </w:pPr>
      <w:r>
        <w:rPr>
          <w:rFonts w:ascii="Arial" w:cs="Arial" w:eastAsia="Arial" w:hAnsi="Arial"/>
          <w:color w:val="404040"/>
          <w:sz w:val="22"/>
          <w:szCs w:val="22"/>
        </w:rPr>
        <w:t xml:space="preserve">Time-tracking records or equivalent supporting documentation for billable hours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10.2 Annual Review</w:t>
      </w:r>
    </w:p>
    <w:p>
      <w:pPr>
        <w:spacing w:after="80" w:before="80"/>
      </w:pPr>
      <w:r>
        <w:rPr>
          <w:rFonts w:ascii="Arial" w:cs="Arial" w:eastAsia="Arial" w:hAnsi="Arial"/>
          <w:color w:val="404040"/>
          <w:sz w:val="22"/>
          <w:szCs w:val="22"/>
        </w:rPr>
        <w:t xml:space="preserve">This policy must be reviewed at least annually, or whenever:</w:t>
      </w:r>
    </w:p>
    <w:p>
      <w:pPr>
        <w:pStyle w:val="ListParagraph"/>
        <w:numPr>
          <w:ilvl w:val="0"/>
          <w:numId w:val="2"/>
        </w:numPr>
        <w:spacing w:after="60" w:before="60"/>
      </w:pPr>
      <w:r>
        <w:rPr>
          <w:rFonts w:ascii="Arial" w:cs="Arial" w:eastAsia="Arial" w:hAnsi="Arial"/>
          <w:color w:val="404040"/>
          <w:sz w:val="22"/>
          <w:szCs w:val="22"/>
        </w:rPr>
        <w:t xml:space="preserve">A new intercompany transaction is introduced</w:t>
      </w:r>
    </w:p>
    <w:p>
      <w:pPr>
        <w:pStyle w:val="ListParagraph"/>
        <w:numPr>
          <w:ilvl w:val="0"/>
          <w:numId w:val="2"/>
        </w:numPr>
        <w:spacing w:after="60" w:before="60"/>
      </w:pPr>
      <w:r>
        <w:rPr>
          <w:rFonts w:ascii="Arial" w:cs="Arial" w:eastAsia="Arial" w:hAnsi="Arial"/>
          <w:color w:val="404040"/>
          <w:sz w:val="22"/>
          <w:szCs w:val="22"/>
        </w:rPr>
        <w:t xml:space="preserve">There is a material change in the group’s structure or business model</w:t>
      </w:r>
    </w:p>
    <w:p>
      <w:pPr>
        <w:pStyle w:val="ListParagraph"/>
        <w:numPr>
          <w:ilvl w:val="0"/>
          <w:numId w:val="2"/>
        </w:numPr>
        <w:spacing w:after="60" w:before="60"/>
      </w:pPr>
      <w:r>
        <w:rPr>
          <w:rFonts w:ascii="Arial" w:cs="Arial" w:eastAsia="Arial" w:hAnsi="Arial"/>
          <w:color w:val="404040"/>
          <w:sz w:val="22"/>
          <w:szCs w:val="22"/>
        </w:rPr>
        <w:t xml:space="preserve">Transfer pricing regulations change in any of the relevant jurisdictions (Poland, Germany, UAE)</w:t>
      </w:r>
    </w:p>
    <w:p>
      <w:pPr>
        <w:pStyle w:val="ListParagraph"/>
        <w:numPr>
          <w:ilvl w:val="0"/>
          <w:numId w:val="2"/>
        </w:numPr>
        <w:spacing w:after="60" w:before="60"/>
      </w:pPr>
      <w:r>
        <w:rPr>
          <w:rFonts w:ascii="Arial" w:cs="Arial" w:eastAsia="Arial" w:hAnsi="Arial"/>
          <w:color w:val="404040"/>
          <w:sz w:val="22"/>
          <w:szCs w:val="22"/>
        </w:rPr>
        <w:t xml:space="preserve">Transaction volumes exceed materiality thresholds triggering local country-by-country reporting obligations</w:t>
      </w:r>
    </w:p>
    <w:p>
      <w:pPr>
        <w:spacing w:after="0" w:before="0"/>
      </w:pPr>
      <w:r>
        <w:t xml:space="preserve"/>
      </w:r>
    </w:p>
    <w:p>
      <w:pPr>
        <w:pStyle w:val="Heading2"/>
        <w:spacing w:after="160" w:before="320"/>
      </w:pPr>
      <w:r>
        <w:rPr>
          <w:rFonts w:ascii="Arial" w:cs="Arial" w:eastAsia="Arial" w:hAnsi="Arial"/>
          <w:b/>
          <w:bCs/>
          <w:color w:val="2E75B6"/>
          <w:sz w:val="26"/>
          <w:szCs w:val="26"/>
        </w:rPr>
        <w:t xml:space="preserve">10.3 Jurisdiction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7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Poland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Transfer pricing documentation required for transactions exceeding PLN 10M per year (capital transactions) or PLN 2M (services/goods). Benchmarking studies and Local File required. Master File applies at group level if consolidated revenue exceeds EUR 20M.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Germany</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Documentation required under AStG §1 and Gewinnabgrenzungsaufzeichnungsverordnung (GAufzV). Contemporaneous documentation must be prepared before filing. Penalties apply for inadequate documentation.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UAE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UAE Corporate Tax Law (Decree-Law No. 47/2022) requires arm’s length pricing for related-party transactions. Substance requirements apply to Free Zone entities (Gamma Tech FZCO). Transfer pricing disclosure in annual tax return required.</w:t>
            </w:r>
          </w:p>
        </w:tc>
      </w:tr>
    </w:tbl>
    <w:p>
      <w:pPr>
        <w:spacing w:after="0" w:before="0"/>
      </w:pPr>
      <w:r>
        <w:t xml:space="preserve"/>
      </w:r>
    </w:p>
    <w:p>
      <w:pPr>
        <w:spacing w:after="80" w:before="80"/>
      </w:pPr>
      <w:r>
        <w:rPr>
          <w:rFonts w:ascii="Arial" w:cs="Arial" w:eastAsia="Arial" w:hAnsi="Arial"/>
          <w:color w:val="404040"/>
          <w:sz w:val="22"/>
          <w:szCs w:val="22"/>
        </w:rPr>
        <w:t xml:space="preserve">This document is prepared for internal governance purposes and does not constitute legal or tax advice. The group should engage qualified transfer pricing advisors in each relevant jurisdiction to confirm compliance with local regulations and to prepare any required statutory transfer pricing documentation (Local File / Master File).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Barwicki Group — Intercompany Transfer Pricing Policy</w:t>
    </w:r>
    <w:r>
      <w:rPr>
        <w:rFonts w:ascii="Arial" w:cs="Arial" w:eastAsia="Arial" w:hAnsi="Arial"/>
        <w:sz w:val="18"/>
        <w:szCs w:val="18"/>
      </w:rPr>
      <w:t xml:space="preserve">	</w:t>
    </w:r>
    <w:r>
      <w:rPr>
        <w:rFonts w:ascii="Arial" w:cs="Arial" w:eastAsia="Arial" w:hAnsi="Arial"/>
        <w:b/>
        <w:b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2026-03-26T12:41:23.161Z</dcterms:created>
  <dcterms:modified xsi:type="dcterms:W3CDTF">2026-03-26T12:41:23.162Z</dcterms:modified>
</cp:coreProperties>
</file>

<file path=docProps/custom.xml><?xml version="1.0" encoding="utf-8"?>
<Properties xmlns="http://schemas.openxmlformats.org/officeDocument/2006/custom-properties" xmlns:vt="http://schemas.openxmlformats.org/officeDocument/2006/docPropsVTypes"/>
</file>