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ageBreakBefore w:val="0"/>
        <w:rPr>
          <w:rFonts w:ascii="Proxima Nova Semibold" w:cs="Proxima Nova Semibold" w:eastAsia="Proxima Nova Semibold" w:hAnsi="Proxima Nova Semibold"/>
        </w:rPr>
      </w:pPr>
      <w:r w:rsidDel="00000000" w:rsidR="00000000" w:rsidRPr="00000000">
        <w:rPr>
          <w:rFonts w:ascii="Proxima Nova" w:cs="Proxima Nova" w:eastAsia="Proxima Nova" w:hAnsi="Proxima Nova"/>
          <w:color w:val="ffffff"/>
          <w:sz w:val="28"/>
          <w:szCs w:val="28"/>
          <w:shd w:fill="3c4043" w:val="clear"/>
          <w:rtl w:val="0"/>
        </w:rPr>
        <w:t xml:space="preserve">Programación Java</w:t>
      </w:r>
      <w:r w:rsidDel="00000000" w:rsidR="00000000" w:rsidRPr="00000000">
        <w:rPr>
          <w:rFonts w:ascii="Proxima Nova Semibold" w:cs="Proxima Nova Semibold" w:eastAsia="Proxima Nova Semibold" w:hAnsi="Proxima Nova Semibold"/>
          <w:rtl w:val="0"/>
        </w:rPr>
        <w:br w:type="textWrapping"/>
      </w:r>
    </w:p>
    <w:p w:rsidR="00000000" w:rsidDel="00000000" w:rsidP="00000000" w:rsidRDefault="00000000" w:rsidRPr="00000000" w14:paraId="00000002">
      <w:pPr>
        <w:pageBreakBefore w:val="0"/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Fonts w:ascii="Proxima Nova Extrabold" w:cs="Proxima Nova Extrabold" w:eastAsia="Proxima Nova Extrabold" w:hAnsi="Proxima Nova Extrabold"/>
          <w:color w:val="434343"/>
          <w:sz w:val="58"/>
          <w:szCs w:val="58"/>
        </w:rPr>
        <w:drawing>
          <wp:inline distB="19050" distT="19050" distL="19050" distR="19050">
            <wp:extent cx="185900" cy="1859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900" cy="1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roxima Nova Extrabold" w:cs="Proxima Nova Extrabold" w:eastAsia="Proxima Nova Extrabold" w:hAnsi="Proxima Nova Extrabold"/>
          <w:color w:val="434343"/>
          <w:sz w:val="58"/>
          <w:szCs w:val="58"/>
          <w:rtl w:val="0"/>
        </w:rPr>
        <w:t xml:space="preserve"> </w:t>
      </w:r>
      <w:r w:rsidDel="00000000" w:rsidR="00000000" w:rsidRPr="00000000">
        <w:rPr>
          <w:rFonts w:ascii="Proxima Nova Extrabold" w:cs="Proxima Nova Extrabold" w:eastAsia="Proxima Nova Extrabold" w:hAnsi="Proxima Nova Extrabold"/>
          <w:color w:val="434343"/>
          <w:sz w:val="58"/>
          <w:szCs w:val="58"/>
          <w:shd w:fill="ffe600" w:val="clear"/>
          <w:rtl w:val="0"/>
        </w:rPr>
        <w:t xml:space="preserve">SaveTheRopa S.A</w:t>
      </w:r>
      <w:r w:rsidDel="00000000" w:rsidR="00000000" w:rsidRPr="00000000">
        <w:rPr>
          <w:rFonts w:ascii="Proxima Nova Extrabold" w:cs="Proxima Nova Extrabold" w:eastAsia="Proxima Nova Extrabold" w:hAnsi="Proxima Nova Extrabold"/>
          <w:sz w:val="58"/>
          <w:szCs w:val="58"/>
          <w:rtl w:val="0"/>
        </w:rPr>
        <w:br w:type="textWrapping"/>
      </w:r>
      <w:r w:rsidDel="00000000" w:rsidR="00000000" w:rsidRPr="00000000">
        <w:rPr>
          <w:rFonts w:ascii="Proxima Nova Extrabold" w:cs="Proxima Nova Extrabold" w:eastAsia="Proxima Nova Extrabold" w:hAnsi="Proxima Nova Extrabold"/>
          <w:color w:val="ffdb02"/>
          <w:sz w:val="36"/>
          <w:szCs w:val="36"/>
          <w:rtl w:val="0"/>
        </w:rPr>
        <w:t xml:space="preserve">//</w:t>
      </w:r>
      <w:r w:rsidDel="00000000" w:rsidR="00000000" w:rsidRPr="00000000">
        <w:rPr>
          <w:rFonts w:ascii="Proxima Nova" w:cs="Proxima Nova" w:eastAsia="Proxima Nova" w:hAnsi="Proxima Nova"/>
          <w:color w:val="434343"/>
          <w:sz w:val="28"/>
          <w:szCs w:val="28"/>
          <w:rtl w:val="0"/>
        </w:rPr>
        <w:t xml:space="preserve"> Práctica integradora</w:t>
      </w:r>
      <w:r w:rsidDel="00000000" w:rsidR="00000000" w:rsidRPr="00000000">
        <w:rPr>
          <w:rFonts w:ascii="Proxima Nova" w:cs="Proxima Nova" w:eastAsia="Proxima Nova" w:hAnsi="Proxima Nova"/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03">
      <w:pPr>
        <w:pageBreakBefore w:val="0"/>
        <w:jc w:val="both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Proxima Nova" w:cs="Proxima Nova" w:eastAsia="Proxima Nova" w:hAnsi="Proxima Nov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b w:val="1"/>
          <w:sz w:val="24"/>
          <w:szCs w:val="24"/>
        </w:rPr>
        <w:drawing>
          <wp:inline distB="19050" distT="19050" distL="19050" distR="19050">
            <wp:extent cx="548729" cy="55245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729" cy="552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ubik" w:cs="Rubik" w:eastAsia="Rubik" w:hAnsi="Rubik"/>
          <w:b w:val="1"/>
          <w:sz w:val="24"/>
          <w:szCs w:val="24"/>
          <w:rtl w:val="0"/>
        </w:rPr>
        <w:t xml:space="preserve">SaveTheRopa S.A</w:t>
      </w: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 es una empresa que desea implementar un sistema informático de guardarropas a nivel mundial. El sistema permite a una persona guardar sus pertenencias en el guardarropas y luego retirarlas de manera sencilla con solo presentar el número identificador que recibe al guardarlas. </w:t>
      </w:r>
    </w:p>
    <w:p w:rsidR="00000000" w:rsidDel="00000000" w:rsidP="00000000" w:rsidRDefault="00000000" w:rsidRPr="00000000" w14:paraId="00000004">
      <w:pPr>
        <w:spacing w:line="335.99999999999994" w:lineRule="auto"/>
        <w:jc w:val="both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335.99999999999994" w:lineRule="auto"/>
        <w:jc w:val="both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Las pertenencias se representan en el sistema mediante algo abstracto llamado </w:t>
      </w:r>
      <w:r w:rsidDel="00000000" w:rsidR="00000000" w:rsidRPr="00000000">
        <w:rPr>
          <w:rFonts w:ascii="Rubik" w:cs="Rubik" w:eastAsia="Rubik" w:hAnsi="Rubik"/>
          <w:b w:val="1"/>
          <w:sz w:val="24"/>
          <w:szCs w:val="24"/>
          <w:rtl w:val="0"/>
        </w:rPr>
        <w:t xml:space="preserve">prenda</w:t>
      </w: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, que tiene marca y modelo, de modo que si la persona pierde el número también podría en algún momento poder llegar a reclamarlo con dicha información. Sin embargo, el reclamo será modelado en otro momento. Para la primera implementación del guardarropas necesitamos realizar lo siguiente:</w:t>
      </w:r>
    </w:p>
    <w:p w:rsidR="00000000" w:rsidDel="00000000" w:rsidP="00000000" w:rsidRDefault="00000000" w:rsidRPr="00000000" w14:paraId="00000006">
      <w:pPr>
        <w:spacing w:line="335.99999999999994" w:lineRule="auto"/>
        <w:jc w:val="both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spacing w:line="335.99999999999994" w:lineRule="auto"/>
        <w:ind w:left="720" w:hanging="360"/>
        <w:jc w:val="both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Crear la clase </w:t>
      </w:r>
      <w:r w:rsidDel="00000000" w:rsidR="00000000" w:rsidRPr="00000000">
        <w:rPr>
          <w:rFonts w:ascii="Rubik" w:cs="Rubik" w:eastAsia="Rubik" w:hAnsi="Rubik"/>
          <w:b w:val="1"/>
          <w:sz w:val="24"/>
          <w:szCs w:val="24"/>
          <w:rtl w:val="0"/>
        </w:rPr>
        <w:t xml:space="preserve">Prenda </w:t>
      </w: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que contenga los atributos marca y modelo.</w:t>
      </w:r>
    </w:p>
    <w:p w:rsidR="00000000" w:rsidDel="00000000" w:rsidP="00000000" w:rsidRDefault="00000000" w:rsidRPr="00000000" w14:paraId="00000008">
      <w:pPr>
        <w:spacing w:line="335.99999999999994" w:lineRule="auto"/>
        <w:jc w:val="both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spacing w:line="335.99999999999994" w:lineRule="auto"/>
        <w:ind w:left="720" w:hanging="360"/>
        <w:jc w:val="both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Crear la clase </w:t>
      </w:r>
      <w:r w:rsidDel="00000000" w:rsidR="00000000" w:rsidRPr="00000000">
        <w:rPr>
          <w:rFonts w:ascii="Rubik" w:cs="Rubik" w:eastAsia="Rubik" w:hAnsi="Rubik"/>
          <w:b w:val="1"/>
          <w:sz w:val="24"/>
          <w:szCs w:val="24"/>
          <w:rtl w:val="0"/>
        </w:rPr>
        <w:t xml:space="preserve">GuardaRopa </w:t>
      </w: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que contenga como atributos un diccionario (o MAP) y un contador que se utilizará como identificador. Las claves del diccionario serán de tipo entero y como valor una lista de prendas.</w:t>
      </w:r>
    </w:p>
    <w:p w:rsidR="00000000" w:rsidDel="00000000" w:rsidP="00000000" w:rsidRDefault="00000000" w:rsidRPr="00000000" w14:paraId="0000000A">
      <w:pPr>
        <w:spacing w:line="335.99999999999994" w:lineRule="auto"/>
        <w:jc w:val="both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spacing w:line="335.99999999999994" w:lineRule="auto"/>
        <w:ind w:left="720" w:hanging="360"/>
        <w:jc w:val="both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Crear el método </w:t>
      </w:r>
      <w:r w:rsidDel="00000000" w:rsidR="00000000" w:rsidRPr="00000000">
        <w:rPr>
          <w:rFonts w:ascii="Rubik" w:cs="Rubik" w:eastAsia="Rubik" w:hAnsi="Rubik"/>
          <w:b w:val="1"/>
          <w:sz w:val="24"/>
          <w:szCs w:val="24"/>
          <w:rtl w:val="0"/>
        </w:rPr>
        <w:t xml:space="preserve">public Integer guardarPrendas(List&lt;Prenda&gt; listaDePrenda)</w:t>
      </w: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, en la Clase </w:t>
      </w:r>
      <w:r w:rsidDel="00000000" w:rsidR="00000000" w:rsidRPr="00000000">
        <w:rPr>
          <w:rFonts w:ascii="Rubik" w:cs="Rubik" w:eastAsia="Rubik" w:hAnsi="Rubik"/>
          <w:b w:val="1"/>
          <w:sz w:val="24"/>
          <w:szCs w:val="24"/>
          <w:rtl w:val="0"/>
        </w:rPr>
        <w:t xml:space="preserve">GuardaRopa</w:t>
      </w: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, que recibe una lista de prendas y devuelve el número identificador en donde quedaron asignadas las prendas, es decir la clave del diccionario en donde guardamos las mismas.</w:t>
      </w:r>
    </w:p>
    <w:p w:rsidR="00000000" w:rsidDel="00000000" w:rsidP="00000000" w:rsidRDefault="00000000" w:rsidRPr="00000000" w14:paraId="0000000C">
      <w:pPr>
        <w:spacing w:line="335.99999999999994" w:lineRule="auto"/>
        <w:jc w:val="both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spacing w:line="335.99999999999994" w:lineRule="auto"/>
        <w:ind w:left="720" w:hanging="360"/>
        <w:jc w:val="both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Crear el método </w:t>
      </w:r>
      <w:r w:rsidDel="00000000" w:rsidR="00000000" w:rsidRPr="00000000">
        <w:rPr>
          <w:rFonts w:ascii="Rubik" w:cs="Rubik" w:eastAsia="Rubik" w:hAnsi="Rubik"/>
          <w:b w:val="1"/>
          <w:sz w:val="24"/>
          <w:szCs w:val="24"/>
          <w:rtl w:val="0"/>
        </w:rPr>
        <w:t xml:space="preserve">public void mostrarPrendas()</w:t>
      </w: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 en la Clase GuardaRopa que imprime por pantalla todas las prendas que quedan en el guardarropas junto con el número que les corresponde.</w:t>
      </w:r>
    </w:p>
    <w:p w:rsidR="00000000" w:rsidDel="00000000" w:rsidP="00000000" w:rsidRDefault="00000000" w:rsidRPr="00000000" w14:paraId="0000000E">
      <w:pPr>
        <w:spacing w:line="335.99999999999994" w:lineRule="auto"/>
        <w:jc w:val="both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spacing w:line="335.99999999999994" w:lineRule="auto"/>
        <w:ind w:left="720" w:hanging="360"/>
        <w:jc w:val="both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Crear el método </w:t>
      </w:r>
      <w:r w:rsidDel="00000000" w:rsidR="00000000" w:rsidRPr="00000000">
        <w:rPr>
          <w:rFonts w:ascii="Rubik" w:cs="Rubik" w:eastAsia="Rubik" w:hAnsi="Rubik"/>
          <w:b w:val="1"/>
          <w:sz w:val="24"/>
          <w:szCs w:val="24"/>
          <w:rtl w:val="0"/>
        </w:rPr>
        <w:t xml:space="preserve">public List&lt;Prenda&gt; devolverPrendas(Integer numero)</w:t>
      </w: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, en la Clase GuardaRopa que devuelve la lista de prendas que están guardadas bajo ese número. </w:t>
      </w:r>
    </w:p>
    <w:p w:rsidR="00000000" w:rsidDel="00000000" w:rsidP="00000000" w:rsidRDefault="00000000" w:rsidRPr="00000000" w14:paraId="00000010">
      <w:pPr>
        <w:spacing w:line="335.99999999999994" w:lineRule="auto"/>
        <w:jc w:val="both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spacing w:line="335.99999999999994" w:lineRule="auto"/>
        <w:ind w:left="720" w:hanging="360"/>
        <w:jc w:val="both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Crear en la clase Main un escenario en el cual alguien guarde dos prendas, reciba el código y luego consulta por sus prendas guardadas.</w:t>
      </w:r>
    </w:p>
    <w:p w:rsidR="00000000" w:rsidDel="00000000" w:rsidP="00000000" w:rsidRDefault="00000000" w:rsidRPr="00000000" w14:paraId="00000012">
      <w:pPr>
        <w:pageBreakBefore w:val="0"/>
        <w:jc w:val="both"/>
        <w:rPr>
          <w:rFonts w:ascii="Proxima Nova" w:cs="Proxima Nova" w:eastAsia="Proxima Nova" w:hAnsi="Proxima Nova"/>
          <w:color w:val="434343"/>
          <w:sz w:val="21.989999771118164"/>
          <w:szCs w:val="21.989999771118164"/>
        </w:rPr>
      </w:pPr>
      <w:r w:rsidDel="00000000" w:rsidR="00000000" w:rsidRPr="00000000">
        <w:rPr>
          <w:rtl w:val="0"/>
        </w:rPr>
      </w:r>
    </w:p>
    <w:sectPr>
      <w:headerReference r:id="rId8" w:type="default"/>
      <w:pgSz w:h="16834" w:w="11909" w:orient="portrait"/>
      <w:pgMar w:bottom="1440.0000000000002" w:top="1440.0000000000002" w:left="1440.0000000000002" w:right="1440.0000000000002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ubik Ligh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Proxima Nova Extrabold">
    <w:embedBold w:fontKey="{00000000-0000-0000-0000-000000000000}" r:id="rId9" w:subsetted="0"/>
  </w:font>
  <w:font w:name="Proxima Nova Semibold">
    <w:embedRegular w:fontKey="{00000000-0000-0000-0000-000000000000}" r:id="rId10" w:subsetted="0"/>
    <w:embedBold w:fontKey="{00000000-0000-0000-0000-000000000000}" r:id="rId11" w:subsetted="0"/>
    <w:embedBoldItalic w:fontKey="{00000000-0000-0000-0000-000000000000}" r:id="rId12" w:subsetted="0"/>
  </w:font>
  <w:font w:name="Rubik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3">
    <w:pPr>
      <w:pageBreakBefore w:val="0"/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-1057274</wp:posOffset>
          </wp:positionH>
          <wp:positionV relativeFrom="paragraph">
            <wp:posOffset>-457199</wp:posOffset>
          </wp:positionV>
          <wp:extent cx="7707923" cy="1252538"/>
          <wp:effectExtent b="0" l="0" r="0" t="0"/>
          <wp:wrapSquare wrapText="bothSides" distB="0" distT="0" distL="0" distR="0"/>
          <wp:docPr id="3" name="image3.jpg"/>
          <a:graphic>
            <a:graphicData uri="http://schemas.openxmlformats.org/drawingml/2006/picture">
              <pic:pic>
                <pic:nvPicPr>
                  <pic:cNvPr id="0" name="image3.jp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07923" cy="1252538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ProximaNovaSemibold-bold.ttf"/><Relationship Id="rId10" Type="http://schemas.openxmlformats.org/officeDocument/2006/relationships/font" Target="fonts/ProximaNovaSemibold-regular.ttf"/><Relationship Id="rId13" Type="http://schemas.openxmlformats.org/officeDocument/2006/relationships/font" Target="fonts/Rubik-regular.ttf"/><Relationship Id="rId12" Type="http://schemas.openxmlformats.org/officeDocument/2006/relationships/font" Target="fonts/ProximaNovaSemibold-boldItalic.ttf"/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9" Type="http://schemas.openxmlformats.org/officeDocument/2006/relationships/font" Target="fonts/ProximaNovaExtrabold-bold.ttf"/><Relationship Id="rId15" Type="http://schemas.openxmlformats.org/officeDocument/2006/relationships/font" Target="fonts/Rubik-italic.ttf"/><Relationship Id="rId14" Type="http://schemas.openxmlformats.org/officeDocument/2006/relationships/font" Target="fonts/Rubik-bold.ttf"/><Relationship Id="rId16" Type="http://schemas.openxmlformats.org/officeDocument/2006/relationships/font" Target="fonts/Rubik-boldItalic.ttf"/><Relationship Id="rId5" Type="http://schemas.openxmlformats.org/officeDocument/2006/relationships/font" Target="fonts/RubikLight-regular.ttf"/><Relationship Id="rId6" Type="http://schemas.openxmlformats.org/officeDocument/2006/relationships/font" Target="fonts/RubikLight-bold.ttf"/><Relationship Id="rId7" Type="http://schemas.openxmlformats.org/officeDocument/2006/relationships/font" Target="fonts/RubikLight-italic.ttf"/><Relationship Id="rId8" Type="http://schemas.openxmlformats.org/officeDocument/2006/relationships/font" Target="fonts/RubikLight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