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Desarrollo con Spring Boot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rPr>
          <w:rFonts w:ascii="Proxima Nova Extrabold" w:cs="Proxima Nova Extrabold" w:eastAsia="Proxima Nova Extrabold" w:hAnsi="Proxima Nova Extrabold"/>
          <w:sz w:val="58"/>
          <w:szCs w:val="5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integradora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spacing w:line="273.6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3.6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3.6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273.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principal de esta práctica es 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fianzar los conocimientos vistos e implementar un manejo de excepciones adecuado.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bookmarkStart w:colFirst="0" w:colLast="0" w:name="_g8xxj0svcyza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Consigna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Un conocido Youtuber desea crear un servicio REST para manejar un blog. Dentro del blog, se pueden realizar varias operaciones y algunas de ellas pueden generar excepciones. Éstas últimas deben tratarse de una manera adecuada y devolver mensajes breves y significativos en caso de que ocurran, dado que si esto no sucede, el Youtuber puede perder seguidores.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Se debe crear una entidad llamada “EntradaBlog” con los siguientes atributos: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Id del blog.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Título del blog.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Nombre del autor.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Fecha de publicación.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La API debe ser capaz de: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Crear una nueva entrada de Blog y devolver un mensaje adecuado diciendo que ha sido creada correctamente mostrando su “Id”. (URI: /blog).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En el caso de que ya exista una entrada de blog con ese “Id”, capturar la excepción y devolver un mensaje indicando dicha situación.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Devolver la información de una entrada de Blog específico, recibiendo el “Id” del mismo. (URI: /blog/{id}).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Si el “Id” ingresado no corresponde a ninguna entrada de Blog, indicarlo con un mensaje adecuado.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Devolver el listado de todas las entradas de blogs existentes. (URI: /blogs).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360" w:lineRule="auto"/>
        <w:ind w:right="196.80000000000064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Implementar las clases de excepciones personalizadas que hagan falta.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360" w:lineRule="auto"/>
        <w:ind w:right="196.80000000000064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Manejar el tratamiento de las excepciones utilizando alguno de los métodos vistos.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360" w:lineRule="auto"/>
        <w:ind w:right="196.80000000000064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3.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1.989999771118164"/>
          <w:szCs w:val="21.989999771118164"/>
          <w:u w:val="single"/>
          <w:rtl w:val="0"/>
        </w:rPr>
        <w:t xml:space="preserve">Nota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1.989999771118164"/>
          <w:szCs w:val="21.98999977111816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 Como repositorio para guardar información se puede utilizar un HashMap&lt;Integer, BlogDTO&gt; o un List&lt;BlogDTO&gt;.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360" w:lineRule="auto"/>
        <w:ind w:right="196.80000000000064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>
        <w:rFonts w:ascii="Proxima Nova" w:cs="Proxima Nova" w:eastAsia="Proxima Nova" w:hAnsi="Proxima Nova"/>
        <w:color w:val="ffffff"/>
        <w:sz w:val="28"/>
        <w:szCs w:val="28"/>
        <w:shd w:fill="3c4043" w:val="clear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-987261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