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Desarrollo con Spring Boot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Concesionaria de autos 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tica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273.6" w:line="276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t xml:space="preserve">El objetivo de este ejercicio es que podamos afianzar y profundizar los conceptos dados hasta el momento respecto a Spring Boot.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  <w:rtl w:val="0"/>
        </w:rPr>
        <w:t xml:space="preserve">¿Are you ready?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</w:rPr>
        <w:drawing>
          <wp:inline distB="0" distT="0" distL="0" distR="0">
            <wp:extent cx="212950" cy="212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50" cy="21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  <w:drawing>
          <wp:inline distB="114300" distT="114300" distL="114300" distR="114300">
            <wp:extent cx="211385" cy="19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8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bookmarkStart w:colFirst="0" w:colLast="0" w:name="_qdcbntqr6k0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bookmarkStart w:colFirst="0" w:colLast="0" w:name="_bc5rrro73w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434343"/>
          <w:sz w:val="32"/>
          <w:szCs w:val="32"/>
        </w:rPr>
      </w:pPr>
      <w:bookmarkStart w:colFirst="0" w:colLast="0" w:name="_8jagjwokjr2b" w:id="2"/>
      <w:bookmarkEnd w:id="2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Concesionaria de Autos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-14.399999999999977" w:right="196.80000000000064" w:firstLine="0"/>
        <w:jc w:val="both"/>
        <w:rPr>
          <w:rFonts w:ascii="Rubik Light" w:cs="Rubik Light" w:eastAsia="Rubik Light" w:hAnsi="Rubik Light"/>
          <w:sz w:val="24"/>
          <w:szCs w:val="24"/>
        </w:rPr>
      </w:pPr>
      <w:r w:rsidDel="00000000" w:rsidR="00000000" w:rsidRPr="00000000">
        <w:rPr>
          <w:rFonts w:ascii="Rubik Light" w:cs="Rubik Light" w:eastAsia="Rubik Light" w:hAnsi="Rubik Light"/>
          <w:sz w:val="24"/>
          <w:szCs w:val="24"/>
          <w:rtl w:val="0"/>
        </w:rPr>
        <w:t xml:space="preserve">Una concesionaria de automóviles desea realizar un API REST que le permita realizar la carga de determinados autos usados. Para ello, necesitamos desarrollar los siguientes endpoints: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-14.399999999999977" w:right="196.80000000000064" w:firstLine="0"/>
        <w:jc w:val="both"/>
        <w:rPr>
          <w:rFonts w:ascii="Rubik Light" w:cs="Rubik Light" w:eastAsia="Rubik Light" w:hAnsi="Rubik Ligh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-14.3999999999999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4515"/>
        <w:gridCol w:w="1065"/>
        <w:gridCol w:w="2955"/>
        <w:tblGridChange w:id="0">
          <w:tblGrid>
            <w:gridCol w:w="525"/>
            <w:gridCol w:w="4515"/>
            <w:gridCol w:w="1065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ubik Light" w:cs="Rubik Light" w:eastAsia="Rubik Light" w:hAnsi="Rubik Light"/>
                <w:sz w:val="24"/>
                <w:szCs w:val="24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ubik Light" w:cs="Rubik Light" w:eastAsia="Rubik Light" w:hAnsi="Rubik Light"/>
                <w:sz w:val="24"/>
                <w:szCs w:val="24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ubik Light" w:cs="Rubik Light" w:eastAsia="Rubik Light" w:hAnsi="Rubik Light"/>
                <w:sz w:val="24"/>
                <w:szCs w:val="24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sz w:val="24"/>
                <w:szCs w:val="24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ubik Light" w:cs="Rubik Light" w:eastAsia="Rubik Light" w:hAnsi="Rubik Light"/>
                <w:sz w:val="24"/>
                <w:szCs w:val="24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ubik Light" w:cs="Rubik Light" w:eastAsia="Rubik Light" w:hAnsi="Rubik Ligh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ubik Light" w:cs="Rubik Light" w:eastAsia="Rubik Light" w:hAnsi="Rubik Light"/>
                <w:sz w:val="24"/>
                <w:szCs w:val="24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i w:val="1"/>
                <w:sz w:val="24"/>
                <w:szCs w:val="24"/>
                <w:rtl w:val="0"/>
              </w:rPr>
              <w:t xml:space="preserve">v1</w:t>
            </w:r>
            <w:r w:rsidDel="00000000" w:rsidR="00000000" w:rsidRPr="00000000">
              <w:rPr>
                <w:rFonts w:ascii="Rubik Light" w:cs="Rubik Light" w:eastAsia="Rubik Light" w:hAnsi="Rubik Light"/>
                <w:sz w:val="24"/>
                <w:szCs w:val="24"/>
                <w:rtl w:val="0"/>
              </w:rPr>
              <w:t xml:space="preserve">/api/vehicles/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ubik Light" w:cs="Rubik Light" w:eastAsia="Rubik Light" w:hAnsi="Rubik Light"/>
                <w:sz w:val="24"/>
                <w:szCs w:val="24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ubik Light" w:cs="Rubik Light" w:eastAsia="Rubik Light" w:hAnsi="Rubik Light"/>
                <w:sz w:val="24"/>
                <w:szCs w:val="24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sz w:val="24"/>
                <w:szCs w:val="24"/>
                <w:rtl w:val="0"/>
              </w:rPr>
              <w:t xml:space="preserve">Agrega un nuevo vehículo.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ubik Light" w:cs="Rubik Light" w:eastAsia="Rubik Light" w:hAnsi="Rubik Ligh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ubik Light" w:cs="Rubik Light" w:eastAsia="Rubik Light" w:hAnsi="Rubik Ligh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i w:val="1"/>
                <w:sz w:val="24"/>
                <w:szCs w:val="24"/>
                <w:rtl w:val="0"/>
              </w:rPr>
              <w:t xml:space="preserve">v1</w:t>
            </w:r>
            <w:r w:rsidDel="00000000" w:rsidR="00000000" w:rsidRPr="00000000">
              <w:rPr>
                <w:rFonts w:ascii="Rubik Light" w:cs="Rubik Light" w:eastAsia="Rubik Light" w:hAnsi="Rubik Light"/>
                <w:sz w:val="24"/>
                <w:szCs w:val="24"/>
                <w:rtl w:val="0"/>
              </w:rPr>
              <w:t xml:space="preserve">/api/vehicles/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ubik Light" w:cs="Rubik Light" w:eastAsia="Rubik Light" w:hAnsi="Rubik Light"/>
                <w:sz w:val="24"/>
                <w:szCs w:val="24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sz w:val="24"/>
                <w:szCs w:val="24"/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Fonts w:ascii="Rubik Light" w:cs="Rubik Light" w:eastAsia="Rubik Light" w:hAnsi="Rubik Light"/>
                <w:sz w:val="24"/>
                <w:szCs w:val="24"/>
                <w:rtl w:val="0"/>
              </w:rPr>
              <w:t xml:space="preserve">Retorna un listado de todos los usados seleccionados. No incluye services.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ubik Light" w:cs="Rubik Light" w:eastAsia="Rubik Light" w:hAnsi="Rubik Ligh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ubik Light" w:cs="Rubik Light" w:eastAsia="Rubik Light" w:hAnsi="Rubik Ligh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i w:val="1"/>
                <w:sz w:val="24"/>
                <w:szCs w:val="24"/>
                <w:rtl w:val="0"/>
              </w:rPr>
              <w:t xml:space="preserve">v1</w:t>
            </w:r>
            <w:r w:rsidDel="00000000" w:rsidR="00000000" w:rsidRPr="00000000">
              <w:rPr>
                <w:rFonts w:ascii="Rubik Light" w:cs="Rubik Light" w:eastAsia="Rubik Light" w:hAnsi="Rubik Light"/>
                <w:sz w:val="24"/>
                <w:szCs w:val="24"/>
                <w:rtl w:val="0"/>
              </w:rPr>
              <w:t xml:space="preserve">/api/vehicles/dates?since=’’to=’’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Rubik Light" w:cs="Rubik Light" w:eastAsia="Rubik Light" w:hAnsi="Rubik Light"/>
                <w:sz w:val="24"/>
                <w:szCs w:val="24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sz w:val="24"/>
                <w:szCs w:val="24"/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Rubik Light" w:cs="Rubik Light" w:eastAsia="Rubik Light" w:hAnsi="Rubik Light"/>
                <w:sz w:val="24"/>
                <w:szCs w:val="24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sz w:val="24"/>
                <w:szCs w:val="24"/>
                <w:rtl w:val="0"/>
              </w:rPr>
              <w:t xml:space="preserve">Retorna el listado de los vehículos según fecha de fabricación.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Rubik Light" w:cs="Rubik Light" w:eastAsia="Rubik Light" w:hAnsi="Rubik Light"/>
                <w:sz w:val="24"/>
                <w:szCs w:val="24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i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Rubik Light" w:cs="Rubik Light" w:eastAsia="Rubik Light" w:hAnsi="Rubik Light"/>
                <w:sz w:val="24"/>
                <w:szCs w:val="24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sz w:val="24"/>
                <w:szCs w:val="24"/>
                <w:rtl w:val="0"/>
              </w:rPr>
              <w:t xml:space="preserve">v1/api/vehicles/prices?since=’’to=’’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Rubik Light" w:cs="Rubik Light" w:eastAsia="Rubik Light" w:hAnsi="Rubik Light"/>
                <w:sz w:val="24"/>
                <w:szCs w:val="24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sz w:val="24"/>
                <w:szCs w:val="24"/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Rubik Light" w:cs="Rubik Light" w:eastAsia="Rubik Light" w:hAnsi="Rubik Light"/>
                <w:sz w:val="24"/>
                <w:szCs w:val="24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sz w:val="24"/>
                <w:szCs w:val="24"/>
                <w:rtl w:val="0"/>
              </w:rPr>
              <w:t xml:space="preserve">Muestra el listado de los vehículos según los precios dados.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Rubik Light" w:cs="Rubik Light" w:eastAsia="Rubik Light" w:hAnsi="Rubik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Rubik Light" w:cs="Rubik Light" w:eastAsia="Rubik Light" w:hAnsi="Rubik Light"/>
                <w:sz w:val="24"/>
                <w:szCs w:val="24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i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Rubik Light" w:cs="Rubik Light" w:eastAsia="Rubik Light" w:hAnsi="Rubik Light"/>
                <w:sz w:val="24"/>
                <w:szCs w:val="24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sz w:val="24"/>
                <w:szCs w:val="24"/>
                <w:rtl w:val="0"/>
              </w:rPr>
              <w:t xml:space="preserve">v1/api/vehicles/{id}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Rubik Light" w:cs="Rubik Light" w:eastAsia="Rubik Light" w:hAnsi="Rubik Light"/>
                <w:sz w:val="24"/>
                <w:szCs w:val="24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Rubik Light" w:cs="Rubik Light" w:eastAsia="Rubik Light" w:hAnsi="Rubik Light"/>
                <w:sz w:val="24"/>
                <w:szCs w:val="24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sz w:val="24"/>
                <w:szCs w:val="24"/>
                <w:rtl w:val="0"/>
              </w:rPr>
              <w:t xml:space="preserve">Muestra toda la información relacionada con el vehículo.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Rubik Light" w:cs="Rubik Light" w:eastAsia="Rubik Light" w:hAnsi="Rubik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before="240" w:line="240" w:lineRule="auto"/>
        <w:jc w:val="both"/>
        <w:rPr>
          <w:rFonts w:ascii="Rubik Light" w:cs="Rubik Light" w:eastAsia="Rubik Light" w:hAnsi="Rubik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240" w:line="240" w:lineRule="auto"/>
        <w:jc w:val="both"/>
        <w:rPr>
          <w:rFonts w:ascii="Rubik Light" w:cs="Rubik Light" w:eastAsia="Rubik Light" w:hAnsi="Rubik Light"/>
          <w:sz w:val="24"/>
          <w:szCs w:val="24"/>
        </w:rPr>
      </w:pPr>
      <w:r w:rsidDel="00000000" w:rsidR="00000000" w:rsidRPr="00000000">
        <w:rPr>
          <w:rFonts w:ascii="Rubik Light" w:cs="Rubik Light" w:eastAsia="Rubik Light" w:hAnsi="Rubik Light"/>
          <w:sz w:val="24"/>
          <w:szCs w:val="24"/>
          <w:rtl w:val="0"/>
        </w:rPr>
        <w:t xml:space="preserve">Dado que el dueño de la concesionaria es un cliente muy exigente, se sugiere realizar buenas prácticas de programación como por ejemplo la separación del proyecto según la Arquitectura Multicapas.</w:t>
      </w:r>
    </w:p>
    <w:p w:rsidR="00000000" w:rsidDel="00000000" w:rsidP="00000000" w:rsidRDefault="00000000" w:rsidRPr="00000000" w14:paraId="00000038">
      <w:pPr>
        <w:widowControl w:val="0"/>
        <w:spacing w:before="240" w:line="240" w:lineRule="auto"/>
        <w:jc w:val="both"/>
        <w:rPr>
          <w:rFonts w:ascii="Rubik Light" w:cs="Rubik Light" w:eastAsia="Rubik Light" w:hAnsi="Rubik Light"/>
          <w:sz w:val="24"/>
          <w:szCs w:val="24"/>
        </w:rPr>
      </w:pPr>
      <w:r w:rsidDel="00000000" w:rsidR="00000000" w:rsidRPr="00000000">
        <w:rPr>
          <w:rFonts w:ascii="Rubik Light" w:cs="Rubik Light" w:eastAsia="Rubik Light" w:hAnsi="Rubik Light"/>
          <w:sz w:val="24"/>
          <w:szCs w:val="24"/>
          <w:rtl w:val="0"/>
        </w:rPr>
        <w:t xml:space="preserve">Tener en cuenta que por el momento, al no estar trabajando con bases de datos, podemos implementar collections (listas, arraylists, etc) para manejar los CRUD de manera lógica.</w:t>
      </w:r>
    </w:p>
    <w:p w:rsidR="00000000" w:rsidDel="00000000" w:rsidP="00000000" w:rsidRDefault="00000000" w:rsidRPr="00000000" w14:paraId="00000039">
      <w:pPr>
        <w:widowControl w:val="0"/>
        <w:spacing w:before="240" w:line="240" w:lineRule="auto"/>
        <w:jc w:val="both"/>
        <w:rPr>
          <w:rFonts w:ascii="Rubik Light" w:cs="Rubik Light" w:eastAsia="Rubik Light" w:hAnsi="Rubik Light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240" w:line="240" w:lineRule="auto"/>
        <w:jc w:val="both"/>
        <w:rPr>
          <w:rFonts w:ascii="Rubik Light" w:cs="Rubik Light" w:eastAsia="Rubik Light" w:hAnsi="Rubik Light"/>
          <w:sz w:val="24"/>
          <w:szCs w:val="24"/>
        </w:rPr>
      </w:pPr>
      <w:r w:rsidDel="00000000" w:rsidR="00000000" w:rsidRPr="00000000">
        <w:rPr>
          <w:rFonts w:ascii="Rubik Light" w:cs="Rubik Light" w:eastAsia="Rubik Light" w:hAnsi="Rubik Light"/>
          <w:sz w:val="24"/>
          <w:szCs w:val="24"/>
          <w:rtl w:val="0"/>
        </w:rPr>
        <w:t xml:space="preserve">Por otro lado, un analista funcional nos proporciona el siguiente Payload de ejemplo para tener en cuenta a la hora de realizar un alta mediante el método POST:</w:t>
      </w:r>
    </w:p>
    <w:p w:rsidR="00000000" w:rsidDel="00000000" w:rsidP="00000000" w:rsidRDefault="00000000" w:rsidRPr="00000000" w14:paraId="0000003B">
      <w:pPr>
        <w:widowControl w:val="0"/>
        <w:spacing w:before="240" w:line="240" w:lineRule="auto"/>
        <w:jc w:val="center"/>
        <w:rPr>
          <w:rFonts w:ascii="Rubik Light" w:cs="Rubik Light" w:eastAsia="Rubik Light" w:hAnsi="Rubik Light"/>
          <w:sz w:val="24"/>
          <w:szCs w:val="24"/>
        </w:rPr>
      </w:pPr>
      <w:r w:rsidDel="00000000" w:rsidR="00000000" w:rsidRPr="00000000">
        <w:rPr>
          <w:rFonts w:ascii="Rubik Light" w:cs="Rubik Light" w:eastAsia="Rubik Light" w:hAnsi="Rubik Light"/>
          <w:sz w:val="24"/>
          <w:szCs w:val="24"/>
        </w:rPr>
        <w:drawing>
          <wp:inline distB="114300" distT="114300" distL="114300" distR="114300">
            <wp:extent cx="3390900" cy="2990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240" w:line="240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Rubik Light" w:cs="Rubik Light" w:eastAsia="Rubik Light" w:hAnsi="Rubik Light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ubik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roxima Nova Extrabold">
    <w:embedBold w:fontKey="{00000000-0000-0000-0000-000000000000}" r:id="rId9" w:subsetted="0"/>
  </w:font>
  <w:font w:name="Proxima Nova Semibold">
    <w:embedRegular w:fontKey="{00000000-0000-0000-0000-000000000000}" r:id="rId10" w:subsetted="0"/>
    <w:embedBold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-981074</wp:posOffset>
          </wp:positionH>
          <wp:positionV relativeFrom="paragraph">
            <wp:posOffset>-457199</wp:posOffset>
          </wp:positionV>
          <wp:extent cx="7707923" cy="1252538"/>
          <wp:effectExtent b="0" l="0" r="0" t="0"/>
          <wp:wrapSquare wrapText="bothSides" distB="0" distT="0" distL="0" distR="0"/>
          <wp:docPr id="6" name="image6.jpg"/>
          <a:graphic>
            <a:graphicData uri="http://schemas.openxmlformats.org/drawingml/2006/picture">
              <pic:pic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ProximaNovaSemibold-bold.ttf"/><Relationship Id="rId10" Type="http://schemas.openxmlformats.org/officeDocument/2006/relationships/font" Target="fonts/ProximaNovaSemibold-regular.ttf"/><Relationship Id="rId12" Type="http://schemas.openxmlformats.org/officeDocument/2006/relationships/font" Target="fonts/ProximaNovaSemibold-boldItalic.ttf"/><Relationship Id="rId9" Type="http://schemas.openxmlformats.org/officeDocument/2006/relationships/font" Target="fonts/ProximaNovaExtrabold-bold.ttf"/><Relationship Id="rId5" Type="http://schemas.openxmlformats.org/officeDocument/2006/relationships/font" Target="fonts/RubikLight-regular.ttf"/><Relationship Id="rId6" Type="http://schemas.openxmlformats.org/officeDocument/2006/relationships/font" Target="fonts/RubikLight-bold.ttf"/><Relationship Id="rId7" Type="http://schemas.openxmlformats.org/officeDocument/2006/relationships/font" Target="fonts/RubikLight-italic.ttf"/><Relationship Id="rId8" Type="http://schemas.openxmlformats.org/officeDocument/2006/relationships/font" Target="fonts/Rubik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