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Proxima Nova" w:cs="Proxima Nova" w:eastAsia="Proxima Nova" w:hAnsi="Proxima Nova"/>
          <w:color w:val="ffffff"/>
          <w:sz w:val="24"/>
          <w:szCs w:val="24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Desarrollo con Spring Boot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Calculadora de Calorías </w:t>
      </w:r>
      <w:r w:rsidDel="00000000" w:rsidR="00000000" w:rsidRPr="00000000">
        <w:rPr>
          <w:rFonts w:ascii="Proxima Nova Extrabold" w:cs="Proxima Nova Extrabold" w:eastAsia="Proxima Nova Extrabold" w:hAnsi="Proxima Nova Extrabold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tica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Grupal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pageBreakBefore w:val="0"/>
        <w:widowControl w:val="0"/>
        <w:spacing w:before="273.6" w:line="276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1.989999771118164"/>
          <w:szCs w:val="21.989999771118164"/>
          <w:rtl w:val="0"/>
        </w:rPr>
        <w:t xml:space="preserve">El objetivo de este ejercicio es que podamos afianzar y profundizar los conceptos sobre las anotaciones @Repository y @Service. Para esto vamos a plantear un ejercicio que nos permitirá repasar los temas que estudiamos. </w:t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  <w:rtl w:val="0"/>
        </w:rPr>
        <w:t xml:space="preserve">¿Are you ready?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</w:rPr>
        <w:drawing>
          <wp:inline distB="0" distT="0" distL="0" distR="0">
            <wp:extent cx="212950" cy="2129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950" cy="21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  <w:drawing>
          <wp:inline distB="114300" distT="114300" distL="114300" distR="114300">
            <wp:extent cx="211385" cy="190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38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ageBreakBefore w:val="0"/>
        <w:widowControl w:val="0"/>
        <w:spacing w:after="0" w:before="273.6" w:line="360" w:lineRule="auto"/>
        <w:ind w:left="-14.399999999999977" w:right="196.80000000000064" w:firstLine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bookmarkStart w:colFirst="0" w:colLast="0" w:name="_qdcbntqr6k0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ageBreakBefore w:val="0"/>
        <w:widowControl w:val="0"/>
        <w:spacing w:after="0" w:before="273.6" w:line="360" w:lineRule="auto"/>
        <w:ind w:left="-14.399999999999977" w:right="196.80000000000064" w:firstLine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bookmarkStart w:colFirst="0" w:colLast="0" w:name="_bc5rrro73w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ageBreakBefore w:val="0"/>
        <w:widowControl w:val="0"/>
        <w:spacing w:after="0" w:before="273.6" w:line="360" w:lineRule="auto"/>
        <w:ind w:left="-14.399999999999977" w:right="196.80000000000064" w:firstLine="0"/>
        <w:rPr>
          <w:rFonts w:ascii="Proxima Nova" w:cs="Proxima Nova" w:eastAsia="Proxima Nova" w:hAnsi="Proxima Nova"/>
          <w:color w:val="434343"/>
          <w:sz w:val="32"/>
          <w:szCs w:val="32"/>
        </w:rPr>
      </w:pPr>
      <w:bookmarkStart w:colFirst="0" w:colLast="0" w:name="_8jagjwokjr2b" w:id="2"/>
      <w:bookmarkEnd w:id="2"/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Ejercicio 1: Calculadora de Calorías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335.99999999999994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Un restaurante desea poder ofrecer a sus potenciales comensales la posibilidad de conocer los ingredientes y calorías de cada uno de los platos que se encuentran en su menú. Para esto, necesita el desarrollo de una API que a partir de la recepción de un plato del menú (brindando nombre y peso en gramos) sea capaz de retornar:</w:t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335.99999999999994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1"/>
        </w:numPr>
        <w:spacing w:line="335.99999999999994" w:lineRule="auto"/>
        <w:ind w:left="720" w:right="196.80000000000064" w:hanging="36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Cantidad total de calorías del plato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1"/>
        </w:numPr>
        <w:spacing w:line="335.99999999999994" w:lineRule="auto"/>
        <w:ind w:left="720" w:right="196.80000000000064" w:hanging="36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Lista de ingredientes que lo conforman y cantidad de calorías de cada uno de ellos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1"/>
        </w:numPr>
        <w:spacing w:line="335.99999999999994" w:lineRule="auto"/>
        <w:ind w:left="720" w:right="196.80000000000064" w:hanging="36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El ingrediente con mayor cantidad de calorías</w:t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335.99999999999994" w:lineRule="auto"/>
        <w:ind w:left="0" w:right="196.80000000000064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335.99999999999994" w:lineRule="auto"/>
        <w:ind w:left="0" w:right="196.80000000000064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Bonus: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Por otra parte, el dueño del restaurante está interesado en la posibilidad de que sus clientes, además de enviar plato por plato, puedan enviar una lista de platos y obtener estos mismos puntos diferenciados por cada uno de los platos brindados.</w:t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335.99999999999994" w:lineRule="auto"/>
        <w:ind w:left="0" w:right="196.80000000000064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335.99999999999994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Para facilitar toda esta tarea, el dueño facilitó el archivo 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food.json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como base de datos a ser utilizada.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Proxima Nova Semibold">
    <w:embedRegular w:fontKey="{00000000-0000-0000-0000-000000000000}" r:id="rId6" w:subsetted="0"/>
    <w:embedBold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jc w:val="right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Fonts w:ascii="Proxima Nova" w:cs="Proxima Nova" w:eastAsia="Proxima Nova" w:hAnsi="Proxima Nova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-981074</wp:posOffset>
          </wp:positionH>
          <wp:positionV relativeFrom="paragraph">
            <wp:posOffset>-457199</wp:posOffset>
          </wp:positionV>
          <wp:extent cx="7707923" cy="1252538"/>
          <wp:effectExtent b="0" l="0" r="0" t="0"/>
          <wp:wrapSquare wrapText="bothSides" distB="0" distT="0" distL="0" distR="0"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ProximaNovaSemibold-regular.ttf"/><Relationship Id="rId7" Type="http://schemas.openxmlformats.org/officeDocument/2006/relationships/font" Target="fonts/ProximaNovaSemibold-bold.ttf"/><Relationship Id="rId8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