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001.5624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A">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B">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E">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F">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A">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1">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4">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4">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5">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6">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A">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4">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5">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7">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C">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/products/promo-post/list?user_id={userId}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post_id</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product_name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has_promo</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D8">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3yHDUbWDWVYGzOXocaQlO5Znw==">AMUW2mUw6/zJYrJMqS3MZrtJiyPnRsOlv4AAVxDBWfzvX7TtO3+kbNff+p3hEEdXWwLEwIfCX/F/K0pGwMJvo4OWDazK3bZzaZRc7HDTttjSGkO0ltaIj+0=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