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CITTitle"/>
      </w:pPr>
      <w:r>
        <w:t xml:space="preserve">United States</w:t>
      </w:r>
    </w:p>
    <w:p>
      <w:pPr>
        <w:pStyle w:val="CITMeta"/>
      </w:pPr>
      <w:r>
        <w:t xml:space="preserve">Version 2 · exported for review · do not edit outside the boxes</w:t>
      </w:r>
    </w:p>
    <w:p>
      <w:pPr>
        <w:pStyle w:val="CITH1"/>
      </w:pPr>
      <w:r>
        <w:t xml:space="preserve">Drivers</w:t>
      </w:r>
    </w:p>
    <w:p>
      <w:pPr>
        <w:pStyle w:val="CITH2"/>
      </w:pPr>
      <w:r>
        <w:t xml:space="preserve">Regime</w:t>
      </w:r>
    </w:p>
    <w:sdt>
      <w:sdtPr>
        <w:alias w:val="Trend growth"/>
        <w:tag w:val="sub|drivers/regime/trend-growth"/>
        <w:id w:val="1006"/>
        <w:lock w:val="sdtLocked"/>
      </w:sdtPr>
      <w:sdtContent>
        <w:p>
          <w:pPr>
            <w:pStyle w:val="CITH3"/>
          </w:pPr>
          <w:r>
            <w:t xml:space="preserve">Trend growth</w:t>
          </w:r>
        </w:p>
        <w:sdt>
          <w:sdtPr>
            <w:alias w:val="AI capex is now the growth engine, and the concentration risk"/>
            <w:tag w:val="issue|drivers/regime/trend-growth|iss-us-tg1"/>
            <w:id w:val="1002"/>
            <w:lock w:val="sdtLocked"/>
          </w:sdtPr>
          <w:sdtContent>
            <w:sdt>
              <w:sdtPr>
                <w:alias w:val="Title"/>
                <w:tag w:val="field|title"/>
                <w:id w:val="1000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AI capex is now the growth engine, and the concentration risk</w:t>
                  </w:r>
                </w:p>
              </w:sdtContent>
            </w:sdt>
            <w:sdt>
              <w:sdtPr>
                <w:alias w:val="View"/>
                <w:tag w:val="field|text"/>
                <w:id w:val="1001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Investment in data centres, power and chips is running at something like 2-2.5% of GDP and has carried GDP growth through the tariff and oil shocks; ex-AI, the economy is close to stall speed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Financing has migrated from hyperscaler cash flow to bonds and private credit, so a capex pause would hit both growth and credit markets at once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Working assumption: potential growth around 2% while the productivity dividend is still mostly promise; hours worked and non-residential investment are the tells</w:t>
                  </w:r>
                </w:p>
              </w:sdtContent>
            </w:sdt>
          </w:sdtContent>
        </w:sdt>
        <w:sdt>
          <w:sdtPr>
            <w:alias w:val="Labour supply is the binding constraint"/>
            <w:tag w:val="issue|drivers/regime/trend-growth|iss-us-tg2"/>
            <w:id w:val="1005"/>
            <w:lock w:val="sdtLocked"/>
          </w:sdtPr>
          <w:sdtContent>
            <w:sdt>
              <w:sdtPr>
                <w:alias w:val="Title"/>
                <w:tag w:val="field|title"/>
                <w:id w:val="1003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Labour supply is the binding constraint</w:t>
                  </w:r>
                </w:p>
              </w:sdtContent>
            </w:sdt>
            <w:sdt>
              <w:sdtPr>
                <w:alias w:val="View"/>
                <w:tag w:val="field|text"/>
                <w:id w:val="1004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Immigration enforcement has cut labour-force growth to a trickle; payrolls in the 50-150k range are now consistent with a flat unemployment rate (4.1% in August)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A low-churn market: few layoffs, few hires, long-term unemployment share at a five-year high, wage growth down to about 3% and below headline inflation for four months running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Implication: break-even payroll growth is much lower than markets are used to, and a downturn would show up in hours and participation before it shows in the unemployment rate</w:t>
                  </w:r>
                </w:p>
              </w:sdtContent>
            </w:sdt>
          </w:sdtContent>
        </w:sdt>
      </w:sdtContent>
    </w:sdt>
    <w:sdt>
      <w:sdtPr>
        <w:alias w:val="Trend inflation"/>
        <w:tag w:val="sub|drivers/regime/trend-inflation"/>
        <w:id w:val="1010"/>
        <w:lock w:val="sdtLocked"/>
      </w:sdtPr>
      <w:sdtContent>
        <w:p>
          <w:pPr>
            <w:pStyle w:val="CITH3"/>
          </w:pPr>
          <w:r>
            <w:t xml:space="preserve">Trend inflation</w:t>
          </w:r>
        </w:p>
        <w:sdt>
          <w:sdtPr>
            <w:alias w:val="Oil shock on top of tariff pass-through"/>
            <w:tag w:val="issue|drivers/regime/trend-inflation|iss-us-ti1"/>
            <w:id w:val="1009"/>
            <w:lock w:val="sdtLocked"/>
          </w:sdtPr>
          <w:sdtContent>
            <w:sdt>
              <w:sdtPr>
                <w:alias w:val="Title"/>
                <w:tag w:val="field|title"/>
                <w:id w:val="1007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Oil shock on top of tariff pass-through</w:t>
                  </w:r>
                </w:p>
              </w:sdtContent>
            </w:sdt>
            <w:sdt>
              <w:sdtPr>
                <w:alias w:val="View"/>
                <w:tag w:val="field|text"/>
                <w:id w:val="1008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Headline CPI is stuck at 3.4% with gasoline at record nominal highs after the Hormuz closure; core has cooled to the low 2s as goods pass-through from 2025 tariffs fades and shelter decelerates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risk is second-round effects: short-horizon inflation expectations are elevated and real wages are falling, which is the classic set-up for wage catch-up demands in 2027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We assume trend inflation settles near 2.5-3% rather than 2%, with the energy path the swing factor</w:t>
                  </w:r>
                </w:p>
              </w:sdtContent>
            </w:sdt>
          </w:sdtContent>
        </w:sdt>
      </w:sdtContent>
    </w:sdt>
    <w:p>
      <w:pPr>
        <w:pStyle w:val="CITH2"/>
      </w:pPr>
      <w:r>
        <w:t xml:space="preserve">Policy</w:t>
      </w:r>
    </w:p>
    <w:sdt>
      <w:sdtPr>
        <w:alias w:val="Monetary"/>
        <w:tag w:val="sub|drivers/policy/monetary"/>
        <w:id w:val="1017"/>
        <w:lock w:val="sdtLocked"/>
      </w:sdtPr>
      <w:sdtContent>
        <w:p>
          <w:pPr>
            <w:pStyle w:val="CITH3"/>
          </w:pPr>
          <w:r>
            <w:t xml:space="preserve">Monetary</w:t>
          </w:r>
        </w:p>
        <w:sdt>
          <w:sdtPr>
            <w:alias w:val="Warsh Fed facing a hike into a slowing economy"/>
            <w:tag w:val="issue|drivers/policy/monetary|iss-us-mo1"/>
            <w:id w:val="1013"/>
            <w:lock w:val="sdtLocked"/>
          </w:sdtPr>
          <w:sdtContent>
            <w:sdt>
              <w:sdtPr>
                <w:alias w:val="Title"/>
                <w:tag w:val="field|title"/>
                <w:id w:val="1011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Warsh Fed facing a hike into a slowing economy</w:t>
                  </w:r>
                </w:p>
              </w:sdtContent>
            </w:sdt>
            <w:sdt>
              <w:sdtPr>
                <w:alias w:val="View"/>
                <w:tag w:val="field|text"/>
                <w:id w:val="1012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Funds rate at 3.50-3.75% after the July 9-3 hold; three dissents for a hike, and markets price roughly two-thirds odds of a 25bp increase on 16 September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committee is split between looking through a supply shock and defending credibility after leaving rates unchanged into rising headline inflation; Hammack and others have floated multiple hikes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Watch: the September dots, whether Warsh frames any hike as insurance or the start of a cycle, and the balance-sheet language (reserve-management purchases have been keeping front-end funding calm)</w:t>
                  </w:r>
                </w:p>
              </w:sdtContent>
            </w:sdt>
          </w:sdtContent>
        </w:sdt>
        <w:sdt>
          <w:sdtPr>
            <w:alias w:val="Independence and the reaction function"/>
            <w:tag w:val="issue|drivers/policy/monetary|iss-us-mo2"/>
            <w:id w:val="1016"/>
            <w:lock w:val="sdtLocked"/>
          </w:sdtPr>
          <w:sdtContent>
            <w:sdt>
              <w:sdtPr>
                <w:alias w:val="Title"/>
                <w:tag w:val="field|title"/>
                <w:id w:val="1014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Independence and the reaction function</w:t>
                  </w:r>
                </w:p>
              </w:sdtContent>
            </w:sdt>
            <w:sdt>
              <w:sdtPr>
                <w:alias w:val="View"/>
                <w:tag w:val="field|text"/>
                <w:id w:val="1015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2026 chair transition went through without the institutional rupture markets feared, but the administration's preference for lower rates is public and the committee's composition has shifted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Our read: the reaction function is more tolerant of inflation than in 2022 but not captured; the term premium is where markets express doubt, not the front end</w:t>
                  </w:r>
                </w:p>
              </w:sdtContent>
            </w:sdt>
          </w:sdtContent>
        </w:sdt>
      </w:sdtContent>
    </w:sdt>
    <w:sdt>
      <w:sdtPr>
        <w:alias w:val="Fiscal"/>
        <w:tag w:val="sub|drivers/policy/fiscal"/>
        <w:id w:val="1021"/>
        <w:lock w:val="sdtLocked"/>
      </w:sdtPr>
      <w:sdtContent>
        <w:p>
          <w:pPr>
            <w:pStyle w:val="CITH3"/>
          </w:pPr>
          <w:r>
            <w:t xml:space="preserve">Fiscal</w:t>
          </w:r>
        </w:p>
        <w:sdt>
          <w:sdtPr>
            <w:alias w:val="Deficit near 6-7% of GDP and losing its tariff crutch"/>
            <w:tag w:val="issue|drivers/policy/fiscal|iss-us-fi1"/>
            <w:id w:val="1020"/>
            <w:lock w:val="sdtLocked"/>
          </w:sdtPr>
          <w:sdtContent>
            <w:sdt>
              <w:sdtPr>
                <w:alias w:val="Title"/>
                <w:tag w:val="field|title"/>
                <w:id w:val="1018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Deficit near 6-7% of GDP and losing its tariff crutch</w:t>
                  </w:r>
                </w:p>
              </w:sdtContent>
            </w:sdt>
            <w:sdt>
              <w:sdtPr>
                <w:alias w:val="View"/>
                <w:tag w:val="field|text"/>
                <w:id w:val="1019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2025 tax package locked in a structural deficit; the Supreme Court's February ruling voided IEEPA tariff revenue and triggered refunds, and the replacement 10-12.5% Section 301 tariffs on 60 economies raise less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Treasury keeps skewing issuance to bills to limit duration supply; that caps term premium today at the cost of rollover risk and growing dependence on money funds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Higher oil raises the deficit further via indexed programmes and lower real growth; no consolidation is plausible before the 2028 cycle</w:t>
                  </w:r>
                </w:p>
              </w:sdtContent>
            </w:sdt>
          </w:sdtContent>
        </w:sdt>
      </w:sdtContent>
    </w:sdt>
    <w:p>
      <w:pPr>
        <w:pStyle w:val="CITH2"/>
      </w:pPr>
      <w:r>
        <w:t xml:space="preserve">Imbalances</w:t>
      </w:r>
    </w:p>
    <w:sdt>
      <w:sdtPr>
        <w:alias w:val="Domestic"/>
        <w:tag w:val="sub|drivers/imbalances/domestic"/>
        <w:id w:val="1028"/>
        <w:lock w:val="sdtLocked"/>
      </w:sdtPr>
      <w:sdtContent>
        <w:p>
          <w:pPr>
            <w:pStyle w:val="CITH3"/>
          </w:pPr>
          <w:r>
            <w:t xml:space="preserve">Domestic</w:t>
          </w:r>
        </w:p>
        <w:sdt>
          <w:sdtPr>
            <w:alias w:val="Two-speed households"/>
            <w:tag w:val="issue|drivers/imbalances/domestic|iss-us-do1"/>
            <w:id w:val="1024"/>
            <w:lock w:val="sdtLocked"/>
          </w:sdtPr>
          <w:sdtContent>
            <w:sdt>
              <w:sdtPr>
                <w:alias w:val="Title"/>
                <w:tag w:val="field|title"/>
                <w:id w:val="1022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Two-speed households</w:t>
                  </w:r>
                </w:p>
              </w:sdtContent>
            </w:sdt>
            <w:sdt>
              <w:sdtPr>
                <w:alias w:val="View"/>
                <w:tag w:val="field|text"/>
                <w:id w:val="1023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Consumption is being carried by the top of the income distribution on equity wealth; lower-income cohorts are squeezed by $4-plus gasoline, tariff-driven goods prices and rising card delinquencies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transmission channel that matters is asset prices: an equity correction would hit the only cohort still spending freely</w:t>
                  </w:r>
                </w:p>
              </w:sdtContent>
            </w:sdt>
          </w:sdtContent>
        </w:sdt>
        <w:sdt>
          <w:sdtPr>
            <w:alias w:val="Corporate margins under a cost squeeze"/>
            <w:tag w:val="issue|drivers/imbalances/domestic|iss-us-do2"/>
            <w:id w:val="1027"/>
            <w:lock w:val="sdtLocked"/>
          </w:sdtPr>
          <w:sdtContent>
            <w:sdt>
              <w:sdtPr>
                <w:alias w:val="Title"/>
                <w:tag w:val="field|title"/>
                <w:id w:val="1025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Corporate margins under a cost squeeze</w:t>
                  </w:r>
                </w:p>
              </w:sdtContent>
            </w:sdt>
            <w:sdt>
              <w:sdtPr>
                <w:alias w:val="View"/>
                <w:tag w:val="field|text"/>
                <w:id w:val="1026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Tariffs, energy and a tight labour market are compressing margins outside the AI complex; an earnings recession is already visible in consumer discretionary and industrials</w:t>
                  </w:r>
                </w:p>
              </w:sdtContent>
            </w:sdt>
          </w:sdtContent>
        </w:sdt>
      </w:sdtContent>
    </w:sdt>
    <w:sdt>
      <w:sdtPr>
        <w:alias w:val="External"/>
        <w:tag w:val="sub|drivers/imbalances/external"/>
        <w:id w:val="1032"/>
        <w:lock w:val="sdtLocked"/>
      </w:sdtPr>
      <w:sdtContent>
        <w:p>
          <w:pPr>
            <w:pStyle w:val="CITH3"/>
          </w:pPr>
          <w:r>
            <w:t xml:space="preserve">External</w:t>
          </w:r>
        </w:p>
        <w:sdt>
          <w:sdtPr>
            <w:alias w:val="Dollar has lost its reflexive safe-haven bid"/>
            <w:tag w:val="issue|drivers/imbalances/external|iss-us-ex1"/>
            <w:id w:val="1031"/>
            <w:lock w:val="sdtLocked"/>
          </w:sdtPr>
          <w:sdtContent>
            <w:sdt>
              <w:sdtPr>
                <w:alias w:val="Title"/>
                <w:tag w:val="field|title"/>
                <w:id w:val="1029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Dollar has lost its reflexive safe-haven bid</w:t>
                  </w:r>
                </w:p>
              </w:sdtContent>
            </w:sdt>
            <w:sdt>
              <w:sdtPr>
                <w:alias w:val="View"/>
                <w:tag w:val="field|text"/>
                <w:id w:val="1030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dollar did not rally on the Iran war the way it did in 2022; foreign official demand for Treasuries is slower and more price sensitive, and the euro and yen have both strengthened on repatriation flows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current account is narrowing as tariffs compress imports, but the financing question (who absorbs record Treasury supply at a lower dollar) is the live one</w:t>
                  </w:r>
                </w:p>
              </w:sdtContent>
            </w:sdt>
          </w:sdtContent>
        </w:sdt>
      </w:sdtContent>
    </w:sdt>
    <w:sdt>
      <w:sdtPr>
        <w:alias w:val="Credit"/>
        <w:tag w:val="sub|drivers/imbalances/credit"/>
        <w:id w:val="1036"/>
        <w:lock w:val="sdtLocked"/>
      </w:sdtPr>
      <w:sdtContent>
        <w:p>
          <w:pPr>
            <w:pStyle w:val="CITH3"/>
          </w:pPr>
          <w:r>
            <w:t xml:space="preserve">Credit</w:t>
          </w:r>
        </w:p>
        <w:sdt>
          <w:sdtPr>
            <w:alias w:val="Private credit is the AI financing plumbing"/>
            <w:tag w:val="issue|drivers/imbalances/credit|iss-us-cr1"/>
            <w:id w:val="1035"/>
            <w:lock w:val="sdtLocked"/>
          </w:sdtPr>
          <w:sdtContent>
            <w:sdt>
              <w:sdtPr>
                <w:alias w:val="Title"/>
                <w:tag w:val="field|title"/>
                <w:id w:val="1033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Private credit is the AI financing plumbing</w:t>
                  </w:r>
                </w:p>
              </w:sdtContent>
            </w:sdt>
            <w:sdt>
              <w:sdtPr>
                <w:alias w:val="View"/>
                <w:tag w:val="field|text"/>
                <w:id w:val="1034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Private credit has absorbed the leveraged-loan market and now a large share of data-centre and power project finance; opacity, not aggregate size, is the concern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Stress would surface first in redemption gates and mark-downs at private funds, then in bank lines to those funds; the sector has not been tested by a capex downturn</w:t>
                  </w:r>
                </w:p>
              </w:sdtContent>
            </w:sdt>
          </w:sdtContent>
        </w:sdt>
      </w:sdtContent>
    </w:sdt>
    <w:p>
      <w:pPr>
        <w:pStyle w:val="CITH2"/>
      </w:pPr>
      <w:r>
        <w:t xml:space="preserve">Geopolitics</w:t>
      </w:r>
    </w:p>
    <w:sdt>
      <w:sdtPr>
        <w:alias w:val="Domestic"/>
        <w:tag w:val="sub|drivers/geopolitics/domestic"/>
        <w:id w:val="1040"/>
        <w:lock w:val="sdtLocked"/>
      </w:sdtPr>
      <w:sdtContent>
        <w:p>
          <w:pPr>
            <w:pStyle w:val="CITH3"/>
          </w:pPr>
          <w:r>
            <w:t xml:space="preserve">Domestic</w:t>
          </w:r>
        </w:p>
        <w:sdt>
          <w:sdtPr>
            <w:alias w:val="Midterms and the policy volatility premium"/>
            <w:tag w:val="issue|drivers/geopolitics/domestic|iss-us-gd1"/>
            <w:id w:val="1039"/>
            <w:lock w:val="sdtLocked"/>
          </w:sdtPr>
          <w:sdtContent>
            <w:sdt>
              <w:sdtPr>
                <w:alias w:val="Title"/>
                <w:tag w:val="field|title"/>
                <w:id w:val="1037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Midterms and the policy volatility premium</w:t>
                  </w:r>
                </w:p>
              </w:sdtContent>
            </w:sdt>
            <w:sdt>
              <w:sdtPr>
                <w:alias w:val="View"/>
                <w:tag w:val="field|text"/>
                <w:id w:val="1038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November midterms are being fought on the cost of living; a Democratic House would end the legislative agenda and raise the odds of investigations, but tariff and regulatory policy would still move by executive action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Congress is also stirring on trade powers (bills to restrain 122, 232 and 301 authority); a real transfer of authority back to Congress would be a structural change in policy risk</w:t>
                  </w:r>
                </w:p>
              </w:sdtContent>
            </w:sdt>
          </w:sdtContent>
        </w:sdt>
      </w:sdtContent>
    </w:sdt>
    <w:sdt>
      <w:sdtPr>
        <w:alias w:val="International"/>
        <w:tag w:val="sub|drivers/geopolitics/international"/>
        <w:id w:val="1047"/>
        <w:lock w:val="sdtLocked"/>
      </w:sdtPr>
      <w:sdtContent>
        <w:p>
          <w:pPr>
            <w:pStyle w:val="CITH3"/>
          </w:pPr>
          <w:r>
            <w:t xml:space="preserve">International</w:t>
          </w:r>
        </w:p>
        <w:sdt>
          <w:sdtPr>
            <w:alias w:val="Iran war, Hormuz and the energy price regime"/>
            <w:tag w:val="issue|drivers/geopolitics/international|iss-us-gi1"/>
            <w:id w:val="1043"/>
            <w:lock w:val="sdtLocked"/>
          </w:sdtPr>
          <w:sdtContent>
            <w:sdt>
              <w:sdtPr>
                <w:alias w:val="Title"/>
                <w:tag w:val="field|title"/>
                <w:id w:val="1041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Iran war, Hormuz and the energy price regime</w:t>
                  </w:r>
                </w:p>
              </w:sdtContent>
            </w:sdt>
            <w:sdt>
              <w:sdtPr>
                <w:alias w:val="View"/>
                <w:tag w:val="field|text"/>
                <w:id w:val="1042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Strait has been effectively contested since late February; a June US-Iran MOU reopened it partially, fighting resumed in September and Brent is back near $100 with Iran-Gulf talks pending in Oman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EIA does not expect Gulf output to normalise before 2027; the US is the relative winner as an energy exporter, but the consumer and the Fed pay first</w:t>
                  </w:r>
                </w:p>
              </w:sdtContent>
            </w:sdt>
          </w:sdtContent>
        </w:sdt>
        <w:sdt>
          <w:sdtPr>
            <w:alias w:val="Tariff regime is fragmenting into 232 and 301 tools"/>
            <w:tag w:val="issue|drivers/geopolitics/international|iss-us-gi2"/>
            <w:id w:val="1046"/>
            <w:lock w:val="sdtLocked"/>
          </w:sdtPr>
          <w:sdtContent>
            <w:sdt>
              <w:sdtPr>
                <w:alias w:val="Title"/>
                <w:tag w:val="field|title"/>
                <w:id w:val="1044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Tariff regime is fragmenting into 232 and 301 tools</w:t>
                  </w:r>
                </w:p>
              </w:sdtContent>
            </w:sdt>
            <w:sdt>
              <w:sdtPr>
                <w:alias w:val="View"/>
                <w:tag w:val="field|text"/>
                <w:id w:val="1045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After IEEPA and Section 122 fell, the administration rebuilt the tariff wall with sectoral 232 actions (metals, 100% on patented pharma, autos, chips) and country 301 actions; the EU has a negotiated 15% ceiling, USMCA goods are exempt, China sits under the Busan and Beijing truce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marginal news is now about excess-capacity investigations and exemptions rather than headline rates; effective tariff rate around 11%, the highest since the 1940s</w:t>
                  </w:r>
                </w:p>
              </w:sdtContent>
            </w:sdt>
          </w:sdtContent>
        </w:sdt>
      </w:sdtContent>
    </w:sdt>
    <w:p>
      <w:pPr>
        <w:pStyle w:val="CITH1"/>
      </w:pPr>
      <w:r>
        <w:t xml:space="preserve">Scenarios &amp; signposts</w:t>
      </w:r>
    </w:p>
    <w:p>
      <w:pPr>
        <w:pStyle w:val="CITH2"/>
      </w:pPr>
      <w:r>
        <w:t xml:space="preserve">Growth</w:t>
      </w:r>
    </w:p>
    <w:sdt>
      <w:sdtPr>
        <w:alias w:val="Consumer under the oil and tariff squeeze"/>
        <w:tag w:val="signpost|scenarios/growth|iss-us-sg1"/>
        <w:id w:val="1052"/>
        <w:lock w:val="sdtLocked"/>
      </w:sdtPr>
      <w:sdtContent>
        <w:sdt>
          <w:sdtPr>
            <w:alias w:val="Title"/>
            <w:tag w:val="field|title"/>
            <w:id w:val="1051"/>
            <w:lock w:val="sdtLocked"/>
          </w:sdtPr>
          <w:sdtContent>
            <w:p>
              <w:pPr>
                <w:pStyle w:val="CITIssueTitle"/>
              </w:pPr>
              <w:r>
                <w:t xml:space="preserve">Consumer under the oil and tariff squeeze</w:t>
              </w:r>
            </w:p>
          </w:sdtContent>
        </w:sd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Baseline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Upside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Downside</w:t>
                </w:r>
              </w:p>
            </w:tc>
          </w:tr>
          <w:tr>
            <w:tc>
              <w:tcPr>
                <w:tcW w:w="3000" w:type="dxa"/>
              </w:tcPr>
              <w:sdt>
                <w:sdtPr>
                  <w:alias w:val="baseline"/>
                  <w:tag w:val="field|baseline"/>
                  <w:id w:val="1048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Real consumption slows to 1-1.5% as real incomes stagnate; wealth effects and fiscal support prevent a contraction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upside"/>
                  <w:tag w:val="field|upside"/>
                  <w:id w:val="1049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Hormuz reopens durably, gasoline falls back below $3.50 and real wages turn positive; consumption re-accelerates above 2%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downside"/>
                  <w:tag w:val="field|downside"/>
                  <w:id w:val="1050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Oil stays above $100 into 2027 and equities correct 15-20%; high-income spending stops and unemployment rises past 5%</w:t>
                    </w:r>
                  </w:p>
                </w:sdtContent>
              </w:sdt>
            </w:tc>
          </w:tr>
        </w:tbl>
        <w:p>
          <w:pPr>
            <w:pStyle w:val="CITBody"/>
          </w:pPr>
        </w:p>
      </w:sdtContent>
    </w:sdt>
    <w:sdt>
      <w:sdtPr>
        <w:alias w:val="AI capex durability"/>
        <w:tag w:val="signpost|scenarios/growth|iss-us-sg2"/>
        <w:id w:val="1057"/>
        <w:lock w:val="sdtLocked"/>
      </w:sdtPr>
      <w:sdtContent>
        <w:sdt>
          <w:sdtPr>
            <w:alias w:val="Title"/>
            <w:tag w:val="field|title"/>
            <w:id w:val="1056"/>
            <w:lock w:val="sdtLocked"/>
          </w:sdtPr>
          <w:sdtContent>
            <w:p>
              <w:pPr>
                <w:pStyle w:val="CITIssueTitle"/>
              </w:pPr>
              <w:r>
                <w:t xml:space="preserve">AI capex durability</w:t>
              </w:r>
            </w:p>
          </w:sdtContent>
        </w:sd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Baseline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Upside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Downside</w:t>
                </w:r>
              </w:p>
            </w:tc>
          </w:tr>
          <w:tr>
            <w:tc>
              <w:tcPr>
                <w:tcW w:w="3000" w:type="dxa"/>
              </w:tcPr>
              <w:sdt>
                <w:sdtPr>
                  <w:alias w:val="baseline"/>
                  <w:tag w:val="field|baseline"/>
                  <w:id w:val="1053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Data-centre and power investment keeps growing but decelerates; contributes 0.3-0.5pp to growth in 2027 with financing increasingly debt-funded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upside"/>
                  <w:tag w:val="field|upside"/>
                  <w:id w:val="1054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Investment broadens into the grid, industrial automation and measured productivity; potential growth revised up toward 2.5%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downside"/>
                  <w:tag w:val="field|downside"/>
                  <w:id w:val="1055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Returns disappoint and private-credit financing tightens; orders are cut, investment subtracts from growth and the credit channel amplifies it</w:t>
                    </w:r>
                  </w:p>
                </w:sdtContent>
              </w:sdt>
            </w:tc>
          </w:tr>
        </w:tbl>
        <w:p>
          <w:pPr>
            <w:pStyle w:val="CITBody"/>
          </w:pPr>
        </w:p>
      </w:sdtContent>
    </w:sdt>
    <w:p>
      <w:pPr>
        <w:pStyle w:val="CITH2"/>
      </w:pPr>
      <w:r>
        <w:t xml:space="preserve">Inflation</w:t>
      </w:r>
    </w:p>
    <w:sdt>
      <w:sdtPr>
        <w:alias w:val="Headline and core convergence"/>
        <w:tag w:val="signpost|scenarios/inflation|iss-us-si1"/>
        <w:id w:val="1062"/>
        <w:lock w:val="sdtLocked"/>
      </w:sdtPr>
      <w:sdtContent>
        <w:sdt>
          <w:sdtPr>
            <w:alias w:val="Title"/>
            <w:tag w:val="field|title"/>
            <w:id w:val="1061"/>
            <w:lock w:val="sdtLocked"/>
          </w:sdtPr>
          <w:sdtContent>
            <w:p>
              <w:pPr>
                <w:pStyle w:val="CITIssueTitle"/>
              </w:pPr>
              <w:r>
                <w:t xml:space="preserve">Headline and core convergence</w:t>
              </w:r>
            </w:p>
          </w:sdtContent>
        </w:sd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Baseline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Upside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Downside</w:t>
                </w:r>
              </w:p>
            </w:tc>
          </w:tr>
          <w:tr>
            <w:tc>
              <w:tcPr>
                <w:tcW w:w="3000" w:type="dxa"/>
              </w:tcPr>
              <w:sdt>
                <w:sdtPr>
                  <w:alias w:val="baseline"/>
                  <w:tag w:val="field|baseline"/>
                  <w:id w:val="1058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Headline CPI drifts from 3.4% toward 2.8% by mid-2027 as the energy contribution fades; core stays 2.3-2.6%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upside"/>
                  <w:tag w:val="field|upside"/>
                  <w:id w:val="1059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Energy normalises quickly and shelter disinflation brings headline to 2.3% by end-2027; expectations re-anchor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downside"/>
                  <w:tag w:val="field|downside"/>
                  <w:id w:val="1060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Second-round effects from energy and a weaker dollar push core back above 3%; short-horizon expectations unanchor and the Fed is forced into a real tightening cycle</w:t>
                    </w:r>
                  </w:p>
                </w:sdtContent>
              </w:sdt>
            </w:tc>
          </w:tr>
        </w:tbl>
        <w:p>
          <w:pPr>
            <w:pStyle w:val="CITBody"/>
          </w:pPr>
        </w:p>
      </w:sdtContent>
    </w:sdt>
    <w:p>
      <w:pPr>
        <w:pStyle w:val="CITH2"/>
      </w:pPr>
      <w:r>
        <w:t xml:space="preserve">Policy</w:t>
      </w:r>
    </w:p>
    <w:sdt>
      <w:sdtPr>
        <w:alias w:val="Fed path from 3.50-3.75%"/>
        <w:tag w:val="signpost|scenarios/policy|iss-us-sp1"/>
        <w:id w:val="1067"/>
        <w:lock w:val="sdtLocked"/>
      </w:sdtPr>
      <w:sdtContent>
        <w:sdt>
          <w:sdtPr>
            <w:alias w:val="Title"/>
            <w:tag w:val="field|title"/>
            <w:id w:val="1066"/>
            <w:lock w:val="sdtLocked"/>
          </w:sdtPr>
          <w:sdtContent>
            <w:p>
              <w:pPr>
                <w:pStyle w:val="CITIssueTitle"/>
              </w:pPr>
              <w:r>
                <w:t xml:space="preserve">Fed path from 3.50-3.75%</w:t>
              </w:r>
            </w:p>
          </w:sdtContent>
        </w:sd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Baseline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Upside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Downside</w:t>
                </w:r>
              </w:p>
            </w:tc>
          </w:tr>
          <w:tr>
            <w:tc>
              <w:tcPr>
                <w:tcW w:w="3000" w:type="dxa"/>
              </w:tcPr>
              <w:sdt>
                <w:sdtPr>
                  <w:alias w:val="baseline"/>
                  <w:tag w:val="field|baseline"/>
                  <w:id w:val="1063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One or two insurance hikes to 4.00%, then an extended hold while the committee watches the labour market; cuts return only in 2H27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upside"/>
                  <w:tag w:val="field|upside"/>
                  <w:id w:val="1064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Energy relief lets the Fed stay on hold and resume cutting toward 3% in 2027; the curve bull-steepens in an orderly way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downside"/>
                  <w:tag w:val="field|downside"/>
                  <w:id w:val="1065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Either a full hiking cycle toward 4.5-5% into a stagflationary economy, or a growth shock forcing rapid cuts below 2.5%; both damage risk assets and the credibility of the reaction function</w:t>
                    </w:r>
                  </w:p>
                </w:sdtContent>
              </w:sdt>
            </w:tc>
          </w:tr>
        </w:tbl>
        <w:p>
          <w:pPr>
            <w:pStyle w:val="CITBody"/>
          </w:pPr>
        </w:p>
      </w:sdtContent>
    </w:sdt>
    <w:sdt>
      <w:sdtPr>
        <w:alias w:val="Fiscal and issuance"/>
        <w:tag w:val="signpost|scenarios/policy|iss-us-sp2"/>
        <w:id w:val="1072"/>
        <w:lock w:val="sdtLocked"/>
      </w:sdtPr>
      <w:sdtContent>
        <w:sdt>
          <w:sdtPr>
            <w:alias w:val="Title"/>
            <w:tag w:val="field|title"/>
            <w:id w:val="1071"/>
            <w:lock w:val="sdtLocked"/>
          </w:sdtPr>
          <w:sdtContent>
            <w:p>
              <w:pPr>
                <w:pStyle w:val="CITIssueTitle"/>
              </w:pPr>
              <w:r>
                <w:t xml:space="preserve">Fiscal and issuance</w:t>
              </w:r>
            </w:p>
          </w:sdtContent>
        </w:sd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Baseline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Upside</w:t>
                </w:r>
              </w:p>
            </w:tc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Downside</w:t>
                </w:r>
              </w:p>
            </w:tc>
          </w:tr>
          <w:tr>
            <w:tc>
              <w:tcPr>
                <w:tcW w:w="3000" w:type="dxa"/>
              </w:tcPr>
              <w:sdt>
                <w:sdtPr>
                  <w:alias w:val="baseline"/>
                  <w:tag w:val="field|baseline"/>
                  <w:id w:val="1068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Deficit 6-7% of GDP, bills share stays high, no consolidation before 2028; term premium grinds higher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upside"/>
                  <w:tag w:val="field|upside"/>
                  <w:id w:val="1069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Tariff revenue and stronger nominal growth stabilise the debt ratio; Treasury terms out issuance without a term-premium shock</w:t>
                    </w:r>
                  </w:p>
                </w:sdtContent>
              </w:sdt>
            </w:tc>
            <w:tc>
              <w:tcPr>
                <w:tcW w:w="3000" w:type="dxa"/>
              </w:tcPr>
              <w:sdt>
                <w:sdtPr>
                  <w:alias w:val="downside"/>
                  <w:tag w:val="field|downside"/>
                  <w:id w:val="1070"/>
                  <w:lock w:val="sdtLocked"/>
                </w:sdtPr>
                <w:sdtContent>
                  <w:p>
                    <w:pPr>
                      <w:pStyle w:val="CITBullet"/>
                      <w:numPr>
                        <w:ilvl w:val="0"/>
                        <w:numId w:val="1"/>
                      </w:numPr>
                    </w:pPr>
                    <w:r>
                      <w:t xml:space="preserve">A cluster of weak auctions or a political challenge to Fed independence produces a term-premium spike and a disorderly bear-steepening</w:t>
                    </w:r>
                  </w:p>
                </w:sdtContent>
              </w:sdt>
            </w:tc>
          </w:tr>
        </w:tbl>
        <w:p>
          <w:pPr>
            <w:pStyle w:val="CITBody"/>
          </w:pPr>
        </w:p>
      </w:sdtContent>
    </w:sdt>
    <w:p>
      <w:pPr>
        <w:pStyle w:val="CITH1"/>
      </w:pPr>
      <w:r>
        <w:t xml:space="preserve">Investment implications (read-only)</w:t>
      </w:r>
    </w:p>
    <w:sdt>
      <w:sdtPr>
        <w:alias w:val="Investment implications — set these in the page, not here"/>
        <w:tag w:val="matrix"/>
        <w:id w:val="1073"/>
        <w:lock w:val="contentLocked"/>
      </w:sdtPr>
      <w:sdtConten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TableHead"/>
                </w:pPr>
                <w:r>
                  <w:t xml:space="preserve">Row</w:t>
                </w:r>
              </w:p>
            </w:tc>
            <w:tc>
              <w:tcPr>
                <w:tcW w:w="6000" w:type="dxa"/>
              </w:tcPr>
              <w:p>
                <w:pPr>
                  <w:pStyle w:val="CITTableHead"/>
                </w:pPr>
                <w:r>
                  <w:t xml:space="preserve">Arrows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drivers/regime/trend-growth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↑, margin_growth ↑, valuation ↓,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drivers/regime/trend-inflation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margin_growth ↓, inflation_expectation ↑, cash_rate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drivers/policy/monetary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valuation ↓, cash_rate ↑, term_premium ↑,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drivers/policy/fiscal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↑, term_premium ↑,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drivers/imbalances/domestic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↓, margin_growth ↓, dividend_yield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drivers/imbalances/external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term_premium ↑, valuation ↓, inflation_expectation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drivers/imbalances/credit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liquidity ↓, valuation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drivers/geopolitics/domestic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valuation ↓, term_premium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drivers/geopolitics/international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margin_growth ↓, inflation_expectation ↑, cash_rate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scenarios/growth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↓, margin_growth ↓, valuation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scenarios/inflation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inflation_expectation ↑, cash_rate ↑, valuation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scenarios/policy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cash_rate ↑, term_premium ↑, liquidity ↓</w:t>
                </w:r>
              </w:p>
            </w:tc>
          </w:tr>
        </w:tbl>
      </w:sdtContent>
    </w:sdt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styleId="Normal">
    <w:name w:val="Normal"/>
    <w:pPr>
      <w:spacing w:after="120"/>
    </w:pPr>
  </w:style>
  <w:style w:type="paragraph" w:styleId="CITTitle">
    <w:name w:val="CIT Title"/>
    <w:basedOn w:val="Normal"/>
    <w:pPr>
      <w:spacing w:after="80"/>
    </w:pPr>
    <w:rPr>
      <w:b/>
      <w:sz w:val="40"/>
    </w:rPr>
  </w:style>
  <w:style w:type="paragraph" w:styleId="CITMeta">
    <w:name w:val="CIT Meta"/>
    <w:basedOn w:val="Normal"/>
    <w:rPr>
      <w:i/>
      <w:color w:val="767676"/>
    </w:rPr>
  </w:style>
  <w:style w:type="paragraph" w:styleId="CITH1">
    <w:name w:val="CIT Heading 1"/>
    <w:basedOn w:val="Normal"/>
    <w:pPr>
      <w:spacing w:before="320" w:after="120"/>
    </w:pPr>
    <w:rPr>
      <w:b/>
      <w:sz w:val="30"/>
    </w:rPr>
  </w:style>
  <w:style w:type="paragraph" w:styleId="CITH2">
    <w:name w:val="CIT Heading 2"/>
    <w:basedOn w:val="Normal"/>
    <w:pPr>
      <w:spacing w:before="240" w:after="80"/>
    </w:pPr>
    <w:rPr>
      <w:b/>
      <w:sz w:val="26"/>
    </w:rPr>
  </w:style>
  <w:style w:type="paragraph" w:styleId="CITH3">
    <w:name w:val="CIT Heading 3"/>
    <w:basedOn w:val="Normal"/>
    <w:pPr>
      <w:spacing w:before="200" w:after="80"/>
    </w:pPr>
    <w:rPr>
      <w:b/>
      <w:color w:val="1F4E79"/>
      <w:sz w:val="22"/>
    </w:rPr>
  </w:style>
  <w:style w:type="paragraph" w:styleId="CITIssueTitle">
    <w:name w:val="CIT Issue Title"/>
    <w:basedOn w:val="Normal"/>
    <w:pPr>
      <w:spacing w:before="160" w:after="60"/>
    </w:pPr>
    <w:rPr>
      <w:b/>
      <w:sz w:val="22"/>
    </w:rPr>
  </w:style>
  <w:style w:type="paragraph" w:styleId="CITBullet">
    <w:name w:val="CIT Bullet"/>
    <w:basedOn w:val="Normal"/>
    <w:pPr>
      <w:ind w:left="360" w:hanging="360"/>
      <w:spacing w:after="60"/>
    </w:pPr>
  </w:style>
  <w:style w:type="paragraph" w:styleId="CITBullet2">
    <w:name w:val="CIT Bullet 2"/>
    <w:basedOn w:val="Normal"/>
    <w:pPr>
      <w:ind w:left="720" w:hanging="360"/>
      <w:spacing w:after="60"/>
    </w:pPr>
  </w:style>
  <w:style w:type="paragraph" w:styleId="CITBody">
    <w:name w:val="CIT Body"/>
    <w:basedOn w:val="Normal"/>
  </w:style>
  <w:style w:type="paragraph" w:styleId="CITTableHead">
    <w:name w:val="CIT Table Head"/>
    <w:basedOn w:val="Normal"/>
    <w:rPr>
      <w:b/>
      <w:color w:val="767676"/>
    </w:rPr>
  </w:style>
  <w:style w:type="table" w:styleId="CITTable">
    <w:name w:val="CIT Table"/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80" w:type="dxa"/>
        <w:left w:w="100" w:type="dxa"/>
        <w:bottom w:w="8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