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CITTitle"/>
      </w:pPr>
      <w:r>
        <w:t xml:space="preserve">United States</w:t>
      </w:r>
    </w:p>
    <w:sdt>
      <w:sdtPr>
        <w:alias w:val="Do not edit"/>
        <w:tag w:val="meta|united-states|2"/>
        <w:id w:val="1000"/>
        <w:lock w:val="sdtContentLocked"/>
      </w:sdtPr>
      <w:sdtContent>
        <w:p>
          <w:pPr>
            <w:pStyle w:val="CITMeta"/>
          </w:pPr>
          <w:r>
            <w:t xml:space="preserve">United States · version 2 · edit inside the boxes, then import this file back into the page</w:t>
          </w:r>
        </w:p>
      </w:sdtContent>
    </w:sdt>
    <w:sdt>
      <w:sdtPr>
        <w:alias w:val="Do not edit — records what this file was exported from"/>
        <w:tag w:val="manifest"/>
        <w:id w:val="1001"/>
        <w:lock w:val="sdtContentLocked"/>
      </w:sdtPr>
      <w:sdtContent>
        <w:p>
          <w:pPr>
            <w:pStyle w:val="CITMeta"/>
            <w:rPr>
              <w:vanish/>
            </w:rPr>
          </w:pPr>
          <w:r>
            <w:rPr>
              <w:vanish/>
            </w:rPr>
            <w:t xml:space="preserve">iss-us-tg1 iss-us-tg2 iss-us-ti1 iss-us-mo1 iss-us-mo2 iss-us-fi1 iss-us-do1 iss-us-do2 iss-us-ex1 iss-us-cr1 iss-us-gd1 iss-us-gi1 iss-us-gi2</w:t>
          </w:r>
        </w:p>
      </w:sdtContent>
    </w:sdt>
    <w:sdt>
      <w:sdtPr>
        <w:alias w:val="Regime"/>
        <w:tag w:val="group|regime"/>
        <w:id w:val="1002"/>
        <w:lock w:val="sdtContentLocked"/>
      </w:sdtPr>
      <w:sdtContent>
        <w:p>
          <w:pPr>
            <w:pStyle w:val="CITH1"/>
          </w:pPr>
          <w:r>
            <w:t xml:space="preserve">Regime</w:t>
          </w:r>
        </w:p>
      </w:sdtContent>
    </w:sdt>
    <w:sdt>
      <w:sdtPr>
        <w:alias w:val="Trend growth"/>
        <w:tag w:val="sub|drivers/regime/trend-growth"/>
        <w:id w:val="1016"/>
        <w:lock w:val="sdtLocked"/>
      </w:sdtPr>
      <w:sdtContent>
        <w:p>
          <w:pPr>
            <w:pStyle w:val="CITH3"/>
          </w:pPr>
          <w:r>
            <w:t xml:space="preserve">Trend growth</w:t>
          </w:r>
        </w:p>
        <w:sdt>
          <w:sdtPr>
            <w:alias w:val="AI capex is now the growth engine, and the concentration risk"/>
            <w:tag w:val="issue|iss-us-tg1"/>
            <w:id w:val="1008"/>
            <w:lock w:val="sdtLocked"/>
          </w:sdtPr>
          <w:sdtContent>
            <w:sdt>
              <w:sdtPr>
                <w:alias w:val="Title"/>
                <w:tag w:val="field|title"/>
                <w:id w:val="1003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AI capex is now the growth engine, and the concentration risk</w:t>
                  </w:r>
                </w:p>
              </w:sdtContent>
            </w:sdt>
            <w:sdt>
              <w:sdtPr>
                <w:alias w:val="View"/>
                <w:tag w:val="field|text"/>
                <w:id w:val="1004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Investment in data centres, power and chips is running at something like 2-2.5% of GDP and has carried GDP growth through the tariff and oil shocks; ex-AI, the economy is close to stall speed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Financing has migrated from hyperscaler cash flow to bonds and private credit, so a capex pause would hit both growth and credit markets at once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Working assumption: potential growth around 2% while the productivity dividend is still mostly promise; hours worked and non-residential investment are the tells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05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Data-centre and power investment keeps growing but decelerates; contributes 0.3-0.5pp to growth in 2027 with financing increasingly debt-funded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06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Investment broadens into the grid, industrial automation and measured productivity; potential growth revised up toward 2.5%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07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Returns disappoint and private-credit financing tightens; orders are cut, investment subtracts from growth and the credit channel amplifies it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Labour supply is the binding constraint"/>
            <w:tag w:val="issue|iss-us-tg2"/>
            <w:id w:val="1014"/>
            <w:lock w:val="sdtLocked"/>
          </w:sdtPr>
          <w:sdtContent>
            <w:sdt>
              <w:sdtPr>
                <w:alias w:val="Title"/>
                <w:tag w:val="field|title"/>
                <w:id w:val="1009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Labour supply is the binding constraint</w:t>
                  </w:r>
                </w:p>
              </w:sdtContent>
            </w:sdt>
            <w:sdt>
              <w:sdtPr>
                <w:alias w:val="View"/>
                <w:tag w:val="field|text"/>
                <w:id w:val="1010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Immigration enforcement has cut labour-force growth to a trickle; payrolls in the 50-150k range are now consistent with a flat unemployment rate (4.1% in August)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A low-churn market: few layoffs, few hires, long-term unemployment share at a five-year high, wage growth down to about 3% and below headline inflation for four months running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Implication: break-even payroll growth is much lower than markets are used to, and a downturn would show up in hours and participation before it shows in the unemployment rate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11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12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13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Trend growth"/>
            <w:tag w:val="slot|issue"/>
            <w:id w:val="1015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Trend inflation"/>
        <w:tag w:val="sub|drivers/regime/trend-inflation"/>
        <w:id w:val="1024"/>
        <w:lock w:val="sdtLocked"/>
      </w:sdtPr>
      <w:sdtContent>
        <w:p>
          <w:pPr>
            <w:pStyle w:val="CITH3"/>
          </w:pPr>
          <w:r>
            <w:t xml:space="preserve">Trend inflation</w:t>
          </w:r>
        </w:p>
        <w:sdt>
          <w:sdtPr>
            <w:alias w:val="Oil shock on top of tariff pass-through"/>
            <w:tag w:val="issue|iss-us-ti1"/>
            <w:id w:val="1022"/>
            <w:lock w:val="sdtLocked"/>
          </w:sdtPr>
          <w:sdtContent>
            <w:sdt>
              <w:sdtPr>
                <w:alias w:val="Title"/>
                <w:tag w:val="field|title"/>
                <w:id w:val="1017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Oil shock on top of tariff pass-through</w:t>
                  </w:r>
                </w:p>
              </w:sdtContent>
            </w:sdt>
            <w:sdt>
              <w:sdtPr>
                <w:alias w:val="View"/>
                <w:tag w:val="field|text"/>
                <w:id w:val="1018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Headline CPI is stuck at 3.4% with gasoline at record nominal highs after the Hormuz closure; core has cooled to the low 2s as goods pass-through from 2025 tariffs fades and shelter decelerates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risk is second-round effects: short-horizon inflation expectations are elevated and real wages are falling, which is the classic set-up for wage catch-up demands in 2027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We assume trend inflation settles near 2.5-3% rather than 2%, with the energy path the swing factor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19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Headline CPI drifts from 3.4% toward 2.8% by mid-2027 as the energy contribution fades; core stays 2.3-2.6%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20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Energy normalises quickly and shelter disinflation brings headline to 2.3% by end-2027; expectations re-anchor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21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Second-round effects from energy and a weaker dollar push core back above 3%; short-horizon expectations unanchor and the Fed is forced into a real tightening cycle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Trend inflation"/>
            <w:tag w:val="slot|issue"/>
            <w:id w:val="1023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New subsection under Regime"/>
        <w:tag w:val="slot|sub|regime"/>
        <w:id w:val="1025"/>
        <w:lock w:val="sdtLocked"/>
        <w:showingPlcHdr/>
      </w:sdtPr>
      <w:sdtContent>
        <w:p>
          <w:pPr>
            <w:pStyle w:val="CITPlaceholder"/>
          </w:pPr>
          <w:r>
            <w:t xml:space="preserve">Click here and type the name of a new subsection, then its first issue title and bullets.</w:t>
          </w:r>
        </w:p>
      </w:sdtContent>
    </w:sdt>
    <w:sdt>
      <w:sdtPr>
        <w:alias w:val="Policy"/>
        <w:tag w:val="group|policy"/>
        <w:id w:val="1026"/>
        <w:lock w:val="sdtContentLocked"/>
      </w:sdtPr>
      <w:sdtContent>
        <w:p>
          <w:pPr>
            <w:pStyle w:val="CITH1"/>
          </w:pPr>
          <w:r>
            <w:t xml:space="preserve">Policy</w:t>
          </w:r>
        </w:p>
      </w:sdtContent>
    </w:sdt>
    <w:sdt>
      <w:sdtPr>
        <w:alias w:val="Monetary"/>
        <w:tag w:val="sub|drivers/policy/monetary"/>
        <w:id w:val="1040"/>
        <w:lock w:val="sdtLocked"/>
      </w:sdtPr>
      <w:sdtContent>
        <w:p>
          <w:pPr>
            <w:pStyle w:val="CITH3"/>
          </w:pPr>
          <w:r>
            <w:t xml:space="preserve">Monetary</w:t>
          </w:r>
        </w:p>
        <w:sdt>
          <w:sdtPr>
            <w:alias w:val="Warsh Fed facing a hike into a slowing economy"/>
            <w:tag w:val="issue|iss-us-mo1"/>
            <w:id w:val="1032"/>
            <w:lock w:val="sdtLocked"/>
          </w:sdtPr>
          <w:sdtContent>
            <w:sdt>
              <w:sdtPr>
                <w:alias w:val="Title"/>
                <w:tag w:val="field|title"/>
                <w:id w:val="1027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Warsh Fed facing a hike into a slowing economy</w:t>
                  </w:r>
                </w:p>
              </w:sdtContent>
            </w:sdt>
            <w:sdt>
              <w:sdtPr>
                <w:alias w:val="View"/>
                <w:tag w:val="field|text"/>
                <w:id w:val="1028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Funds rate at 3.50-3.75% after the July 9-3 hold; three dissents for a hike, and markets price roughly two-thirds odds of a 25bp increase on 16 September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committee is split between looking through a supply shock and defending credibility after leaving rates unchanged into rising headline inflation; Hammack and others have floated multiple hikes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Watch: the September dots, whether Warsh frames any hike as insurance or the start of a cycle, and the balance-sheet language (reserve-management purchases have been keeping front-end funding calm)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29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One or two insurance hikes to 4.00%, then an extended hold while the committee watches the labour market; cuts return only in 2H27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30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Energy relief lets the Fed stay on hold and resume cutting toward 3% in 2027; the curve bull-steepens in an orderly way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31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Either a full hiking cycle toward 4.5-5% into a stagflationary economy, or a growth shock forcing rapid cuts below 2.5%; both damage risk assets and the credibility of the reaction function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Independence and the reaction function"/>
            <w:tag w:val="issue|iss-us-mo2"/>
            <w:id w:val="1038"/>
            <w:lock w:val="sdtLocked"/>
          </w:sdtPr>
          <w:sdtContent>
            <w:sdt>
              <w:sdtPr>
                <w:alias w:val="Title"/>
                <w:tag w:val="field|title"/>
                <w:id w:val="1033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Independence and the reaction function</w:t>
                  </w:r>
                </w:p>
              </w:sdtContent>
            </w:sdt>
            <w:sdt>
              <w:sdtPr>
                <w:alias w:val="View"/>
                <w:tag w:val="field|text"/>
                <w:id w:val="1034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2026 chair transition went through without the institutional rupture markets feared, but the administration's preference for lower rates is public and the committee's composition has shifted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Our read: the reaction function is more tolerant of inflation than in 2022 but not captured; the term premium is where markets express doubt, not the front end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35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36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37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Monetary"/>
            <w:tag w:val="slot|issue"/>
            <w:id w:val="1039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Fiscal"/>
        <w:tag w:val="sub|drivers/policy/fiscal"/>
        <w:id w:val="1048"/>
        <w:lock w:val="sdtLocked"/>
      </w:sdtPr>
      <w:sdtContent>
        <w:p>
          <w:pPr>
            <w:pStyle w:val="CITH3"/>
          </w:pPr>
          <w:r>
            <w:t xml:space="preserve">Fiscal</w:t>
          </w:r>
        </w:p>
        <w:sdt>
          <w:sdtPr>
            <w:alias w:val="Deficit near 6-7% of GDP and losing its tariff crutch"/>
            <w:tag w:val="issue|iss-us-fi1"/>
            <w:id w:val="1046"/>
            <w:lock w:val="sdtLocked"/>
          </w:sdtPr>
          <w:sdtContent>
            <w:sdt>
              <w:sdtPr>
                <w:alias w:val="Title"/>
                <w:tag w:val="field|title"/>
                <w:id w:val="1041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Deficit near 6-7% of GDP and losing its tariff crutch</w:t>
                  </w:r>
                </w:p>
              </w:sdtContent>
            </w:sdt>
            <w:sdt>
              <w:sdtPr>
                <w:alias w:val="View"/>
                <w:tag w:val="field|text"/>
                <w:id w:val="1042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2025 tax package locked in a structural deficit; the Supreme Court's February ruling voided IEEPA tariff revenue and triggered refunds, and the replacement 10-12.5% Section 301 tariffs on 60 economies raise less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Treasury keeps skewing issuance to bills to limit duration supply; that caps term premium today at the cost of rollover risk and growing dependence on money funds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Higher oil raises the deficit further via indexed programmes and lower real growth; no consolidation is plausible before the 2028 cycle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43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Deficit 6-7% of GDP, bills share stays high, no consolidation before 2028; term premium grinds higher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44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Tariff revenue and stronger nominal growth stabilise the debt ratio; Treasury terms out issuance without a term-premium shock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45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A cluster of weak auctions or a political challenge to Fed independence produces a term-premium spike and a disorderly bear-steepening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Fiscal"/>
            <w:tag w:val="slot|issue"/>
            <w:id w:val="1047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New subsection under Policy"/>
        <w:tag w:val="slot|sub|policy"/>
        <w:id w:val="1049"/>
        <w:lock w:val="sdtLocked"/>
        <w:showingPlcHdr/>
      </w:sdtPr>
      <w:sdtContent>
        <w:p>
          <w:pPr>
            <w:pStyle w:val="CITPlaceholder"/>
          </w:pPr>
          <w:r>
            <w:t xml:space="preserve">Click here and type the name of a new subsection, then its first issue title and bullets.</w:t>
          </w:r>
        </w:p>
      </w:sdtContent>
    </w:sdt>
    <w:sdt>
      <w:sdtPr>
        <w:alias w:val="Imbalances"/>
        <w:tag w:val="group|imbalances"/>
        <w:id w:val="1050"/>
        <w:lock w:val="sdtContentLocked"/>
      </w:sdtPr>
      <w:sdtContent>
        <w:p>
          <w:pPr>
            <w:pStyle w:val="CITH1"/>
          </w:pPr>
          <w:r>
            <w:t xml:space="preserve">Imbalances</w:t>
          </w:r>
        </w:p>
      </w:sdtContent>
    </w:sdt>
    <w:sdt>
      <w:sdtPr>
        <w:alias w:val="Domestic"/>
        <w:tag w:val="sub|drivers/imbalances/domestic"/>
        <w:id w:val="1064"/>
        <w:lock w:val="sdtLocked"/>
      </w:sdtPr>
      <w:sdtContent>
        <w:p>
          <w:pPr>
            <w:pStyle w:val="CITH3"/>
          </w:pPr>
          <w:r>
            <w:t xml:space="preserve">Domestic</w:t>
          </w:r>
        </w:p>
        <w:sdt>
          <w:sdtPr>
            <w:alias w:val="Two-speed households"/>
            <w:tag w:val="issue|iss-us-do1"/>
            <w:id w:val="1056"/>
            <w:lock w:val="sdtLocked"/>
          </w:sdtPr>
          <w:sdtContent>
            <w:sdt>
              <w:sdtPr>
                <w:alias w:val="Title"/>
                <w:tag w:val="field|title"/>
                <w:id w:val="1051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Two-speed households</w:t>
                  </w:r>
                </w:p>
              </w:sdtContent>
            </w:sdt>
            <w:sdt>
              <w:sdtPr>
                <w:alias w:val="View"/>
                <w:tag w:val="field|text"/>
                <w:id w:val="1052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Consumption is being carried by the top of the income distribution on equity wealth; lower-income cohorts are squeezed by $4-plus gasoline, tariff-driven goods prices and rising card delinquencies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transmission channel that matters is asset prices: an equity correction would hit the only cohort still spending freely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53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Real consumption slows to 1-1.5% as real incomes stagnate; wealth effects and fiscal support prevent a contraction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54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Hormuz reopens durably, gasoline falls back below $3.50 and real wages turn positive; consumption re-accelerates above 2%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55"/>
                      <w:lock w:val="sdtLocked"/>
                    </w:sdtPr>
                    <w:sdtContent>
                      <w:p>
                        <w:pPr>
                          <w:pStyle w:val="CITBullet"/>
                          <w:numPr>
                            <w:ilvl w:val="0"/>
                            <w:numId w:val="1"/>
                          </w:numPr>
                        </w:pPr>
                        <w:r>
                          <w:t xml:space="preserve">Oil stays above $100 into 2027 and equities correct 15-20%; high-income spending stops and unemployment rises past 5%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Corporate margins under a cost squeeze"/>
            <w:tag w:val="issue|iss-us-do2"/>
            <w:id w:val="1062"/>
            <w:lock w:val="sdtLocked"/>
          </w:sdtPr>
          <w:sdtContent>
            <w:sdt>
              <w:sdtPr>
                <w:alias w:val="Title"/>
                <w:tag w:val="field|title"/>
                <w:id w:val="1057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Corporate margins under a cost squeeze</w:t>
                  </w:r>
                </w:p>
              </w:sdtContent>
            </w:sdt>
            <w:sdt>
              <w:sdtPr>
                <w:alias w:val="View"/>
                <w:tag w:val="field|text"/>
                <w:id w:val="1058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Tariffs, energy and a tight labour market are compressing margins outside the AI complex; an earnings recession is already visible in consumer discretionary and industrials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59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60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61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Domestic"/>
            <w:tag w:val="slot|issue"/>
            <w:id w:val="1063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External"/>
        <w:tag w:val="sub|drivers/imbalances/external"/>
        <w:id w:val="1072"/>
        <w:lock w:val="sdtLocked"/>
      </w:sdtPr>
      <w:sdtContent>
        <w:p>
          <w:pPr>
            <w:pStyle w:val="CITH3"/>
          </w:pPr>
          <w:r>
            <w:t xml:space="preserve">External</w:t>
          </w:r>
        </w:p>
        <w:sdt>
          <w:sdtPr>
            <w:alias w:val="Dollar has lost its reflexive safe-haven bid"/>
            <w:tag w:val="issue|iss-us-ex1"/>
            <w:id w:val="1070"/>
            <w:lock w:val="sdtLocked"/>
          </w:sdtPr>
          <w:sdtContent>
            <w:sdt>
              <w:sdtPr>
                <w:alias w:val="Title"/>
                <w:tag w:val="field|title"/>
                <w:id w:val="1065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Dollar has lost its reflexive safe-haven bid</w:t>
                  </w:r>
                </w:p>
              </w:sdtContent>
            </w:sdt>
            <w:sdt>
              <w:sdtPr>
                <w:alias w:val="View"/>
                <w:tag w:val="field|text"/>
                <w:id w:val="1066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dollar did not rally on the Iran war the way it did in 2022; foreign official demand for Treasuries is slower and more price sensitive, and the euro and yen have both strengthened on repatriation flows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current account is narrowing as tariffs compress imports, but the financing question (who absorbs record Treasury supply at a lower dollar) is the live one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67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68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69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External"/>
            <w:tag w:val="slot|issue"/>
            <w:id w:val="1071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Credit"/>
        <w:tag w:val="sub|drivers/imbalances/credit"/>
        <w:id w:val="1080"/>
        <w:lock w:val="sdtLocked"/>
      </w:sdtPr>
      <w:sdtContent>
        <w:p>
          <w:pPr>
            <w:pStyle w:val="CITH3"/>
          </w:pPr>
          <w:r>
            <w:t xml:space="preserve">Credit</w:t>
          </w:r>
        </w:p>
        <w:sdt>
          <w:sdtPr>
            <w:alias w:val="Private credit is the AI financing plumbing"/>
            <w:tag w:val="issue|iss-us-cr1"/>
            <w:id w:val="1078"/>
            <w:lock w:val="sdtLocked"/>
          </w:sdtPr>
          <w:sdtContent>
            <w:sdt>
              <w:sdtPr>
                <w:alias w:val="Title"/>
                <w:tag w:val="field|title"/>
                <w:id w:val="1073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Private credit is the AI financing plumbing</w:t>
                  </w:r>
                </w:p>
              </w:sdtContent>
            </w:sdt>
            <w:sdt>
              <w:sdtPr>
                <w:alias w:val="View"/>
                <w:tag w:val="field|text"/>
                <w:id w:val="1074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Private credit has absorbed the leveraged-loan market and now a large share of data-centre and power project finance; opacity, not aggregate size, is the concern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Stress would surface first in redemption gates and mark-downs at private funds, then in bank lines to those funds; the sector has not been tested by a capex downturn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75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76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77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Credit"/>
            <w:tag w:val="slot|issue"/>
            <w:id w:val="1079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New subsection under Imbalances"/>
        <w:tag w:val="slot|sub|imbalances"/>
        <w:id w:val="1081"/>
        <w:lock w:val="sdtLocked"/>
        <w:showingPlcHdr/>
      </w:sdtPr>
      <w:sdtContent>
        <w:p>
          <w:pPr>
            <w:pStyle w:val="CITPlaceholder"/>
          </w:pPr>
          <w:r>
            <w:t xml:space="preserve">Click here and type the name of a new subsection, then its first issue title and bullets.</w:t>
          </w:r>
        </w:p>
      </w:sdtContent>
    </w:sdt>
    <w:sdt>
      <w:sdtPr>
        <w:alias w:val="Geopolitics"/>
        <w:tag w:val="group|geopolitics"/>
        <w:id w:val="1082"/>
        <w:lock w:val="sdtContentLocked"/>
      </w:sdtPr>
      <w:sdtContent>
        <w:p>
          <w:pPr>
            <w:pStyle w:val="CITH1"/>
          </w:pPr>
          <w:r>
            <w:t xml:space="preserve">Geopolitics</w:t>
          </w:r>
        </w:p>
      </w:sdtContent>
    </w:sdt>
    <w:sdt>
      <w:sdtPr>
        <w:alias w:val="Domestic"/>
        <w:tag w:val="sub|drivers/geopolitics/domestic"/>
        <w:id w:val="1090"/>
        <w:lock w:val="sdtLocked"/>
      </w:sdtPr>
      <w:sdtContent>
        <w:p>
          <w:pPr>
            <w:pStyle w:val="CITH3"/>
          </w:pPr>
          <w:r>
            <w:t xml:space="preserve">Domestic</w:t>
          </w:r>
        </w:p>
        <w:sdt>
          <w:sdtPr>
            <w:alias w:val="Midterms and the policy volatility premium"/>
            <w:tag w:val="issue|iss-us-gd1"/>
            <w:id w:val="1088"/>
            <w:lock w:val="sdtLocked"/>
          </w:sdtPr>
          <w:sdtContent>
            <w:sdt>
              <w:sdtPr>
                <w:alias w:val="Title"/>
                <w:tag w:val="field|title"/>
                <w:id w:val="1083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Midterms and the policy volatility premium</w:t>
                  </w:r>
                </w:p>
              </w:sdtContent>
            </w:sdt>
            <w:sdt>
              <w:sdtPr>
                <w:alias w:val="View"/>
                <w:tag w:val="field|text"/>
                <w:id w:val="1084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November midterms are being fought on the cost of living; a Democratic House would end the legislative agenda and raise the odds of investigations, but tariff and regulatory policy would still move by executive action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Congress is also stirring on trade powers (bills to restrain 122, 232 and 301 authority); a real transfer of authority back to Congress would be a structural change in policy risk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85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86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87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Domestic"/>
            <w:tag w:val="slot|issue"/>
            <w:id w:val="1089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International"/>
        <w:tag w:val="sub|drivers/geopolitics/international"/>
        <w:id w:val="1104"/>
        <w:lock w:val="sdtLocked"/>
      </w:sdtPr>
      <w:sdtContent>
        <w:p>
          <w:pPr>
            <w:pStyle w:val="CITH3"/>
          </w:pPr>
          <w:r>
            <w:t xml:space="preserve">International</w:t>
          </w:r>
        </w:p>
        <w:sdt>
          <w:sdtPr>
            <w:alias w:val="Iran war, Hormuz and the energy price regime"/>
            <w:tag w:val="issue|iss-us-gi1"/>
            <w:id w:val="1096"/>
            <w:lock w:val="sdtLocked"/>
          </w:sdtPr>
          <w:sdtContent>
            <w:sdt>
              <w:sdtPr>
                <w:alias w:val="Title"/>
                <w:tag w:val="field|title"/>
                <w:id w:val="1091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Iran war, Hormuz and the energy price regime</w:t>
                  </w:r>
                </w:p>
              </w:sdtContent>
            </w:sdt>
            <w:sdt>
              <w:sdtPr>
                <w:alias w:val="View"/>
                <w:tag w:val="field|text"/>
                <w:id w:val="1092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Strait has been effectively contested since late February; a June US-Iran MOU reopened it partially, fighting resumed in September and Brent is back near $100 with Iran-Gulf talks pending in Oman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EIA does not expect Gulf output to normalise before 2027; the US is the relative winner as an energy exporter, but the consumer and the Fed pay first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93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094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095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Tariff regime is fragmenting into 232 and 301 tools"/>
            <w:tag w:val="issue|iss-us-gi2"/>
            <w:id w:val="1102"/>
            <w:lock w:val="sdtLocked"/>
          </w:sdtPr>
          <w:sdtContent>
            <w:sdt>
              <w:sdtPr>
                <w:alias w:val="Title"/>
                <w:tag w:val="field|title"/>
                <w:id w:val="1097"/>
                <w:lock w:val="sdtLocked"/>
              </w:sdtPr>
              <w:sdtContent>
                <w:p>
                  <w:pPr>
                    <w:pStyle w:val="CITIssueTitle"/>
                  </w:pPr>
                  <w:r>
                    <w:t xml:space="preserve">Tariff regime is fragmenting into 232 and 301 tools</w:t>
                  </w:r>
                </w:p>
              </w:sdtContent>
            </w:sdt>
            <w:sdt>
              <w:sdtPr>
                <w:alias w:val="View"/>
                <w:tag w:val="field|text"/>
                <w:id w:val="1098"/>
                <w:lock w:val="sdtLocked"/>
              </w:sdtPr>
              <w:sdtContent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After IEEPA and Section 122 fell, the administration rebuilt the tariff wall with sectoral 232 actions (metals, 100% on patented pharma, autos, chips) and country 301 actions; the EU has a negotiated 15% ceiling, USMCA goods are exempt, China sits under the Busan and Beijing truce</w:t>
                  </w:r>
                </w:p>
                <w:p>
                  <w:pPr>
                    <w:pStyle w:val="CITBullet"/>
                    <w:numPr>
                      <w:ilvl w:val="0"/>
                      <w:numId w:val="1"/>
                    </w:numPr>
                  </w:pPr>
                  <w:r>
                    <w:t xml:space="preserve">The marginal news is now about excess-capacity investigations and exemptions rather than headline rates; effective tariff rate around 11%, the highest since the 1940s</w:t>
                  </w:r>
                </w:p>
              </w:sdtContent>
            </w:sdt>
            <w:tbl>
              <w:tblPr>
                <w:tblStyle w:val="CITTable"/>
                <w:tblW w:w="9000" w:type="dxa"/>
              </w:tblPr>
              <w:tr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Baseline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Upside</w:t>
                    </w:r>
                  </w:p>
                </w:tc>
                <w:tc>
                  <w:tcPr>
                    <w:tcW w:w="3000" w:type="dxa"/>
                  </w:tcPr>
                  <w:p>
                    <w:pPr>
                      <w:pStyle w:val="CITTableHead"/>
                    </w:pPr>
                    <w:r>
                      <w:t xml:space="preserve">Downside</w:t>
                    </w:r>
                  </w:p>
                </w:tc>
              </w:tr>
              <w:tr>
                <w:tc>
                  <w:tcPr>
                    <w:tcW w:w="3000" w:type="dxa"/>
                  </w:tcPr>
                  <w:sdt>
                    <w:sdtPr>
                      <w:alias w:val="Baseline"/>
                      <w:tag w:val="field|baseline"/>
                      <w:id w:val="1099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Baseline — what we expect. Leave all three empty if this issue has no signposts.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Upside"/>
                      <w:tag w:val="field|upside"/>
                      <w:id w:val="1100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Upside — what would make it better.</w:t>
                        </w:r>
                      </w:p>
                    </w:sdtContent>
                  </w:sdt>
                </w:tc>
                <w:tc>
                  <w:tcPr>
                    <w:tcW w:w="3000" w:type="dxa"/>
                  </w:tcPr>
                  <w:sdt>
                    <w:sdtPr>
                      <w:alias w:val="Downside"/>
                      <w:tag w:val="field|downside"/>
                      <w:id w:val="1101"/>
                      <w:lock w:val="sdtLocked"/>
                      <w:showingPlcHdr/>
                    </w:sdtPr>
                    <w:sdtContent>
                      <w:p>
                        <w:pPr>
                          <w:pStyle w:val="CITPlaceholder"/>
                        </w:pPr>
                        <w:r>
                          <w:t xml:space="preserve">Downside — what would make it worse.</w:t>
                        </w:r>
                      </w:p>
                    </w:sdtContent>
                  </w:sdt>
                </w:tc>
              </w:tr>
            </w:tbl>
            <w:p>
              <w:pPr>
                <w:pStyle w:val="CITBody"/>
              </w:pPr>
            </w:p>
          </w:sdtContent>
        </w:sdt>
        <w:sdt>
          <w:sdtPr>
            <w:alias w:val="New issue in International"/>
            <w:tag w:val="slot|issue"/>
            <w:id w:val="1103"/>
            <w:lock w:val="sdtLocked"/>
            <w:showingPlcHdr/>
          </w:sdtPr>
          <w:sdtContent>
            <w:p>
              <w:pPr>
                <w:pStyle w:val="CITPlaceholder"/>
              </w:pPr>
              <w:r>
                <w:t xml:space="preserve">Click here and type a new issue: its title on the first line, then one bullet per line. To give it signposts, add lines beginning Baseline:, Upside: and Downside:.</w:t>
              </w:r>
            </w:p>
          </w:sdtContent>
        </w:sdt>
      </w:sdtContent>
    </w:sdt>
    <w:sdt>
      <w:sdtPr>
        <w:alias w:val="New subsection under Geopolitics"/>
        <w:tag w:val="slot|sub|geopolitics"/>
        <w:id w:val="1105"/>
        <w:lock w:val="sdtLocked"/>
        <w:showingPlcHdr/>
      </w:sdtPr>
      <w:sdtContent>
        <w:p>
          <w:pPr>
            <w:pStyle w:val="CITPlaceholder"/>
          </w:pPr>
          <w:r>
            <w:t xml:space="preserve">Click here and type the name of a new subsection, then its first issue title and bullets.</w:t>
          </w:r>
        </w:p>
      </w:sdtContent>
    </w:sdt>
    <w:p>
      <w:pPr>
        <w:pStyle w:val="CITH1"/>
      </w:pPr>
      <w:r>
        <w:t xml:space="preserve">Investment implications</w:t>
      </w:r>
    </w:p>
    <w:sdt>
      <w:sdtPr>
        <w:alias w:val="Set these by clicking in the page, not here"/>
        <w:tag w:val="matrix"/>
        <w:id w:val="1106"/>
        <w:lock w:val="sdtContentLocked"/>
      </w:sdtPr>
      <w:sdtContent>
        <w:tbl>
          <w:tblPr>
            <w:tblStyle w:val="CITTable"/>
            <w:tblW w:w="9000" w:type="dxa"/>
          </w:tblP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drivers/regime/trend-growth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↑, margin_growth ↑, valuation ↓, liquidity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drivers/regime/trend-inflation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margin_growth ↓, inflation_expectation ↑, cash_rate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drivers/policy/monetary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valuation ↓, cash_rate ↑, term_premium ↑, liquidity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drivers/policy/fiscal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↑, term_premium ↑, liquidity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drivers/imbalances/domestic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sales_growth ↓, margin_growth ↓, dividend_yield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drivers/imbalances/external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term_premium ↑, valuation ↓, inflation_expectation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drivers/imbalances/credit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liquidity ↓, valuation ↓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drivers/geopolitics/domestic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valuation ↓, term_premium ↑</w:t>
                </w:r>
              </w:p>
            </w:tc>
          </w:tr>
          <w:tr>
            <w:tc>
              <w:tcPr>
                <w:tcW w:w="3000" w:type="dxa"/>
              </w:tcPr>
              <w:p>
                <w:pPr>
                  <w:pStyle w:val="CITBody"/>
                </w:pPr>
                <w:r>
                  <w:t xml:space="preserve">drivers/geopolitics/international</w:t>
                </w:r>
              </w:p>
            </w:tc>
            <w:tc>
              <w:tcPr>
                <w:tcW w:w="6000" w:type="dxa"/>
              </w:tcPr>
              <w:p>
                <w:pPr>
                  <w:pStyle w:val="CITBody"/>
                </w:pPr>
                <w:r>
                  <w:t xml:space="preserve">margin_growth ↓, inflation_expectation ↑, cash_rate ↑</w:t>
                </w:r>
              </w:p>
            </w:tc>
          </w:tr>
        </w:tbl>
      </w:sdtContent>
    </w:sdt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</w:docDefaults>
  <w:style w:type="paragraph" w:styleId="Normal">
    <w:name w:val="Normal"/>
    <w:pPr>
      <w:spacing w:after="120"/>
    </w:pPr>
  </w:style>
  <w:style w:type="paragraph" w:styleId="CITTitle">
    <w:name w:val="CIT Title"/>
    <w:basedOn w:val="Normal"/>
    <w:pPr>
      <w:spacing w:after="80"/>
    </w:pPr>
    <w:rPr>
      <w:b/>
      <w:sz w:val="40"/>
    </w:rPr>
  </w:style>
  <w:style w:type="paragraph" w:styleId="CITMeta">
    <w:name w:val="CIT Meta"/>
    <w:basedOn w:val="Normal"/>
    <w:rPr>
      <w:i/>
      <w:color w:val="767676"/>
    </w:rPr>
  </w:style>
  <w:style w:type="paragraph" w:styleId="CITH1">
    <w:name w:val="CIT Heading 1"/>
    <w:basedOn w:val="Normal"/>
    <w:pPr>
      <w:spacing w:before="320" w:after="120"/>
    </w:pPr>
    <w:rPr>
      <w:b/>
      <w:sz w:val="30"/>
    </w:rPr>
  </w:style>
  <w:style w:type="paragraph" w:styleId="CITH2">
    <w:name w:val="CIT Heading 2"/>
    <w:basedOn w:val="Normal"/>
    <w:pPr>
      <w:spacing w:before="240" w:after="80"/>
    </w:pPr>
    <w:rPr>
      <w:b/>
      <w:sz w:val="26"/>
    </w:rPr>
  </w:style>
  <w:style w:type="paragraph" w:styleId="CITH3">
    <w:name w:val="CIT Heading 3"/>
    <w:basedOn w:val="Normal"/>
    <w:pPr>
      <w:spacing w:before="200" w:after="80"/>
    </w:pPr>
    <w:rPr>
      <w:b/>
      <w:color w:val="1F4E79"/>
      <w:sz w:val="22"/>
    </w:rPr>
  </w:style>
  <w:style w:type="paragraph" w:styleId="CITIssueTitle">
    <w:name w:val="CIT Issue Title"/>
    <w:basedOn w:val="Normal"/>
    <w:pPr>
      <w:spacing w:before="160" w:after="60"/>
    </w:pPr>
    <w:rPr>
      <w:b/>
      <w:sz w:val="22"/>
    </w:rPr>
  </w:style>
  <w:style w:type="paragraph" w:styleId="CITBullet">
    <w:name w:val="CIT Bullet"/>
    <w:basedOn w:val="Normal"/>
    <w:pPr>
      <w:ind w:left="360" w:hanging="360"/>
      <w:spacing w:after="60"/>
    </w:pPr>
  </w:style>
  <w:style w:type="paragraph" w:styleId="CITBullet2">
    <w:name w:val="CIT Bullet 2"/>
    <w:basedOn w:val="Normal"/>
    <w:pPr>
      <w:ind w:left="720" w:hanging="360"/>
      <w:spacing w:after="60"/>
    </w:pPr>
  </w:style>
  <w:style w:type="paragraph" w:styleId="CITBody">
    <w:name w:val="CIT Body"/>
    <w:basedOn w:val="Normal"/>
  </w:style>
  <w:style w:type="paragraph" w:styleId="CITPlaceholder">
    <w:name w:val="CIT Placeholder"/>
    <w:basedOn w:val="Normal"/>
    <w:rPr>
      <w:i/>
      <w:color w:val="8A8F96"/>
    </w:rPr>
  </w:style>
  <w:style w:type="paragraph" w:styleId="CITTableHead">
    <w:name w:val="CIT Table Head"/>
    <w:basedOn w:val="Normal"/>
    <w:rPr>
      <w:b/>
      <w:color w:val="767676"/>
    </w:rPr>
  </w:style>
  <w:style w:type="table" w:styleId="CITTable">
    <w:name w:val="CIT Table"/>
    <w:tblPr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80" w:type="dxa"/>
        <w:left w:w="100" w:type="dxa"/>
        <w:bottom w:w="8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