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CITTitle"/>
      </w:pPr>
      <w:r>
        <w:t xml:space="preserve">United States</w:t>
      </w:r>
    </w:p>
    <w:sdt>
      <w:sdtPr>
        <w:alias w:val="Do not edit"/>
        <w:tag w:val="meta|united-states|2"/>
        <w:id w:val="1000"/>
        <w:lock w:val="sdtContentLocked"/>
      </w:sdtPr>
      <w:sdtContent>
        <w:p>
          <w:pPr>
            <w:pStyle w:val="CITMeta"/>
          </w:pPr>
          <w:r>
            <w:t xml:space="preserve">United States · version 2 · edit inside the boxes, then import this file back into the page</w:t>
          </w:r>
        </w:p>
      </w:sdtContent>
    </w:sdt>
    <w:sdt>
      <w:sdtPr>
        <w:alias w:val="Do not edit — records what this file was exported from"/>
        <w:tag w:val="manifest"/>
        <w:id w:val="1001"/>
        <w:lock w:val="sdtContentLocked"/>
      </w:sdtPr>
      <w:sdtContent>
        <w:p>
          <w:pPr>
            <w:pStyle w:val="CITMeta"/>
            <w:rPr>
              <w:vanish/>
            </w:rPr>
          </w:pPr>
          <w:r>
            <w:rPr>
              <w:vanish/>
            </w:rPr>
            <w:t xml:space="preserve">iss-us-tg1 iss-us-tg2 iss-us-ti1 iss-us-mo1 iss-us-mo2 iss-us-fi1 iss-us-do1 iss-us-do2 iss-us-ex1 iss-us-cr1 iss-us-gd1 iss-us-gi1 iss-us-gi2</w:t>
          </w:r>
        </w:p>
      </w:sdtContent>
    </w:sdt>
    <w:sdt>
      <w:sdtPr>
        <w:alias w:val="How to edit this document — do not edit this box"/>
        <w:tag w:val="readme"/>
        <w:id w:val="1002"/>
        <w:lock w:val="sdtContentLocked"/>
      </w:sdtPr>
      <w:sdtContent>
        <w:tbl>
          <w:tblPr>
            <w:tblW w:w="9000" w:type="dxa"/>
            <w:tblBorders>
              <w:top w:val="single" w:sz="6" w:space="0" w:color="C6D2E0"/>
              <w:left w:val="single" w:sz="6" w:space="0" w:color="C6D2E0"/>
              <w:bottom w:val="single" w:sz="6" w:space="0" w:color="C6D2E0"/>
              <w:right w:val="single" w:sz="6" w:space="0" w:color="C6D2E0"/>
            </w:tblBorders>
            <w:shd w:val="clear" w:color="auto" w:fill="F2F6FA"/>
            <w:tblCellMar>
              <w:top w:w="160" w:type="dxa"/>
              <w:left w:w="200" w:type="dxa"/>
              <w:bottom w:w="160" w:type="dxa"/>
              <w:right w:w="200" w:type="dxa"/>
            </w:tblCellMar>
          </w:tblPr>
          <w:tr>
            <w:tc>
              <w:tcPr>
                <w:tcW w:w="9000" w:type="dxa"/>
                <w:shd w:val="clear" w:color="auto" w:fill="F2F6FA"/>
              </w:tcPr>
              <w:p>
                <w:pPr>
                  <w:pStyle w:val="CITNoteHead"/>
                </w:pPr>
                <w:r>
                  <w:t xml:space="preserve">How to edit this document</w:t>
                </w:r>
              </w:p>
              <w:p>
                <w:pPr>
                  <w:pStyle w:val="CITNote"/>
                </w:pPr>
                <w:r>
                  <w:t xml:space="preserve">This is a copy of the United States thesis, version 2. Every issue sits in its own bordered box, and each box carries a hidden label tying it back to the thesis — so edit </w:t>
                </w:r>
                <w:r>
                  <w:rPr>
                    <w:b/>
                  </w:rPr>
                  <w:t xml:space="preserve">inside</w:t>
                </w:r>
                <w:r>
                  <w:t xml:space="preserve"> the boxes rather than around them.</w:t>
                </w:r>
              </w:p>
              <w:p>
                <w:pPr>
                  <w:pStyle w:val="CITNote"/>
                  <w:ind w:left="300" w:hanging="300"/>
                </w:pPr>
                <w:r>
                  <w:t xml:space="preserve">•  </w:t>
                </w:r>
                <w:r>
                  <w:rPr>
                    <w:b/>
                  </w:rPr>
                  <w:t xml:space="preserve">Change the wording</w:t>
                </w:r>
                <w:r>
                  <w:t xml:space="preserve"> — type in any box. Bold is kept. Track Changes and comments are welcome.</w:t>
                </w:r>
              </w:p>
              <w:p>
                <w:pPr>
                  <w:pStyle w:val="CITNote"/>
                  <w:ind w:left="300" w:hanging="300"/>
                </w:pPr>
                <w:r>
                  <w:t xml:space="preserve">•  </w:t>
                </w:r>
                <w:r>
                  <w:rPr>
                    <w:b/>
                  </w:rPr>
                  <w:t xml:space="preserve">Add an issue</w:t>
                </w:r>
                <w:r>
                  <w:t xml:space="preserve"> — use the dashed “Click here and type a new issue” box at the end of a section. Title on the first line, then one bullet per line. For signposts, add lines starting Baseline:, Upside: and Downside:.</w:t>
                </w:r>
              </w:p>
              <w:p>
                <w:pPr>
                  <w:pStyle w:val="CITNote"/>
                  <w:ind w:left="300" w:hanging="300"/>
                </w:pPr>
                <w:r>
                  <w:t xml:space="preserve">•  </w:t>
                </w:r>
                <w:r>
                  <w:rPr>
                    <w:b/>
                  </w:rPr>
                  <w:t xml:space="preserve">Retire an issue</w:t>
                </w:r>
                <w:r>
                  <w:t xml:space="preserve"> — select everything inside its boxes and delete it. Leave the empty box where it is; do not delete the box itself.</w:t>
                </w:r>
              </w:p>
              <w:p>
                <w:pPr>
                  <w:pStyle w:val="CITNote"/>
                  <w:ind w:left="300" w:hanging="300"/>
                </w:pPr>
                <w:r>
                  <w:t xml:space="preserve">•  </w:t>
                </w:r>
                <w:r>
                  <w:rPr>
                    <w:b/>
                  </w:rPr>
                  <w:t xml:space="preserve">Reorder</w:t>
                </w:r>
                <w:r>
                  <w:t xml:space="preserve"> — move the whole box, not just the text inside it.</w:t>
                </w:r>
              </w:p>
              <w:p>
                <w:pPr>
                  <w:pStyle w:val="CITNote"/>
                  <w:ind w:left="300" w:hanging="300"/>
                </w:pPr>
                <w:r>
                  <w:t xml:space="preserve">•  </w:t>
                </w:r>
                <w:r>
                  <w:rPr>
                    <w:b/>
                  </w:rPr>
                  <w:t xml:space="preserve">Signposts go in threes</w:t>
                </w:r>
                <w:r>
                  <w:t xml:space="preserve"> — fill all three cells or leave all three showing their grey hint. One or two filled will be queried rather than imported.</w:t>
                </w:r>
              </w:p>
              <w:p>
                <w:pPr>
                  <w:pStyle w:val="CITNote"/>
                  <w:ind w:left="300" w:hanging="300"/>
                </w:pPr>
                <w:r>
                  <w:t xml:space="preserve">•  </w:t>
                </w:r>
                <w:r>
                  <w:rPr>
                    <w:b/>
                  </w:rPr>
                  <w:t xml:space="preserve">Paste as plain text</w:t>
                </w:r>
                <w:r>
                  <w:t xml:space="preserve"> (Ctrl+Shift+V). An ordinary paste can destroy a box and lose the link back to the thesis.</w:t>
                </w:r>
              </w:p>
              <w:p>
                <w:pPr>
                  <w:pStyle w:val="CITNote"/>
                  <w:ind w:left="300" w:hanging="300"/>
                </w:pPr>
                <w:r>
                  <w:t xml:space="preserve">•  </w:t>
                </w:r>
                <w:r>
                  <w:rPr>
                    <w:b/>
                  </w:rPr>
                  <w:t xml:space="preserve">Leave alone</w:t>
                </w:r>
                <w:r>
                  <w:t xml:space="preserve">: the headings, and the investment implications table — those arrows are only ever set by clicking in the page.</w:t>
                </w:r>
              </w:p>
              <w:p>
                <w:pPr>
                  <w:pStyle w:val="CITNote"/>
                </w:pPr>
                <w:r>
                  <w:t xml:space="preserve">Nothing here changes the thesis until someone reviews every change in the page and applies it. When you are finished, save the file, keeping it as .docx, and send it back.</w:t>
                </w:r>
              </w:p>
            </w:tc>
          </w:tr>
        </w:tbl>
        <w:p>
          <w:pPr>
            <w:pStyle w:val="CITBody"/>
          </w:pPr>
        </w:p>
      </w:sdtContent>
    </w:sdt>
    <w:sdt>
      <w:sdtPr>
        <w:alias w:val="Regime"/>
        <w:tag w:val="group|regime"/>
        <w:id w:val="1003"/>
        <w:lock w:val="sdtContentLocked"/>
      </w:sdtPr>
      <w:sdtContent>
        <w:p>
          <w:pPr>
            <w:pStyle w:val="CITH1"/>
          </w:pPr>
          <w:r>
            <w:t xml:space="preserve">Regime</w:t>
          </w:r>
        </w:p>
      </w:sdtContent>
    </w:sdt>
    <w:sdt>
      <w:sdtPr>
        <w:alias w:val="Trend growth"/>
        <w:tag w:val="sub|drivers/regime/trend-growth"/>
        <w:id w:val="1017"/>
        <w:lock w:val="sdtLocked"/>
      </w:sdtPr>
      <w:sdtContent>
        <w:p>
          <w:pPr>
            <w:pStyle w:val="CITH3"/>
          </w:pPr>
          <w:r>
            <w:t xml:space="preserve">Trend growth</w:t>
          </w:r>
        </w:p>
        <w:sdt>
          <w:sdtPr>
            <w:alias w:val="AI capex is now the growth engine, and the concentration risk"/>
            <w:tag w:val="issue|iss-us-tg1"/>
            <w:id w:val="1009"/>
            <w:lock w:val="sdtLocked"/>
          </w:sdtPr>
          <w:sdtContent>
            <w:sdt>
              <w:sdtPr>
                <w:alias w:val="Title"/>
                <w:tag w:val="field|title"/>
                <w:id w:val="1004"/>
                <w:lock w:val="sdtLocked"/>
              </w:sdtPr>
              <w:sdtContent>
                <w:p>
                  <w:pPr>
                    <w:pStyle w:val="CITIssueTitle"/>
                  </w:pPr>
                  <w:r>
                    <w:t xml:space="preserve">AI capex is now the growth engine, and the concentration risk</w:t>
                  </w:r>
                </w:p>
              </w:sdtContent>
            </w:sdt>
            <w:sdt>
              <w:sdtPr>
                <w:alias w:val="View"/>
                <w:tag w:val="field|text"/>
                <w:id w:val="1005"/>
                <w:lock w:val="sdtLocked"/>
              </w:sdtPr>
              <w:sdtContent>
                <w:p>
                  <w:pPr>
                    <w:pStyle w:val="CITBullet"/>
                    <w:numPr>
                      <w:ilvl w:val="0"/>
                      <w:numId w:val="1"/>
                    </w:numPr>
                  </w:pPr>
                  <w:r>
                    <w:t xml:space="preserve">Investment in data centres, power and chips is running at something like 2-2.5% of GDP and has carried GDP growth through the tariff and oil shocks; ex-AI, the economy is close to stall speed</w:t>
                  </w:r>
                </w:p>
                <w:p>
                  <w:pPr>
                    <w:pStyle w:val="CITBullet"/>
                    <w:numPr>
                      <w:ilvl w:val="0"/>
                      <w:numId w:val="1"/>
                    </w:numPr>
                  </w:pPr>
                  <w:r>
                    <w:t xml:space="preserve">Financing has migrated from hyperscaler cash flow to bonds and private credit, so a capex pause would hit both growth and credit markets at once</w:t>
                  </w:r>
                </w:p>
                <w:p>
                  <w:pPr>
                    <w:pStyle w:val="CITBullet"/>
                    <w:numPr>
                      <w:ilvl w:val="0"/>
                      <w:numId w:val="1"/>
                    </w:numPr>
                  </w:pPr>
                  <w:r>
                    <w:t xml:space="preserve">Working assumption: potential growth around 2% while the productivity dividend is still mostly promise; hours worked and non-residential investment are the tells</w:t>
                  </w:r>
                </w:p>
              </w:sdtContent>
            </w:sdt>
            <w:tbl>
              <w:tblPr>
                <w:tblStyle w:val="CITTable"/>
                <w:tblW w:w="9000" w:type="dxa"/>
              </w:tblPr>
              <w:tr>
                <w:tc>
                  <w:tcPr>
                    <w:tcW w:w="3000" w:type="dxa"/>
                  </w:tcPr>
                  <w:p>
                    <w:pPr>
                      <w:pStyle w:val="CITTableHead"/>
                    </w:pPr>
                    <w:r>
                      <w:t xml:space="preserve">Baseline</w:t>
                    </w:r>
                  </w:p>
                </w:tc>
                <w:tc>
                  <w:tcPr>
                    <w:tcW w:w="3000" w:type="dxa"/>
                  </w:tcPr>
                  <w:p>
                    <w:pPr>
                      <w:pStyle w:val="CITTableHead"/>
                    </w:pPr>
                    <w:r>
                      <w:t xml:space="preserve">Upside</w:t>
                    </w:r>
                  </w:p>
                </w:tc>
                <w:tc>
                  <w:tcPr>
                    <w:tcW w:w="3000" w:type="dxa"/>
                  </w:tcPr>
                  <w:p>
                    <w:pPr>
                      <w:pStyle w:val="CITTableHead"/>
                    </w:pPr>
                    <w:r>
                      <w:t xml:space="preserve">Downside</w:t>
                    </w:r>
                  </w:p>
                </w:tc>
              </w:tr>
              <w:tr>
                <w:tc>
                  <w:tcPr>
                    <w:tcW w:w="3000" w:type="dxa"/>
                  </w:tcPr>
                  <w:sdt>
                    <w:sdtPr>
                      <w:alias w:val="Baseline"/>
                      <w:tag w:val="field|baseline"/>
                      <w:id w:val="1006"/>
                      <w:lock w:val="sdtLocked"/>
                    </w:sdtPr>
                    <w:sdtContent>
                      <w:p>
                        <w:pPr>
                          <w:pStyle w:val="CITBullet"/>
                          <w:numPr>
                            <w:ilvl w:val="0"/>
                            <w:numId w:val="1"/>
                          </w:numPr>
                        </w:pPr>
                        <w:r>
                          <w:t xml:space="preserve">Data-centre and power investment keeps growing but decelerates; contributes 0.3-0.5pp to growth in 2027 with financing increasingly debt-funded</w:t>
                        </w:r>
                      </w:p>
                    </w:sdtContent>
                  </w:sdt>
                </w:tc>
                <w:tc>
                  <w:tcPr>
                    <w:tcW w:w="3000" w:type="dxa"/>
                  </w:tcPr>
                  <w:sdt>
                    <w:sdtPr>
                      <w:alias w:val="Upside"/>
                      <w:tag w:val="field|upside"/>
                      <w:id w:val="1007"/>
                      <w:lock w:val="sdtLocked"/>
                    </w:sdtPr>
                    <w:sdtContent>
                      <w:p>
                        <w:pPr>
                          <w:pStyle w:val="CITBullet"/>
                          <w:numPr>
                            <w:ilvl w:val="0"/>
                            <w:numId w:val="1"/>
                          </w:numPr>
                        </w:pPr>
                        <w:r>
                          <w:t xml:space="preserve">Investment broadens into the grid, industrial automation and measured productivity; potential growth revised up toward 2.5%</w:t>
                        </w:r>
                      </w:p>
                    </w:sdtContent>
                  </w:sdt>
                </w:tc>
                <w:tc>
                  <w:tcPr>
                    <w:tcW w:w="3000" w:type="dxa"/>
                  </w:tcPr>
                  <w:sdt>
                    <w:sdtPr>
                      <w:alias w:val="Downside"/>
                      <w:tag w:val="field|downside"/>
                      <w:id w:val="1008"/>
                      <w:lock w:val="sdtLocked"/>
                    </w:sdtPr>
                    <w:sdtContent>
                      <w:p>
                        <w:pPr>
                          <w:pStyle w:val="CITBullet"/>
                          <w:numPr>
                            <w:ilvl w:val="0"/>
                            <w:numId w:val="1"/>
                          </w:numPr>
                        </w:pPr>
                        <w:r>
                          <w:t xml:space="preserve">Returns disappoint and private-credit financing tightens; orders are cut, investment subtracts from growth and the credit channel amplifies it</w:t>
                        </w:r>
                      </w:p>
                    </w:sdtContent>
                  </w:sdt>
                </w:tc>
              </w:tr>
            </w:tbl>
            <w:p>
              <w:pPr>
                <w:pStyle w:val="CITBody"/>
              </w:pPr>
            </w:p>
          </w:sdtContent>
        </w:sdt>
        <w:sdt>
          <w:sdtPr>
            <w:alias w:val="Labour supply is the binding constraint"/>
            <w:tag w:val="issue|iss-us-tg2"/>
            <w:id w:val="1015"/>
            <w:lock w:val="sdtLocked"/>
          </w:sdtPr>
          <w:sdtContent>
            <w:sdt>
              <w:sdtPr>
                <w:alias w:val="Title"/>
                <w:tag w:val="field|title"/>
                <w:id w:val="1010"/>
                <w:lock w:val="sdtLocked"/>
              </w:sdtPr>
              <w:sdtContent>
                <w:p>
                  <w:pPr>
                    <w:pStyle w:val="CITIssueTitle"/>
                  </w:pPr>
                  <w:r>
                    <w:t xml:space="preserve">Labour supply is the binding constraint</w:t>
                  </w:r>
                </w:p>
              </w:sdtContent>
            </w:sdt>
            <w:sdt>
              <w:sdtPr>
                <w:alias w:val="View"/>
                <w:tag w:val="field|text"/>
                <w:id w:val="1011"/>
                <w:lock w:val="sdtLocked"/>
              </w:sdtPr>
              <w:sdtContent>
                <w:p>
                  <w:pPr>
                    <w:pStyle w:val="CITBullet"/>
                    <w:numPr>
                      <w:ilvl w:val="0"/>
                      <w:numId w:val="1"/>
                    </w:numPr>
                  </w:pPr>
                  <w:r>
                    <w:t xml:space="preserve">Immigration enforcement has cut labour-force growth to a trickle; payrolls in the 50-150k range are now consistent with a flat unemployment rate (4.1% in August)</w:t>
                  </w:r>
                </w:p>
                <w:p>
                  <w:pPr>
                    <w:pStyle w:val="CITBullet"/>
                    <w:numPr>
                      <w:ilvl w:val="0"/>
                      <w:numId w:val="1"/>
                    </w:numPr>
                  </w:pPr>
                  <w:r>
                    <w:t xml:space="preserve">A low-churn market: few layoffs, few hires, long-term unemployment share at a five-year high, wage growth down to about 3% and below headline inflation for four months running</w:t>
                  </w:r>
                </w:p>
                <w:p>
                  <w:pPr>
                    <w:pStyle w:val="CITBullet"/>
                    <w:numPr>
                      <w:ilvl w:val="0"/>
                      <w:numId w:val="1"/>
                    </w:numPr>
                  </w:pPr>
                  <w:r>
                    <w:t xml:space="preserve">Implication: break-even payroll growth is much lower than markets are used to, and a downturn would show up in hours and participation before it shows in the unemployment rate</w:t>
                  </w:r>
                </w:p>
              </w:sdtContent>
            </w:sdt>
            <w:tbl>
              <w:tblPr>
                <w:tblStyle w:val="CITTable"/>
                <w:tblW w:w="9000" w:type="dxa"/>
              </w:tblPr>
              <w:tr>
                <w:tc>
                  <w:tcPr>
                    <w:tcW w:w="3000" w:type="dxa"/>
                  </w:tcPr>
                  <w:p>
                    <w:pPr>
                      <w:pStyle w:val="CITTableHead"/>
                    </w:pPr>
                    <w:r>
                      <w:t xml:space="preserve">Baseline</w:t>
                    </w:r>
                  </w:p>
                </w:tc>
                <w:tc>
                  <w:tcPr>
                    <w:tcW w:w="3000" w:type="dxa"/>
                  </w:tcPr>
                  <w:p>
                    <w:pPr>
                      <w:pStyle w:val="CITTableHead"/>
                    </w:pPr>
                    <w:r>
                      <w:t xml:space="preserve">Upside</w:t>
                    </w:r>
                  </w:p>
                </w:tc>
                <w:tc>
                  <w:tcPr>
                    <w:tcW w:w="3000" w:type="dxa"/>
                  </w:tcPr>
                  <w:p>
                    <w:pPr>
                      <w:pStyle w:val="CITTableHead"/>
                    </w:pPr>
                    <w:r>
                      <w:t xml:space="preserve">Downside</w:t>
                    </w:r>
                  </w:p>
                </w:tc>
              </w:tr>
              <w:tr>
                <w:tc>
                  <w:tcPr>
                    <w:tcW w:w="3000" w:type="dxa"/>
                  </w:tcPr>
                  <w:sdt>
                    <w:sdtPr>
                      <w:alias w:val="Baseline"/>
                      <w:tag w:val="field|baseline"/>
                      <w:id w:val="1012"/>
                      <w:lock w:val="sdtLocked"/>
                      <w:showingPlcHdr/>
                    </w:sdtPr>
                    <w:sdtContent>
                      <w:p>
                        <w:pPr>
                          <w:pStyle w:val="CITPlaceholder"/>
                        </w:pPr>
                        <w:r>
                          <w:t xml:space="preserve">Baseline — what we expect. Leave all three empty if this issue has no signposts.</w:t>
                        </w:r>
                      </w:p>
                    </w:sdtContent>
                  </w:sdt>
                </w:tc>
                <w:tc>
                  <w:tcPr>
                    <w:tcW w:w="3000" w:type="dxa"/>
                  </w:tcPr>
                  <w:sdt>
                    <w:sdtPr>
                      <w:alias w:val="Upside"/>
                      <w:tag w:val="field|upside"/>
                      <w:id w:val="1013"/>
                      <w:lock w:val="sdtLocked"/>
                      <w:showingPlcHdr/>
                    </w:sdtPr>
                    <w:sdtContent>
                      <w:p>
                        <w:pPr>
                          <w:pStyle w:val="CITPlaceholder"/>
                        </w:pPr>
                        <w:r>
                          <w:t xml:space="preserve">Upside — what would make it better.</w:t>
                        </w:r>
                      </w:p>
                    </w:sdtContent>
                  </w:sdt>
                </w:tc>
                <w:tc>
                  <w:tcPr>
                    <w:tcW w:w="3000" w:type="dxa"/>
                  </w:tcPr>
                  <w:sdt>
                    <w:sdtPr>
                      <w:alias w:val="Downside"/>
                      <w:tag w:val="field|downside"/>
                      <w:id w:val="1014"/>
                      <w:lock w:val="sdtLocked"/>
                      <w:showingPlcHdr/>
                    </w:sdtPr>
                    <w:sdtContent>
                      <w:p>
                        <w:pPr>
                          <w:pStyle w:val="CITPlaceholder"/>
                        </w:pPr>
                        <w:r>
                          <w:t xml:space="preserve">Downside — what would make it worse.</w:t>
                        </w:r>
                      </w:p>
                    </w:sdtContent>
                  </w:sdt>
                </w:tc>
              </w:tr>
            </w:tbl>
            <w:p>
              <w:pPr>
                <w:pStyle w:val="CITBody"/>
              </w:pPr>
            </w:p>
          </w:sdtContent>
        </w:sdt>
        <w:sdt>
          <w:sdtPr>
            <w:alias w:val="New issue in Trend growth"/>
            <w:tag w:val="slot|issue"/>
            <w:id w:val="1016"/>
            <w:lock w:val="sdtLocked"/>
            <w:showingPlcHdr/>
          </w:sdtPr>
          <w:sdtContent>
            <w:p>
              <w:pPr>
                <w:pStyle w:val="CITPlaceholder"/>
              </w:pPr>
              <w:r>
                <w:t xml:space="preserve">Click here and type a new issue: its title on the first line, then one bullet per line. To give it signposts, add lines beginning Baseline:, Upside: and Downside:.</w:t>
              </w:r>
            </w:p>
          </w:sdtContent>
        </w:sdt>
      </w:sdtContent>
    </w:sdt>
    <w:sdt>
      <w:sdtPr>
        <w:alias w:val="Trend inflation"/>
        <w:tag w:val="sub|drivers/regime/trend-inflation"/>
        <w:id w:val="1025"/>
        <w:lock w:val="sdtLocked"/>
      </w:sdtPr>
      <w:sdtContent>
        <w:p>
          <w:pPr>
            <w:pStyle w:val="CITH3"/>
          </w:pPr>
          <w:r>
            <w:t xml:space="preserve">Trend inflation</w:t>
          </w:r>
        </w:p>
        <w:sdt>
          <w:sdtPr>
            <w:alias w:val="Oil shock on top of tariff pass-through"/>
            <w:tag w:val="issue|iss-us-ti1"/>
            <w:id w:val="1023"/>
            <w:lock w:val="sdtLocked"/>
          </w:sdtPr>
          <w:sdtContent>
            <w:sdt>
              <w:sdtPr>
                <w:alias w:val="Title"/>
                <w:tag w:val="field|title"/>
                <w:id w:val="1018"/>
                <w:lock w:val="sdtLocked"/>
              </w:sdtPr>
              <w:sdtContent>
                <w:p>
                  <w:pPr>
                    <w:pStyle w:val="CITIssueTitle"/>
                  </w:pPr>
                  <w:r>
                    <w:t xml:space="preserve">Oil shock on top of tariff pass-through</w:t>
                  </w:r>
                </w:p>
              </w:sdtContent>
            </w:sdt>
            <w:sdt>
              <w:sdtPr>
                <w:alias w:val="View"/>
                <w:tag w:val="field|text"/>
                <w:id w:val="1019"/>
                <w:lock w:val="sdtLocked"/>
              </w:sdtPr>
              <w:sdtContent>
                <w:p>
                  <w:pPr>
                    <w:pStyle w:val="CITBullet"/>
                    <w:numPr>
                      <w:ilvl w:val="0"/>
                      <w:numId w:val="1"/>
                    </w:numPr>
                  </w:pPr>
                  <w:r>
                    <w:t xml:space="preserve">Headline CPI is stuck at 3.4% with gasoline at record nominal highs after the Hormuz closure; core has cooled to the low 2s as goods pass-through from 2025 tariffs fades and shelter decelerates</w:t>
                  </w:r>
                </w:p>
                <w:p>
                  <w:pPr>
                    <w:pStyle w:val="CITBullet"/>
                    <w:numPr>
                      <w:ilvl w:val="0"/>
                      <w:numId w:val="1"/>
                    </w:numPr>
                  </w:pPr>
                  <w:r>
                    <w:t xml:space="preserve">The risk is second-round effects: short-horizon inflation expectations are elevated and real wages are falling, which is the classic set-up for wage catch-up demands in 2027</w:t>
                  </w:r>
                </w:p>
                <w:p>
                  <w:pPr>
                    <w:pStyle w:val="CITBullet"/>
                    <w:numPr>
                      <w:ilvl w:val="0"/>
                      <w:numId w:val="1"/>
                    </w:numPr>
                  </w:pPr>
                  <w:r>
                    <w:t xml:space="preserve">We assume trend inflation settles near 2.5-3% rather than 2%, with the energy path the swing factor</w:t>
                  </w:r>
                </w:p>
              </w:sdtContent>
            </w:sdt>
            <w:tbl>
              <w:tblPr>
                <w:tblStyle w:val="CITTable"/>
                <w:tblW w:w="9000" w:type="dxa"/>
              </w:tblPr>
              <w:tr>
                <w:tc>
                  <w:tcPr>
                    <w:tcW w:w="3000" w:type="dxa"/>
                  </w:tcPr>
                  <w:p>
                    <w:pPr>
                      <w:pStyle w:val="CITTableHead"/>
                    </w:pPr>
                    <w:r>
                      <w:t xml:space="preserve">Baseline</w:t>
                    </w:r>
                  </w:p>
                </w:tc>
                <w:tc>
                  <w:tcPr>
                    <w:tcW w:w="3000" w:type="dxa"/>
                  </w:tcPr>
                  <w:p>
                    <w:pPr>
                      <w:pStyle w:val="CITTableHead"/>
                    </w:pPr>
                    <w:r>
                      <w:t xml:space="preserve">Upside</w:t>
                    </w:r>
                  </w:p>
                </w:tc>
                <w:tc>
                  <w:tcPr>
                    <w:tcW w:w="3000" w:type="dxa"/>
                  </w:tcPr>
                  <w:p>
                    <w:pPr>
                      <w:pStyle w:val="CITTableHead"/>
                    </w:pPr>
                    <w:r>
                      <w:t xml:space="preserve">Downside</w:t>
                    </w:r>
                  </w:p>
                </w:tc>
              </w:tr>
              <w:tr>
                <w:tc>
                  <w:tcPr>
                    <w:tcW w:w="3000" w:type="dxa"/>
                  </w:tcPr>
                  <w:sdt>
                    <w:sdtPr>
                      <w:alias w:val="Baseline"/>
                      <w:tag w:val="field|baseline"/>
                      <w:id w:val="1020"/>
                      <w:lock w:val="sdtLocked"/>
                    </w:sdtPr>
                    <w:sdtContent>
                      <w:p>
                        <w:pPr>
                          <w:pStyle w:val="CITBullet"/>
                          <w:numPr>
                            <w:ilvl w:val="0"/>
                            <w:numId w:val="1"/>
                          </w:numPr>
                        </w:pPr>
                        <w:r>
                          <w:t xml:space="preserve">Headline CPI drifts from 3.4% toward 2.8% by mid-2027 as the energy contribution fades; core stays 2.3-2.6%</w:t>
                        </w:r>
                      </w:p>
                    </w:sdtContent>
                  </w:sdt>
                </w:tc>
                <w:tc>
                  <w:tcPr>
                    <w:tcW w:w="3000" w:type="dxa"/>
                  </w:tcPr>
                  <w:sdt>
                    <w:sdtPr>
                      <w:alias w:val="Upside"/>
                      <w:tag w:val="field|upside"/>
                      <w:id w:val="1021"/>
                      <w:lock w:val="sdtLocked"/>
                    </w:sdtPr>
                    <w:sdtContent>
                      <w:p>
                        <w:pPr>
                          <w:pStyle w:val="CITBullet"/>
                          <w:numPr>
                            <w:ilvl w:val="0"/>
                            <w:numId w:val="1"/>
                          </w:numPr>
                        </w:pPr>
                        <w:r>
                          <w:t xml:space="preserve">Energy normalises quickly and shelter disinflation brings headline to 2.3% by end-2027; expectations re-anchor</w:t>
                        </w:r>
                      </w:p>
                    </w:sdtContent>
                  </w:sdt>
                </w:tc>
                <w:tc>
                  <w:tcPr>
                    <w:tcW w:w="3000" w:type="dxa"/>
                  </w:tcPr>
                  <w:sdt>
                    <w:sdtPr>
                      <w:alias w:val="Downside"/>
                      <w:tag w:val="field|downside"/>
                      <w:id w:val="1022"/>
                      <w:lock w:val="sdtLocked"/>
                    </w:sdtPr>
                    <w:sdtContent>
                      <w:p>
                        <w:pPr>
                          <w:pStyle w:val="CITBullet"/>
                          <w:numPr>
                            <w:ilvl w:val="0"/>
                            <w:numId w:val="1"/>
                          </w:numPr>
                        </w:pPr>
                        <w:r>
                          <w:t xml:space="preserve">Second-round effects from energy and a weaker dollar push core back above 3%; short-horizon expectations unanchor and the Fed is forced into a real tightening cycle</w:t>
                        </w:r>
                      </w:p>
                    </w:sdtContent>
                  </w:sdt>
                </w:tc>
              </w:tr>
            </w:tbl>
            <w:p>
              <w:pPr>
                <w:pStyle w:val="CITBody"/>
              </w:pPr>
            </w:p>
          </w:sdtContent>
        </w:sdt>
        <w:sdt>
          <w:sdtPr>
            <w:alias w:val="New issue in Trend inflation"/>
            <w:tag w:val="slot|issue"/>
            <w:id w:val="1024"/>
            <w:lock w:val="sdtLocked"/>
            <w:showingPlcHdr/>
          </w:sdtPr>
          <w:sdtContent>
            <w:p>
              <w:pPr>
                <w:pStyle w:val="CITPlaceholder"/>
              </w:pPr>
              <w:r>
                <w:t xml:space="preserve">Click here and type a new issue: its title on the first line, then one bullet per line. To give it signposts, add lines beginning Baseline:, Upside: and Downside:.</w:t>
              </w:r>
            </w:p>
          </w:sdtContent>
        </w:sdt>
      </w:sdtContent>
    </w:sdt>
    <w:sdt>
      <w:sdtPr>
        <w:alias w:val="New subsection under Regime"/>
        <w:tag w:val="slot|sub|regime"/>
        <w:id w:val="1026"/>
        <w:lock w:val="sdtLocked"/>
        <w:showingPlcHdr/>
      </w:sdtPr>
      <w:sdtContent>
        <w:p>
          <w:pPr>
            <w:pStyle w:val="CITPlaceholder"/>
          </w:pPr>
          <w:r>
            <w:t xml:space="preserve">Click here and type the name of a new subsection, then its first issue title and bullets.</w:t>
          </w:r>
        </w:p>
      </w:sdtContent>
    </w:sdt>
    <w:sdt>
      <w:sdtPr>
        <w:alias w:val="Policy"/>
        <w:tag w:val="group|policy"/>
        <w:id w:val="1027"/>
        <w:lock w:val="sdtContentLocked"/>
      </w:sdtPr>
      <w:sdtContent>
        <w:p>
          <w:pPr>
            <w:pStyle w:val="CITH1"/>
          </w:pPr>
          <w:r>
            <w:t xml:space="preserve">Policy</w:t>
          </w:r>
        </w:p>
      </w:sdtContent>
    </w:sdt>
    <w:sdt>
      <w:sdtPr>
        <w:alias w:val="Monetary"/>
        <w:tag w:val="sub|drivers/policy/monetary"/>
        <w:id w:val="1041"/>
        <w:lock w:val="sdtLocked"/>
      </w:sdtPr>
      <w:sdtContent>
        <w:p>
          <w:pPr>
            <w:pStyle w:val="CITH3"/>
          </w:pPr>
          <w:r>
            <w:t xml:space="preserve">Monetary</w:t>
          </w:r>
        </w:p>
        <w:sdt>
          <w:sdtPr>
            <w:alias w:val="Warsh Fed facing a hike into a slowing economy"/>
            <w:tag w:val="issue|iss-us-mo1"/>
            <w:id w:val="1033"/>
            <w:lock w:val="sdtLocked"/>
          </w:sdtPr>
          <w:sdtContent>
            <w:sdt>
              <w:sdtPr>
                <w:alias w:val="Title"/>
                <w:tag w:val="field|title"/>
                <w:id w:val="1028"/>
                <w:lock w:val="sdtLocked"/>
              </w:sdtPr>
              <w:sdtContent>
                <w:p>
                  <w:pPr>
                    <w:pStyle w:val="CITIssueTitle"/>
                  </w:pPr>
                  <w:r>
                    <w:t xml:space="preserve">Warsh Fed facing a hike into a slowing economy</w:t>
                  </w:r>
                </w:p>
              </w:sdtContent>
            </w:sdt>
            <w:sdt>
              <w:sdtPr>
                <w:alias w:val="View"/>
                <w:tag w:val="field|text"/>
                <w:id w:val="1029"/>
                <w:lock w:val="sdtLocked"/>
              </w:sdtPr>
              <w:sdtContent>
                <w:p>
                  <w:pPr>
                    <w:pStyle w:val="CITBullet"/>
                    <w:numPr>
                      <w:ilvl w:val="0"/>
                      <w:numId w:val="1"/>
                    </w:numPr>
                  </w:pPr>
                  <w:r>
                    <w:t xml:space="preserve">Funds rate at 3.50-3.75% after the July 9-3 hold; three dissents for a hike, and markets price roughly two-thirds odds of a 25bp increase on 16 September</w:t>
                  </w:r>
                </w:p>
                <w:p>
                  <w:pPr>
                    <w:pStyle w:val="CITBullet"/>
                    <w:numPr>
                      <w:ilvl w:val="0"/>
                      <w:numId w:val="1"/>
                    </w:numPr>
                  </w:pPr>
                  <w:r>
                    <w:t xml:space="preserve">The committee is split between looking through a supply shock and defending credibility after leaving rates unchanged into rising headline inflation; Hammack and others have floated multiple hikes</w:t>
                  </w:r>
                </w:p>
                <w:p>
                  <w:pPr>
                    <w:pStyle w:val="CITBullet"/>
                    <w:numPr>
                      <w:ilvl w:val="0"/>
                      <w:numId w:val="1"/>
                    </w:numPr>
                  </w:pPr>
                  <w:r>
                    <w:t xml:space="preserve">Watch: the September dots, whether Warsh frames any hike as insurance or the start of a cycle, and the balance-sheet language (reserve-management purchases have been keeping front-end funding calm)</w:t>
                  </w:r>
                </w:p>
              </w:sdtContent>
            </w:sdt>
            <w:tbl>
              <w:tblPr>
                <w:tblStyle w:val="CITTable"/>
                <w:tblW w:w="9000" w:type="dxa"/>
              </w:tblPr>
              <w:tr>
                <w:tc>
                  <w:tcPr>
                    <w:tcW w:w="3000" w:type="dxa"/>
                  </w:tcPr>
                  <w:p>
                    <w:pPr>
                      <w:pStyle w:val="CITTableHead"/>
                    </w:pPr>
                    <w:r>
                      <w:t xml:space="preserve">Baseline</w:t>
                    </w:r>
                  </w:p>
                </w:tc>
                <w:tc>
                  <w:tcPr>
                    <w:tcW w:w="3000" w:type="dxa"/>
                  </w:tcPr>
                  <w:p>
                    <w:pPr>
                      <w:pStyle w:val="CITTableHead"/>
                    </w:pPr>
                    <w:r>
                      <w:t xml:space="preserve">Upside</w:t>
                    </w:r>
                  </w:p>
                </w:tc>
                <w:tc>
                  <w:tcPr>
                    <w:tcW w:w="3000" w:type="dxa"/>
                  </w:tcPr>
                  <w:p>
                    <w:pPr>
                      <w:pStyle w:val="CITTableHead"/>
                    </w:pPr>
                    <w:r>
                      <w:t xml:space="preserve">Downside</w:t>
                    </w:r>
                  </w:p>
                </w:tc>
              </w:tr>
              <w:tr>
                <w:tc>
                  <w:tcPr>
                    <w:tcW w:w="3000" w:type="dxa"/>
                  </w:tcPr>
                  <w:sdt>
                    <w:sdtPr>
                      <w:alias w:val="Baseline"/>
                      <w:tag w:val="field|baseline"/>
                      <w:id w:val="1030"/>
                      <w:lock w:val="sdtLocked"/>
                    </w:sdtPr>
                    <w:sdtContent>
                      <w:p>
                        <w:pPr>
                          <w:pStyle w:val="CITBullet"/>
                          <w:numPr>
                            <w:ilvl w:val="0"/>
                            <w:numId w:val="1"/>
                          </w:numPr>
                        </w:pPr>
                        <w:r>
                          <w:t xml:space="preserve">One or two insurance hikes to 4.00%, then an extended hold while the committee watches the labour market; cuts return only in 2H27</w:t>
                        </w:r>
                      </w:p>
                    </w:sdtContent>
                  </w:sdt>
                </w:tc>
                <w:tc>
                  <w:tcPr>
                    <w:tcW w:w="3000" w:type="dxa"/>
                  </w:tcPr>
                  <w:sdt>
                    <w:sdtPr>
                      <w:alias w:val="Upside"/>
                      <w:tag w:val="field|upside"/>
                      <w:id w:val="1031"/>
                      <w:lock w:val="sdtLocked"/>
                    </w:sdtPr>
                    <w:sdtContent>
                      <w:p>
                        <w:pPr>
                          <w:pStyle w:val="CITBullet"/>
                          <w:numPr>
                            <w:ilvl w:val="0"/>
                            <w:numId w:val="1"/>
                          </w:numPr>
                        </w:pPr>
                        <w:r>
                          <w:t xml:space="preserve">Energy relief lets the Fed stay on hold and resume cutting toward 3% in 2027; the curve bull-steepens in an orderly way</w:t>
                        </w:r>
                      </w:p>
                    </w:sdtContent>
                  </w:sdt>
                </w:tc>
                <w:tc>
                  <w:tcPr>
                    <w:tcW w:w="3000" w:type="dxa"/>
                  </w:tcPr>
                  <w:sdt>
                    <w:sdtPr>
                      <w:alias w:val="Downside"/>
                      <w:tag w:val="field|downside"/>
                      <w:id w:val="1032"/>
                      <w:lock w:val="sdtLocked"/>
                    </w:sdtPr>
                    <w:sdtContent>
                      <w:p>
                        <w:pPr>
                          <w:pStyle w:val="CITBullet"/>
                          <w:numPr>
                            <w:ilvl w:val="0"/>
                            <w:numId w:val="1"/>
                          </w:numPr>
                        </w:pPr>
                        <w:r>
                          <w:t xml:space="preserve">Either a full hiking cycle toward 4.5-5% into a stagflationary economy, or a growth shock forcing rapid cuts below 2.5%; both damage risk assets and the credibility of the reaction function</w:t>
                        </w:r>
                      </w:p>
                    </w:sdtContent>
                  </w:sdt>
                </w:tc>
              </w:tr>
            </w:tbl>
            <w:p>
              <w:pPr>
                <w:pStyle w:val="CITBody"/>
              </w:pPr>
            </w:p>
          </w:sdtContent>
        </w:sdt>
        <w:sdt>
          <w:sdtPr>
            <w:alias w:val="Independence and the reaction function"/>
            <w:tag w:val="issue|iss-us-mo2"/>
            <w:id w:val="1039"/>
            <w:lock w:val="sdtLocked"/>
          </w:sdtPr>
          <w:sdtContent>
            <w:sdt>
              <w:sdtPr>
                <w:alias w:val="Title"/>
                <w:tag w:val="field|title"/>
                <w:id w:val="1034"/>
                <w:lock w:val="sdtLocked"/>
              </w:sdtPr>
              <w:sdtContent>
                <w:p>
                  <w:pPr>
                    <w:pStyle w:val="CITIssueTitle"/>
                  </w:pPr>
                  <w:r>
                    <w:t xml:space="preserve">Independence and the reaction function</w:t>
                  </w:r>
                </w:p>
              </w:sdtContent>
            </w:sdt>
            <w:sdt>
              <w:sdtPr>
                <w:alias w:val="View"/>
                <w:tag w:val="field|text"/>
                <w:id w:val="1035"/>
                <w:lock w:val="sdtLocked"/>
              </w:sdtPr>
              <w:sdtContent>
                <w:p>
                  <w:pPr>
                    <w:pStyle w:val="CITBullet"/>
                    <w:numPr>
                      <w:ilvl w:val="0"/>
                      <w:numId w:val="1"/>
                    </w:numPr>
                  </w:pPr>
                  <w:r>
                    <w:t xml:space="preserve">The 2026 chair transition went through without the institutional rupture markets feared, but the administration's preference for lower rates is public and the committee's composition has shifted</w:t>
                  </w:r>
                </w:p>
                <w:p>
                  <w:pPr>
                    <w:pStyle w:val="CITBullet"/>
                    <w:numPr>
                      <w:ilvl w:val="0"/>
                      <w:numId w:val="1"/>
                    </w:numPr>
                  </w:pPr>
                  <w:r>
                    <w:t xml:space="preserve">Our read: the reaction function is more tolerant of inflation than in 2022 but not captured; the term premium is where markets express doubt, not the front end</w:t>
                  </w:r>
                </w:p>
              </w:sdtContent>
            </w:sdt>
            <w:tbl>
              <w:tblPr>
                <w:tblStyle w:val="CITTable"/>
                <w:tblW w:w="9000" w:type="dxa"/>
              </w:tblPr>
              <w:tr>
                <w:tc>
                  <w:tcPr>
                    <w:tcW w:w="3000" w:type="dxa"/>
                  </w:tcPr>
                  <w:p>
                    <w:pPr>
                      <w:pStyle w:val="CITTableHead"/>
                    </w:pPr>
                    <w:r>
                      <w:t xml:space="preserve">Baseline</w:t>
                    </w:r>
                  </w:p>
                </w:tc>
                <w:tc>
                  <w:tcPr>
                    <w:tcW w:w="3000" w:type="dxa"/>
                  </w:tcPr>
                  <w:p>
                    <w:pPr>
                      <w:pStyle w:val="CITTableHead"/>
                    </w:pPr>
                    <w:r>
                      <w:t xml:space="preserve">Upside</w:t>
                    </w:r>
                  </w:p>
                </w:tc>
                <w:tc>
                  <w:tcPr>
                    <w:tcW w:w="3000" w:type="dxa"/>
                  </w:tcPr>
                  <w:p>
                    <w:pPr>
                      <w:pStyle w:val="CITTableHead"/>
                    </w:pPr>
                    <w:r>
                      <w:t xml:space="preserve">Downside</w:t>
                    </w:r>
                  </w:p>
                </w:tc>
              </w:tr>
              <w:tr>
                <w:tc>
                  <w:tcPr>
                    <w:tcW w:w="3000" w:type="dxa"/>
                  </w:tcPr>
                  <w:sdt>
                    <w:sdtPr>
                      <w:alias w:val="Baseline"/>
                      <w:tag w:val="field|baseline"/>
                      <w:id w:val="1036"/>
                      <w:lock w:val="sdtLocked"/>
                      <w:showingPlcHdr/>
                    </w:sdtPr>
                    <w:sdtContent>
                      <w:p>
                        <w:pPr>
                          <w:pStyle w:val="CITPlaceholder"/>
                        </w:pPr>
                        <w:r>
                          <w:t xml:space="preserve">Baseline — what we expect. Leave all three empty if this issue has no signposts.</w:t>
                        </w:r>
                      </w:p>
                    </w:sdtContent>
                  </w:sdt>
                </w:tc>
                <w:tc>
                  <w:tcPr>
                    <w:tcW w:w="3000" w:type="dxa"/>
                  </w:tcPr>
                  <w:sdt>
                    <w:sdtPr>
                      <w:alias w:val="Upside"/>
                      <w:tag w:val="field|upside"/>
                      <w:id w:val="1037"/>
                      <w:lock w:val="sdtLocked"/>
                      <w:showingPlcHdr/>
                    </w:sdtPr>
                    <w:sdtContent>
                      <w:p>
                        <w:pPr>
                          <w:pStyle w:val="CITPlaceholder"/>
                        </w:pPr>
                        <w:r>
                          <w:t xml:space="preserve">Upside — what would make it better.</w:t>
                        </w:r>
                      </w:p>
                    </w:sdtContent>
                  </w:sdt>
                </w:tc>
                <w:tc>
                  <w:tcPr>
                    <w:tcW w:w="3000" w:type="dxa"/>
                  </w:tcPr>
                  <w:sdt>
                    <w:sdtPr>
                      <w:alias w:val="Downside"/>
                      <w:tag w:val="field|downside"/>
                      <w:id w:val="1038"/>
                      <w:lock w:val="sdtLocked"/>
                      <w:showingPlcHdr/>
                    </w:sdtPr>
                    <w:sdtContent>
                      <w:p>
                        <w:pPr>
                          <w:pStyle w:val="CITPlaceholder"/>
                        </w:pPr>
                        <w:r>
                          <w:t xml:space="preserve">Downside — what would make it worse.</w:t>
                        </w:r>
                      </w:p>
                    </w:sdtContent>
                  </w:sdt>
                </w:tc>
              </w:tr>
            </w:tbl>
            <w:p>
              <w:pPr>
                <w:pStyle w:val="CITBody"/>
              </w:pPr>
            </w:p>
          </w:sdtContent>
        </w:sdt>
        <w:sdt>
          <w:sdtPr>
            <w:alias w:val="New issue in Monetary"/>
            <w:tag w:val="slot|issue"/>
            <w:id w:val="1040"/>
            <w:lock w:val="sdtLocked"/>
            <w:showingPlcHdr/>
          </w:sdtPr>
          <w:sdtContent>
            <w:p>
              <w:pPr>
                <w:pStyle w:val="CITPlaceholder"/>
              </w:pPr>
              <w:r>
                <w:t xml:space="preserve">Click here and type a new issue: its title on the first line, then one bullet per line. To give it signposts, add lines beginning Baseline:, Upside: and Downside:.</w:t>
              </w:r>
            </w:p>
          </w:sdtContent>
        </w:sdt>
      </w:sdtContent>
    </w:sdt>
    <w:sdt>
      <w:sdtPr>
        <w:alias w:val="Fiscal"/>
        <w:tag w:val="sub|drivers/policy/fiscal"/>
        <w:id w:val="1049"/>
        <w:lock w:val="sdtLocked"/>
      </w:sdtPr>
      <w:sdtContent>
        <w:p>
          <w:pPr>
            <w:pStyle w:val="CITH3"/>
          </w:pPr>
          <w:r>
            <w:t xml:space="preserve">Fiscal</w:t>
          </w:r>
        </w:p>
        <w:sdt>
          <w:sdtPr>
            <w:alias w:val="Deficit near 6-7% of GDP and losing its tariff crutch"/>
            <w:tag w:val="issue|iss-us-fi1"/>
            <w:id w:val="1047"/>
            <w:lock w:val="sdtLocked"/>
          </w:sdtPr>
          <w:sdtContent>
            <w:sdt>
              <w:sdtPr>
                <w:alias w:val="Title"/>
                <w:tag w:val="field|title"/>
                <w:id w:val="1042"/>
                <w:lock w:val="sdtLocked"/>
              </w:sdtPr>
              <w:sdtContent>
                <w:p>
                  <w:pPr>
                    <w:pStyle w:val="CITIssueTitle"/>
                  </w:pPr>
                  <w:r>
                    <w:t xml:space="preserve">Deficit near 6-7% of GDP and losing its tariff crutch</w:t>
                  </w:r>
                </w:p>
              </w:sdtContent>
            </w:sdt>
            <w:sdt>
              <w:sdtPr>
                <w:alias w:val="View"/>
                <w:tag w:val="field|text"/>
                <w:id w:val="1043"/>
                <w:lock w:val="sdtLocked"/>
              </w:sdtPr>
              <w:sdtContent>
                <w:p>
                  <w:pPr>
                    <w:pStyle w:val="CITBullet"/>
                    <w:numPr>
                      <w:ilvl w:val="0"/>
                      <w:numId w:val="1"/>
                    </w:numPr>
                  </w:pPr>
                  <w:r>
                    <w:t xml:space="preserve">The 2025 tax package locked in a structural deficit; the Supreme Court's February ruling voided IEEPA tariff revenue and triggered refunds, and the replacement 10-12.5% Section 301 tariffs on 60 economies raise less</w:t>
                  </w:r>
                </w:p>
                <w:p>
                  <w:pPr>
                    <w:pStyle w:val="CITBullet"/>
                    <w:numPr>
                      <w:ilvl w:val="0"/>
                      <w:numId w:val="1"/>
                    </w:numPr>
                  </w:pPr>
                  <w:r>
                    <w:t xml:space="preserve">Treasury keeps skewing issuance to bills to limit duration supply; that caps term premium today at the cost of rollover risk and growing dependence on money funds</w:t>
                  </w:r>
                </w:p>
                <w:p>
                  <w:pPr>
                    <w:pStyle w:val="CITBullet"/>
                    <w:numPr>
                      <w:ilvl w:val="0"/>
                      <w:numId w:val="1"/>
                    </w:numPr>
                  </w:pPr>
                  <w:r>
                    <w:t xml:space="preserve">Higher oil raises the deficit further via indexed programmes and lower real growth; no consolidation is plausible before the 2028 cycle</w:t>
                  </w:r>
                </w:p>
              </w:sdtContent>
            </w:sdt>
            <w:tbl>
              <w:tblPr>
                <w:tblStyle w:val="CITTable"/>
                <w:tblW w:w="9000" w:type="dxa"/>
              </w:tblPr>
              <w:tr>
                <w:tc>
                  <w:tcPr>
                    <w:tcW w:w="3000" w:type="dxa"/>
                  </w:tcPr>
                  <w:p>
                    <w:pPr>
                      <w:pStyle w:val="CITTableHead"/>
                    </w:pPr>
                    <w:r>
                      <w:t xml:space="preserve">Baseline</w:t>
                    </w:r>
                  </w:p>
                </w:tc>
                <w:tc>
                  <w:tcPr>
                    <w:tcW w:w="3000" w:type="dxa"/>
                  </w:tcPr>
                  <w:p>
                    <w:pPr>
                      <w:pStyle w:val="CITTableHead"/>
                    </w:pPr>
                    <w:r>
                      <w:t xml:space="preserve">Upside</w:t>
                    </w:r>
                  </w:p>
                </w:tc>
                <w:tc>
                  <w:tcPr>
                    <w:tcW w:w="3000" w:type="dxa"/>
                  </w:tcPr>
                  <w:p>
                    <w:pPr>
                      <w:pStyle w:val="CITTableHead"/>
                    </w:pPr>
                    <w:r>
                      <w:t xml:space="preserve">Downside</w:t>
                    </w:r>
                  </w:p>
                </w:tc>
              </w:tr>
              <w:tr>
                <w:tc>
                  <w:tcPr>
                    <w:tcW w:w="3000" w:type="dxa"/>
                  </w:tcPr>
                  <w:sdt>
                    <w:sdtPr>
                      <w:alias w:val="Baseline"/>
                      <w:tag w:val="field|baseline"/>
                      <w:id w:val="1044"/>
                      <w:lock w:val="sdtLocked"/>
                    </w:sdtPr>
                    <w:sdtContent>
                      <w:p>
                        <w:pPr>
                          <w:pStyle w:val="CITBullet"/>
                          <w:numPr>
                            <w:ilvl w:val="0"/>
                            <w:numId w:val="1"/>
                          </w:numPr>
                        </w:pPr>
                        <w:r>
                          <w:t xml:space="preserve">Deficit 6-7% of GDP, bills share stays high, no consolidation before 2028; term premium grinds higher</w:t>
                        </w:r>
                      </w:p>
                    </w:sdtContent>
                  </w:sdt>
                </w:tc>
                <w:tc>
                  <w:tcPr>
                    <w:tcW w:w="3000" w:type="dxa"/>
                  </w:tcPr>
                  <w:sdt>
                    <w:sdtPr>
                      <w:alias w:val="Upside"/>
                      <w:tag w:val="field|upside"/>
                      <w:id w:val="1045"/>
                      <w:lock w:val="sdtLocked"/>
                    </w:sdtPr>
                    <w:sdtContent>
                      <w:p>
                        <w:pPr>
                          <w:pStyle w:val="CITBullet"/>
                          <w:numPr>
                            <w:ilvl w:val="0"/>
                            <w:numId w:val="1"/>
                          </w:numPr>
                        </w:pPr>
                        <w:r>
                          <w:t xml:space="preserve">Tariff revenue and stronger nominal growth stabilise the debt ratio; Treasury terms out issuance without a term-premium shock</w:t>
                        </w:r>
                      </w:p>
                    </w:sdtContent>
                  </w:sdt>
                </w:tc>
                <w:tc>
                  <w:tcPr>
                    <w:tcW w:w="3000" w:type="dxa"/>
                  </w:tcPr>
                  <w:sdt>
                    <w:sdtPr>
                      <w:alias w:val="Downside"/>
                      <w:tag w:val="field|downside"/>
                      <w:id w:val="1046"/>
                      <w:lock w:val="sdtLocked"/>
                    </w:sdtPr>
                    <w:sdtContent>
                      <w:p>
                        <w:pPr>
                          <w:pStyle w:val="CITBullet"/>
                          <w:numPr>
                            <w:ilvl w:val="0"/>
                            <w:numId w:val="1"/>
                          </w:numPr>
                        </w:pPr>
                        <w:r>
                          <w:t xml:space="preserve">A cluster of weak auctions or a political challenge to Fed independence produces a term-premium spike and a disorderly bear-steepening</w:t>
                        </w:r>
                      </w:p>
                    </w:sdtContent>
                  </w:sdt>
                </w:tc>
              </w:tr>
            </w:tbl>
            <w:p>
              <w:pPr>
                <w:pStyle w:val="CITBody"/>
              </w:pPr>
            </w:p>
          </w:sdtContent>
        </w:sdt>
        <w:sdt>
          <w:sdtPr>
            <w:alias w:val="New issue in Fiscal"/>
            <w:tag w:val="slot|issue"/>
            <w:id w:val="1048"/>
            <w:lock w:val="sdtLocked"/>
            <w:showingPlcHdr/>
          </w:sdtPr>
          <w:sdtContent>
            <w:p>
              <w:pPr>
                <w:pStyle w:val="CITPlaceholder"/>
              </w:pPr>
              <w:r>
                <w:t xml:space="preserve">Click here and type a new issue: its title on the first line, then one bullet per line. To give it signposts, add lines beginning Baseline:, Upside: and Downside:.</w:t>
              </w:r>
            </w:p>
          </w:sdtContent>
        </w:sdt>
      </w:sdtContent>
    </w:sdt>
    <w:sdt>
      <w:sdtPr>
        <w:alias w:val="New subsection under Policy"/>
        <w:tag w:val="slot|sub|policy"/>
        <w:id w:val="1050"/>
        <w:lock w:val="sdtLocked"/>
        <w:showingPlcHdr/>
      </w:sdtPr>
      <w:sdtContent>
        <w:p>
          <w:pPr>
            <w:pStyle w:val="CITPlaceholder"/>
          </w:pPr>
          <w:r>
            <w:t xml:space="preserve">Click here and type the name of a new subsection, then its first issue title and bullets.</w:t>
          </w:r>
        </w:p>
      </w:sdtContent>
    </w:sdt>
    <w:sdt>
      <w:sdtPr>
        <w:alias w:val="Imbalances"/>
        <w:tag w:val="group|imbalances"/>
        <w:id w:val="1051"/>
        <w:lock w:val="sdtContentLocked"/>
      </w:sdtPr>
      <w:sdtContent>
        <w:p>
          <w:pPr>
            <w:pStyle w:val="CITH1"/>
          </w:pPr>
          <w:r>
            <w:t xml:space="preserve">Imbalances</w:t>
          </w:r>
        </w:p>
      </w:sdtContent>
    </w:sdt>
    <w:sdt>
      <w:sdtPr>
        <w:alias w:val="Domestic"/>
        <w:tag w:val="sub|drivers/imbalances/domestic"/>
        <w:id w:val="1065"/>
        <w:lock w:val="sdtLocked"/>
      </w:sdtPr>
      <w:sdtContent>
        <w:p>
          <w:pPr>
            <w:pStyle w:val="CITH3"/>
          </w:pPr>
          <w:r>
            <w:t xml:space="preserve">Domestic</w:t>
          </w:r>
        </w:p>
        <w:sdt>
          <w:sdtPr>
            <w:alias w:val="Two-speed households"/>
            <w:tag w:val="issue|iss-us-do1"/>
            <w:id w:val="1057"/>
            <w:lock w:val="sdtLocked"/>
          </w:sdtPr>
          <w:sdtContent>
            <w:sdt>
              <w:sdtPr>
                <w:alias w:val="Title"/>
                <w:tag w:val="field|title"/>
                <w:id w:val="1052"/>
                <w:lock w:val="sdtLocked"/>
              </w:sdtPr>
              <w:sdtContent>
                <w:p>
                  <w:pPr>
                    <w:pStyle w:val="CITIssueTitle"/>
                  </w:pPr>
                  <w:r>
                    <w:t xml:space="preserve">Two-speed households</w:t>
                  </w:r>
                </w:p>
              </w:sdtContent>
            </w:sdt>
            <w:sdt>
              <w:sdtPr>
                <w:alias w:val="View"/>
                <w:tag w:val="field|text"/>
                <w:id w:val="1053"/>
                <w:lock w:val="sdtLocked"/>
              </w:sdtPr>
              <w:sdtContent>
                <w:p>
                  <w:pPr>
                    <w:pStyle w:val="CITBullet"/>
                    <w:numPr>
                      <w:ilvl w:val="0"/>
                      <w:numId w:val="1"/>
                    </w:numPr>
                  </w:pPr>
                  <w:r>
                    <w:t xml:space="preserve">Consumption is being carried by the top of the income distribution on equity wealth; lower-income cohorts are squeezed by $4-plus gasoline, tariff-driven goods prices and rising card delinquencies</w:t>
                  </w:r>
                </w:p>
                <w:p>
                  <w:pPr>
                    <w:pStyle w:val="CITBullet"/>
                    <w:numPr>
                      <w:ilvl w:val="0"/>
                      <w:numId w:val="1"/>
                    </w:numPr>
                  </w:pPr>
                  <w:r>
                    <w:t xml:space="preserve">The transmission channel that matters is asset prices: an equity correction would hit the only cohort still spending freely</w:t>
                  </w:r>
                </w:p>
              </w:sdtContent>
            </w:sdt>
            <w:tbl>
              <w:tblPr>
                <w:tblStyle w:val="CITTable"/>
                <w:tblW w:w="9000" w:type="dxa"/>
              </w:tblPr>
              <w:tr>
                <w:tc>
                  <w:tcPr>
                    <w:tcW w:w="3000" w:type="dxa"/>
                  </w:tcPr>
                  <w:p>
                    <w:pPr>
                      <w:pStyle w:val="CITTableHead"/>
                    </w:pPr>
                    <w:r>
                      <w:t xml:space="preserve">Baseline</w:t>
                    </w:r>
                  </w:p>
                </w:tc>
                <w:tc>
                  <w:tcPr>
                    <w:tcW w:w="3000" w:type="dxa"/>
                  </w:tcPr>
                  <w:p>
                    <w:pPr>
                      <w:pStyle w:val="CITTableHead"/>
                    </w:pPr>
                    <w:r>
                      <w:t xml:space="preserve">Upside</w:t>
                    </w:r>
                  </w:p>
                </w:tc>
                <w:tc>
                  <w:tcPr>
                    <w:tcW w:w="3000" w:type="dxa"/>
                  </w:tcPr>
                  <w:p>
                    <w:pPr>
                      <w:pStyle w:val="CITTableHead"/>
                    </w:pPr>
                    <w:r>
                      <w:t xml:space="preserve">Downside</w:t>
                    </w:r>
                  </w:p>
                </w:tc>
              </w:tr>
              <w:tr>
                <w:tc>
                  <w:tcPr>
                    <w:tcW w:w="3000" w:type="dxa"/>
                  </w:tcPr>
                  <w:sdt>
                    <w:sdtPr>
                      <w:alias w:val="Baseline"/>
                      <w:tag w:val="field|baseline"/>
                      <w:id w:val="1054"/>
                      <w:lock w:val="sdtLocked"/>
                    </w:sdtPr>
                    <w:sdtContent>
                      <w:p>
                        <w:pPr>
                          <w:pStyle w:val="CITBullet"/>
                          <w:numPr>
                            <w:ilvl w:val="0"/>
                            <w:numId w:val="1"/>
                          </w:numPr>
                        </w:pPr>
                        <w:r>
                          <w:t xml:space="preserve">Real consumption slows to 1-1.5% as real incomes stagnate; wealth effects and fiscal support prevent a contraction</w:t>
                        </w:r>
                      </w:p>
                    </w:sdtContent>
                  </w:sdt>
                </w:tc>
                <w:tc>
                  <w:tcPr>
                    <w:tcW w:w="3000" w:type="dxa"/>
                  </w:tcPr>
                  <w:sdt>
                    <w:sdtPr>
                      <w:alias w:val="Upside"/>
                      <w:tag w:val="field|upside"/>
                      <w:id w:val="1055"/>
                      <w:lock w:val="sdtLocked"/>
                    </w:sdtPr>
                    <w:sdtContent>
                      <w:p>
                        <w:pPr>
                          <w:pStyle w:val="CITBullet"/>
                          <w:numPr>
                            <w:ilvl w:val="0"/>
                            <w:numId w:val="1"/>
                          </w:numPr>
                        </w:pPr>
                        <w:r>
                          <w:t xml:space="preserve">Hormuz reopens durably, gasoline falls back below $3.50 and real wages turn positive; consumption re-accelerates above 2%</w:t>
                        </w:r>
                      </w:p>
                    </w:sdtContent>
                  </w:sdt>
                </w:tc>
                <w:tc>
                  <w:tcPr>
                    <w:tcW w:w="3000" w:type="dxa"/>
                  </w:tcPr>
                  <w:sdt>
                    <w:sdtPr>
                      <w:alias w:val="Downside"/>
                      <w:tag w:val="field|downside"/>
                      <w:id w:val="1056"/>
                      <w:lock w:val="sdtLocked"/>
                    </w:sdtPr>
                    <w:sdtContent>
                      <w:p>
                        <w:pPr>
                          <w:pStyle w:val="CITBullet"/>
                          <w:numPr>
                            <w:ilvl w:val="0"/>
                            <w:numId w:val="1"/>
                          </w:numPr>
                        </w:pPr>
                        <w:r>
                          <w:t xml:space="preserve">Oil stays above $100 into 2027 and equities correct 15-20%; high-income spending stops and unemployment rises past 5%</w:t>
                        </w:r>
                      </w:p>
                    </w:sdtContent>
                  </w:sdt>
                </w:tc>
              </w:tr>
            </w:tbl>
            <w:p>
              <w:pPr>
                <w:pStyle w:val="CITBody"/>
              </w:pPr>
            </w:p>
          </w:sdtContent>
        </w:sdt>
        <w:sdt>
          <w:sdtPr>
            <w:alias w:val="Corporate margins under a cost squeeze"/>
            <w:tag w:val="issue|iss-us-do2"/>
            <w:id w:val="1063"/>
            <w:lock w:val="sdtLocked"/>
          </w:sdtPr>
          <w:sdtContent>
            <w:sdt>
              <w:sdtPr>
                <w:alias w:val="Title"/>
                <w:tag w:val="field|title"/>
                <w:id w:val="1058"/>
                <w:lock w:val="sdtLocked"/>
              </w:sdtPr>
              <w:sdtContent>
                <w:p>
                  <w:pPr>
                    <w:pStyle w:val="CITIssueTitle"/>
                  </w:pPr>
                  <w:r>
                    <w:t xml:space="preserve">Corporate margins under a cost squeeze</w:t>
                  </w:r>
                </w:p>
              </w:sdtContent>
            </w:sdt>
            <w:sdt>
              <w:sdtPr>
                <w:alias w:val="View"/>
                <w:tag w:val="field|text"/>
                <w:id w:val="1059"/>
                <w:lock w:val="sdtLocked"/>
              </w:sdtPr>
              <w:sdtContent>
                <w:p>
                  <w:pPr>
                    <w:pStyle w:val="CITBullet"/>
                    <w:numPr>
                      <w:ilvl w:val="0"/>
                      <w:numId w:val="1"/>
                    </w:numPr>
                  </w:pPr>
                  <w:r>
                    <w:t xml:space="preserve">Tariffs, energy and a tight labour market are compressing margins outside the AI complex; an earnings recession is already visible in consumer discretionary and industrials</w:t>
                  </w:r>
                </w:p>
              </w:sdtContent>
            </w:sdt>
            <w:tbl>
              <w:tblPr>
                <w:tblStyle w:val="CITTable"/>
                <w:tblW w:w="9000" w:type="dxa"/>
              </w:tblPr>
              <w:tr>
                <w:tc>
                  <w:tcPr>
                    <w:tcW w:w="3000" w:type="dxa"/>
                  </w:tcPr>
                  <w:p>
                    <w:pPr>
                      <w:pStyle w:val="CITTableHead"/>
                    </w:pPr>
                    <w:r>
                      <w:t xml:space="preserve">Baseline</w:t>
                    </w:r>
                  </w:p>
                </w:tc>
                <w:tc>
                  <w:tcPr>
                    <w:tcW w:w="3000" w:type="dxa"/>
                  </w:tcPr>
                  <w:p>
                    <w:pPr>
                      <w:pStyle w:val="CITTableHead"/>
                    </w:pPr>
                    <w:r>
                      <w:t xml:space="preserve">Upside</w:t>
                    </w:r>
                  </w:p>
                </w:tc>
                <w:tc>
                  <w:tcPr>
                    <w:tcW w:w="3000" w:type="dxa"/>
                  </w:tcPr>
                  <w:p>
                    <w:pPr>
                      <w:pStyle w:val="CITTableHead"/>
                    </w:pPr>
                    <w:r>
                      <w:t xml:space="preserve">Downside</w:t>
                    </w:r>
                  </w:p>
                </w:tc>
              </w:tr>
              <w:tr>
                <w:tc>
                  <w:tcPr>
                    <w:tcW w:w="3000" w:type="dxa"/>
                  </w:tcPr>
                  <w:sdt>
                    <w:sdtPr>
                      <w:alias w:val="Baseline"/>
                      <w:tag w:val="field|baseline"/>
                      <w:id w:val="1060"/>
                      <w:lock w:val="sdtLocked"/>
                      <w:showingPlcHdr/>
                    </w:sdtPr>
                    <w:sdtContent>
                      <w:p>
                        <w:pPr>
                          <w:pStyle w:val="CITPlaceholder"/>
                        </w:pPr>
                        <w:r>
                          <w:t xml:space="preserve">Baseline — what we expect. Leave all three empty if this issue has no signposts.</w:t>
                        </w:r>
                      </w:p>
                    </w:sdtContent>
                  </w:sdt>
                </w:tc>
                <w:tc>
                  <w:tcPr>
                    <w:tcW w:w="3000" w:type="dxa"/>
                  </w:tcPr>
                  <w:sdt>
                    <w:sdtPr>
                      <w:alias w:val="Upside"/>
                      <w:tag w:val="field|upside"/>
                      <w:id w:val="1061"/>
                      <w:lock w:val="sdtLocked"/>
                      <w:showingPlcHdr/>
                    </w:sdtPr>
                    <w:sdtContent>
                      <w:p>
                        <w:pPr>
                          <w:pStyle w:val="CITPlaceholder"/>
                        </w:pPr>
                        <w:r>
                          <w:t xml:space="preserve">Upside — what would make it better.</w:t>
                        </w:r>
                      </w:p>
                    </w:sdtContent>
                  </w:sdt>
                </w:tc>
                <w:tc>
                  <w:tcPr>
                    <w:tcW w:w="3000" w:type="dxa"/>
                  </w:tcPr>
                  <w:sdt>
                    <w:sdtPr>
                      <w:alias w:val="Downside"/>
                      <w:tag w:val="field|downside"/>
                      <w:id w:val="1062"/>
                      <w:lock w:val="sdtLocked"/>
                      <w:showingPlcHdr/>
                    </w:sdtPr>
                    <w:sdtContent>
                      <w:p>
                        <w:pPr>
                          <w:pStyle w:val="CITPlaceholder"/>
                        </w:pPr>
                        <w:r>
                          <w:t xml:space="preserve">Downside — what would make it worse.</w:t>
                        </w:r>
                      </w:p>
                    </w:sdtContent>
                  </w:sdt>
                </w:tc>
              </w:tr>
            </w:tbl>
            <w:p>
              <w:pPr>
                <w:pStyle w:val="CITBody"/>
              </w:pPr>
            </w:p>
          </w:sdtContent>
        </w:sdt>
        <w:sdt>
          <w:sdtPr>
            <w:alias w:val="New issue in Domestic"/>
            <w:tag w:val="slot|issue"/>
            <w:id w:val="1064"/>
            <w:lock w:val="sdtLocked"/>
            <w:showingPlcHdr/>
          </w:sdtPr>
          <w:sdtContent>
            <w:p>
              <w:pPr>
                <w:pStyle w:val="CITPlaceholder"/>
              </w:pPr>
              <w:r>
                <w:t xml:space="preserve">Click here and type a new issue: its title on the first line, then one bullet per line. To give it signposts, add lines beginning Baseline:, Upside: and Downside:.</w:t>
              </w:r>
            </w:p>
          </w:sdtContent>
        </w:sdt>
      </w:sdtContent>
    </w:sdt>
    <w:sdt>
      <w:sdtPr>
        <w:alias w:val="External"/>
        <w:tag w:val="sub|drivers/imbalances/external"/>
        <w:id w:val="1073"/>
        <w:lock w:val="sdtLocked"/>
      </w:sdtPr>
      <w:sdtContent>
        <w:p>
          <w:pPr>
            <w:pStyle w:val="CITH3"/>
          </w:pPr>
          <w:r>
            <w:t xml:space="preserve">External</w:t>
          </w:r>
        </w:p>
        <w:sdt>
          <w:sdtPr>
            <w:alias w:val="Dollar has lost its reflexive safe-haven bid"/>
            <w:tag w:val="issue|iss-us-ex1"/>
            <w:id w:val="1071"/>
            <w:lock w:val="sdtLocked"/>
          </w:sdtPr>
          <w:sdtContent>
            <w:sdt>
              <w:sdtPr>
                <w:alias w:val="Title"/>
                <w:tag w:val="field|title"/>
                <w:id w:val="1066"/>
                <w:lock w:val="sdtLocked"/>
              </w:sdtPr>
              <w:sdtContent>
                <w:p>
                  <w:pPr>
                    <w:pStyle w:val="CITIssueTitle"/>
                  </w:pPr>
                  <w:r>
                    <w:t xml:space="preserve">Dollar has lost its reflexive safe-haven bid</w:t>
                  </w:r>
                </w:p>
              </w:sdtContent>
            </w:sdt>
            <w:sdt>
              <w:sdtPr>
                <w:alias w:val="View"/>
                <w:tag w:val="field|text"/>
                <w:id w:val="1067"/>
                <w:lock w:val="sdtLocked"/>
              </w:sdtPr>
              <w:sdtContent>
                <w:p>
                  <w:pPr>
                    <w:pStyle w:val="CITBullet"/>
                    <w:numPr>
                      <w:ilvl w:val="0"/>
                      <w:numId w:val="1"/>
                    </w:numPr>
                  </w:pPr>
                  <w:r>
                    <w:t xml:space="preserve">The dollar did not rally on the Iran war the way it did in 2022; foreign official demand for Treasuries is slower and more price sensitive, and the euro and yen have both strengthened on repatriation flows</w:t>
                  </w:r>
                </w:p>
                <w:p>
                  <w:pPr>
                    <w:pStyle w:val="CITBullet"/>
                    <w:numPr>
                      <w:ilvl w:val="0"/>
                      <w:numId w:val="1"/>
                    </w:numPr>
                  </w:pPr>
                  <w:r>
                    <w:t xml:space="preserve">The current account is narrowing as tariffs compress imports, but the financing question (who absorbs record Treasury supply at a lower dollar) is the live one</w:t>
                  </w:r>
                </w:p>
              </w:sdtContent>
            </w:sdt>
            <w:tbl>
              <w:tblPr>
                <w:tblStyle w:val="CITTable"/>
                <w:tblW w:w="9000" w:type="dxa"/>
              </w:tblPr>
              <w:tr>
                <w:tc>
                  <w:tcPr>
                    <w:tcW w:w="3000" w:type="dxa"/>
                  </w:tcPr>
                  <w:p>
                    <w:pPr>
                      <w:pStyle w:val="CITTableHead"/>
                    </w:pPr>
                    <w:r>
                      <w:t xml:space="preserve">Baseline</w:t>
                    </w:r>
                  </w:p>
                </w:tc>
                <w:tc>
                  <w:tcPr>
                    <w:tcW w:w="3000" w:type="dxa"/>
                  </w:tcPr>
                  <w:p>
                    <w:pPr>
                      <w:pStyle w:val="CITTableHead"/>
                    </w:pPr>
                    <w:r>
                      <w:t xml:space="preserve">Upside</w:t>
                    </w:r>
                  </w:p>
                </w:tc>
                <w:tc>
                  <w:tcPr>
                    <w:tcW w:w="3000" w:type="dxa"/>
                  </w:tcPr>
                  <w:p>
                    <w:pPr>
                      <w:pStyle w:val="CITTableHead"/>
                    </w:pPr>
                    <w:r>
                      <w:t xml:space="preserve">Downside</w:t>
                    </w:r>
                  </w:p>
                </w:tc>
              </w:tr>
              <w:tr>
                <w:tc>
                  <w:tcPr>
                    <w:tcW w:w="3000" w:type="dxa"/>
                  </w:tcPr>
                  <w:sdt>
                    <w:sdtPr>
                      <w:alias w:val="Baseline"/>
                      <w:tag w:val="field|baseline"/>
                      <w:id w:val="1068"/>
                      <w:lock w:val="sdtLocked"/>
                      <w:showingPlcHdr/>
                    </w:sdtPr>
                    <w:sdtContent>
                      <w:p>
                        <w:pPr>
                          <w:pStyle w:val="CITPlaceholder"/>
                        </w:pPr>
                        <w:r>
                          <w:t xml:space="preserve">Baseline — what we expect. Leave all three empty if this issue has no signposts.</w:t>
                        </w:r>
                      </w:p>
                    </w:sdtContent>
                  </w:sdt>
                </w:tc>
                <w:tc>
                  <w:tcPr>
                    <w:tcW w:w="3000" w:type="dxa"/>
                  </w:tcPr>
                  <w:sdt>
                    <w:sdtPr>
                      <w:alias w:val="Upside"/>
                      <w:tag w:val="field|upside"/>
                      <w:id w:val="1069"/>
                      <w:lock w:val="sdtLocked"/>
                      <w:showingPlcHdr/>
                    </w:sdtPr>
                    <w:sdtContent>
                      <w:p>
                        <w:pPr>
                          <w:pStyle w:val="CITPlaceholder"/>
                        </w:pPr>
                        <w:r>
                          <w:t xml:space="preserve">Upside — what would make it better.</w:t>
                        </w:r>
                      </w:p>
                    </w:sdtContent>
                  </w:sdt>
                </w:tc>
                <w:tc>
                  <w:tcPr>
                    <w:tcW w:w="3000" w:type="dxa"/>
                  </w:tcPr>
                  <w:sdt>
                    <w:sdtPr>
                      <w:alias w:val="Downside"/>
                      <w:tag w:val="field|downside"/>
                      <w:id w:val="1070"/>
                      <w:lock w:val="sdtLocked"/>
                      <w:showingPlcHdr/>
                    </w:sdtPr>
                    <w:sdtContent>
                      <w:p>
                        <w:pPr>
                          <w:pStyle w:val="CITPlaceholder"/>
                        </w:pPr>
                        <w:r>
                          <w:t xml:space="preserve">Downside — what would make it worse.</w:t>
                        </w:r>
                      </w:p>
                    </w:sdtContent>
                  </w:sdt>
                </w:tc>
              </w:tr>
            </w:tbl>
            <w:p>
              <w:pPr>
                <w:pStyle w:val="CITBody"/>
              </w:pPr>
            </w:p>
          </w:sdtContent>
        </w:sdt>
        <w:sdt>
          <w:sdtPr>
            <w:alias w:val="New issue in External"/>
            <w:tag w:val="slot|issue"/>
            <w:id w:val="1072"/>
            <w:lock w:val="sdtLocked"/>
            <w:showingPlcHdr/>
          </w:sdtPr>
          <w:sdtContent>
            <w:p>
              <w:pPr>
                <w:pStyle w:val="CITPlaceholder"/>
              </w:pPr>
              <w:r>
                <w:t xml:space="preserve">Click here and type a new issue: its title on the first line, then one bullet per line. To give it signposts, add lines beginning Baseline:, Upside: and Downside:.</w:t>
              </w:r>
            </w:p>
          </w:sdtContent>
        </w:sdt>
      </w:sdtContent>
    </w:sdt>
    <w:sdt>
      <w:sdtPr>
        <w:alias w:val="Credit"/>
        <w:tag w:val="sub|drivers/imbalances/credit"/>
        <w:id w:val="1081"/>
        <w:lock w:val="sdtLocked"/>
      </w:sdtPr>
      <w:sdtContent>
        <w:p>
          <w:pPr>
            <w:pStyle w:val="CITH3"/>
          </w:pPr>
          <w:r>
            <w:t xml:space="preserve">Credit</w:t>
          </w:r>
        </w:p>
        <w:sdt>
          <w:sdtPr>
            <w:alias w:val="Private credit is the AI financing plumbing"/>
            <w:tag w:val="issue|iss-us-cr1"/>
            <w:id w:val="1079"/>
            <w:lock w:val="sdtLocked"/>
          </w:sdtPr>
          <w:sdtContent>
            <w:sdt>
              <w:sdtPr>
                <w:alias w:val="Title"/>
                <w:tag w:val="field|title"/>
                <w:id w:val="1074"/>
                <w:lock w:val="sdtLocked"/>
              </w:sdtPr>
              <w:sdtContent>
                <w:p>
                  <w:pPr>
                    <w:pStyle w:val="CITIssueTitle"/>
                  </w:pPr>
                  <w:r>
                    <w:t xml:space="preserve">Private credit is the AI financing plumbing</w:t>
                  </w:r>
                </w:p>
              </w:sdtContent>
            </w:sdt>
            <w:sdt>
              <w:sdtPr>
                <w:alias w:val="View"/>
                <w:tag w:val="field|text"/>
                <w:id w:val="1075"/>
                <w:lock w:val="sdtLocked"/>
              </w:sdtPr>
              <w:sdtContent>
                <w:p>
                  <w:pPr>
                    <w:pStyle w:val="CITBullet"/>
                    <w:numPr>
                      <w:ilvl w:val="0"/>
                      <w:numId w:val="1"/>
                    </w:numPr>
                  </w:pPr>
                  <w:r>
                    <w:t xml:space="preserve">Private credit has absorbed the leveraged-loan market and now a large share of data-centre and power project finance; opacity, not aggregate size, is the concern</w:t>
                  </w:r>
                </w:p>
                <w:p>
                  <w:pPr>
                    <w:pStyle w:val="CITBullet"/>
                    <w:numPr>
                      <w:ilvl w:val="0"/>
                      <w:numId w:val="1"/>
                    </w:numPr>
                  </w:pPr>
                  <w:r>
                    <w:t xml:space="preserve">Stress would surface first in redemption gates and mark-downs at private funds, then in bank lines to those funds; the sector has not been tested by a capex downturn</w:t>
                  </w:r>
                </w:p>
              </w:sdtContent>
            </w:sdt>
            <w:tbl>
              <w:tblPr>
                <w:tblStyle w:val="CITTable"/>
                <w:tblW w:w="9000" w:type="dxa"/>
              </w:tblPr>
              <w:tr>
                <w:tc>
                  <w:tcPr>
                    <w:tcW w:w="3000" w:type="dxa"/>
                  </w:tcPr>
                  <w:p>
                    <w:pPr>
                      <w:pStyle w:val="CITTableHead"/>
                    </w:pPr>
                    <w:r>
                      <w:t xml:space="preserve">Baseline</w:t>
                    </w:r>
                  </w:p>
                </w:tc>
                <w:tc>
                  <w:tcPr>
                    <w:tcW w:w="3000" w:type="dxa"/>
                  </w:tcPr>
                  <w:p>
                    <w:pPr>
                      <w:pStyle w:val="CITTableHead"/>
                    </w:pPr>
                    <w:r>
                      <w:t xml:space="preserve">Upside</w:t>
                    </w:r>
                  </w:p>
                </w:tc>
                <w:tc>
                  <w:tcPr>
                    <w:tcW w:w="3000" w:type="dxa"/>
                  </w:tcPr>
                  <w:p>
                    <w:pPr>
                      <w:pStyle w:val="CITTableHead"/>
                    </w:pPr>
                    <w:r>
                      <w:t xml:space="preserve">Downside</w:t>
                    </w:r>
                  </w:p>
                </w:tc>
              </w:tr>
              <w:tr>
                <w:tc>
                  <w:tcPr>
                    <w:tcW w:w="3000" w:type="dxa"/>
                  </w:tcPr>
                  <w:sdt>
                    <w:sdtPr>
                      <w:alias w:val="Baseline"/>
                      <w:tag w:val="field|baseline"/>
                      <w:id w:val="1076"/>
                      <w:lock w:val="sdtLocked"/>
                      <w:showingPlcHdr/>
                    </w:sdtPr>
                    <w:sdtContent>
                      <w:p>
                        <w:pPr>
                          <w:pStyle w:val="CITPlaceholder"/>
                        </w:pPr>
                        <w:r>
                          <w:t xml:space="preserve">Baseline — what we expect. Leave all three empty if this issue has no signposts.</w:t>
                        </w:r>
                      </w:p>
                    </w:sdtContent>
                  </w:sdt>
                </w:tc>
                <w:tc>
                  <w:tcPr>
                    <w:tcW w:w="3000" w:type="dxa"/>
                  </w:tcPr>
                  <w:sdt>
                    <w:sdtPr>
                      <w:alias w:val="Upside"/>
                      <w:tag w:val="field|upside"/>
                      <w:id w:val="1077"/>
                      <w:lock w:val="sdtLocked"/>
                      <w:showingPlcHdr/>
                    </w:sdtPr>
                    <w:sdtContent>
                      <w:p>
                        <w:pPr>
                          <w:pStyle w:val="CITPlaceholder"/>
                        </w:pPr>
                        <w:r>
                          <w:t xml:space="preserve">Upside — what would make it better.</w:t>
                        </w:r>
                      </w:p>
                    </w:sdtContent>
                  </w:sdt>
                </w:tc>
                <w:tc>
                  <w:tcPr>
                    <w:tcW w:w="3000" w:type="dxa"/>
                  </w:tcPr>
                  <w:sdt>
                    <w:sdtPr>
                      <w:alias w:val="Downside"/>
                      <w:tag w:val="field|downside"/>
                      <w:id w:val="1078"/>
                      <w:lock w:val="sdtLocked"/>
                      <w:showingPlcHdr/>
                    </w:sdtPr>
                    <w:sdtContent>
                      <w:p>
                        <w:pPr>
                          <w:pStyle w:val="CITPlaceholder"/>
                        </w:pPr>
                        <w:r>
                          <w:t xml:space="preserve">Downside — what would make it worse.</w:t>
                        </w:r>
                      </w:p>
                    </w:sdtContent>
                  </w:sdt>
                </w:tc>
              </w:tr>
            </w:tbl>
            <w:p>
              <w:pPr>
                <w:pStyle w:val="CITBody"/>
              </w:pPr>
            </w:p>
          </w:sdtContent>
        </w:sdt>
        <w:sdt>
          <w:sdtPr>
            <w:alias w:val="New issue in Credit"/>
            <w:tag w:val="slot|issue"/>
            <w:id w:val="1080"/>
            <w:lock w:val="sdtLocked"/>
            <w:showingPlcHdr/>
          </w:sdtPr>
          <w:sdtContent>
            <w:p>
              <w:pPr>
                <w:pStyle w:val="CITPlaceholder"/>
              </w:pPr>
              <w:r>
                <w:t xml:space="preserve">Click here and type a new issue: its title on the first line, then one bullet per line. To give it signposts, add lines beginning Baseline:, Upside: and Downside:.</w:t>
              </w:r>
            </w:p>
          </w:sdtContent>
        </w:sdt>
      </w:sdtContent>
    </w:sdt>
    <w:sdt>
      <w:sdtPr>
        <w:alias w:val="New subsection under Imbalances"/>
        <w:tag w:val="slot|sub|imbalances"/>
        <w:id w:val="1082"/>
        <w:lock w:val="sdtLocked"/>
        <w:showingPlcHdr/>
      </w:sdtPr>
      <w:sdtContent>
        <w:p>
          <w:pPr>
            <w:pStyle w:val="CITPlaceholder"/>
          </w:pPr>
          <w:r>
            <w:t xml:space="preserve">Click here and type the name of a new subsection, then its first issue title and bullets.</w:t>
          </w:r>
        </w:p>
      </w:sdtContent>
    </w:sdt>
    <w:sdt>
      <w:sdtPr>
        <w:alias w:val="Geopolitics"/>
        <w:tag w:val="group|geopolitics"/>
        <w:id w:val="1083"/>
        <w:lock w:val="sdtContentLocked"/>
      </w:sdtPr>
      <w:sdtContent>
        <w:p>
          <w:pPr>
            <w:pStyle w:val="CITH1"/>
          </w:pPr>
          <w:r>
            <w:t xml:space="preserve">Geopolitics</w:t>
          </w:r>
        </w:p>
      </w:sdtContent>
    </w:sdt>
    <w:sdt>
      <w:sdtPr>
        <w:alias w:val="Domestic"/>
        <w:tag w:val="sub|drivers/geopolitics/domestic"/>
        <w:id w:val="1091"/>
        <w:lock w:val="sdtLocked"/>
      </w:sdtPr>
      <w:sdtContent>
        <w:p>
          <w:pPr>
            <w:pStyle w:val="CITH3"/>
          </w:pPr>
          <w:r>
            <w:t xml:space="preserve">Domestic</w:t>
          </w:r>
        </w:p>
        <w:sdt>
          <w:sdtPr>
            <w:alias w:val="Midterms and the policy volatility premium"/>
            <w:tag w:val="issue|iss-us-gd1"/>
            <w:id w:val="1089"/>
            <w:lock w:val="sdtLocked"/>
          </w:sdtPr>
          <w:sdtContent>
            <w:sdt>
              <w:sdtPr>
                <w:alias w:val="Title"/>
                <w:tag w:val="field|title"/>
                <w:id w:val="1084"/>
                <w:lock w:val="sdtLocked"/>
              </w:sdtPr>
              <w:sdtContent>
                <w:p>
                  <w:pPr>
                    <w:pStyle w:val="CITIssueTitle"/>
                  </w:pPr>
                  <w:r>
                    <w:t xml:space="preserve">Midterms and the policy volatility premium</w:t>
                  </w:r>
                </w:p>
              </w:sdtContent>
            </w:sdt>
            <w:sdt>
              <w:sdtPr>
                <w:alias w:val="View"/>
                <w:tag w:val="field|text"/>
                <w:id w:val="1085"/>
                <w:lock w:val="sdtLocked"/>
              </w:sdtPr>
              <w:sdtContent>
                <w:p>
                  <w:pPr>
                    <w:pStyle w:val="CITBullet"/>
                    <w:numPr>
                      <w:ilvl w:val="0"/>
                      <w:numId w:val="1"/>
                    </w:numPr>
                  </w:pPr>
                  <w:r>
                    <w:t xml:space="preserve">November midterms are being fought on the cost of living; a Democratic House would end the legislative agenda and raise the odds of investigations, but tariff and regulatory policy would still move by executive action</w:t>
                  </w:r>
                </w:p>
                <w:p>
                  <w:pPr>
                    <w:pStyle w:val="CITBullet"/>
                    <w:numPr>
                      <w:ilvl w:val="0"/>
                      <w:numId w:val="1"/>
                    </w:numPr>
                  </w:pPr>
                  <w:r>
                    <w:t xml:space="preserve">Congress is also stirring on trade powers (bills to restrain 122, 232 and 301 authority); a real transfer of authority back to Congress would be a structural change in policy risk</w:t>
                  </w:r>
                </w:p>
              </w:sdtContent>
            </w:sdt>
            <w:tbl>
              <w:tblPr>
                <w:tblStyle w:val="CITTable"/>
                <w:tblW w:w="9000" w:type="dxa"/>
              </w:tblPr>
              <w:tr>
                <w:tc>
                  <w:tcPr>
                    <w:tcW w:w="3000" w:type="dxa"/>
                  </w:tcPr>
                  <w:p>
                    <w:pPr>
                      <w:pStyle w:val="CITTableHead"/>
                    </w:pPr>
                    <w:r>
                      <w:t xml:space="preserve">Baseline</w:t>
                    </w:r>
                  </w:p>
                </w:tc>
                <w:tc>
                  <w:tcPr>
                    <w:tcW w:w="3000" w:type="dxa"/>
                  </w:tcPr>
                  <w:p>
                    <w:pPr>
                      <w:pStyle w:val="CITTableHead"/>
                    </w:pPr>
                    <w:r>
                      <w:t xml:space="preserve">Upside</w:t>
                    </w:r>
                  </w:p>
                </w:tc>
                <w:tc>
                  <w:tcPr>
                    <w:tcW w:w="3000" w:type="dxa"/>
                  </w:tcPr>
                  <w:p>
                    <w:pPr>
                      <w:pStyle w:val="CITTableHead"/>
                    </w:pPr>
                    <w:r>
                      <w:t xml:space="preserve">Downside</w:t>
                    </w:r>
                  </w:p>
                </w:tc>
              </w:tr>
              <w:tr>
                <w:tc>
                  <w:tcPr>
                    <w:tcW w:w="3000" w:type="dxa"/>
                  </w:tcPr>
                  <w:sdt>
                    <w:sdtPr>
                      <w:alias w:val="Baseline"/>
                      <w:tag w:val="field|baseline"/>
                      <w:id w:val="1086"/>
                      <w:lock w:val="sdtLocked"/>
                      <w:showingPlcHdr/>
                    </w:sdtPr>
                    <w:sdtContent>
                      <w:p>
                        <w:pPr>
                          <w:pStyle w:val="CITPlaceholder"/>
                        </w:pPr>
                        <w:r>
                          <w:t xml:space="preserve">Baseline — what we expect. Leave all three empty if this issue has no signposts.</w:t>
                        </w:r>
                      </w:p>
                    </w:sdtContent>
                  </w:sdt>
                </w:tc>
                <w:tc>
                  <w:tcPr>
                    <w:tcW w:w="3000" w:type="dxa"/>
                  </w:tcPr>
                  <w:sdt>
                    <w:sdtPr>
                      <w:alias w:val="Upside"/>
                      <w:tag w:val="field|upside"/>
                      <w:id w:val="1087"/>
                      <w:lock w:val="sdtLocked"/>
                      <w:showingPlcHdr/>
                    </w:sdtPr>
                    <w:sdtContent>
                      <w:p>
                        <w:pPr>
                          <w:pStyle w:val="CITPlaceholder"/>
                        </w:pPr>
                        <w:r>
                          <w:t xml:space="preserve">Upside — what would make it better.</w:t>
                        </w:r>
                      </w:p>
                    </w:sdtContent>
                  </w:sdt>
                </w:tc>
                <w:tc>
                  <w:tcPr>
                    <w:tcW w:w="3000" w:type="dxa"/>
                  </w:tcPr>
                  <w:sdt>
                    <w:sdtPr>
                      <w:alias w:val="Downside"/>
                      <w:tag w:val="field|downside"/>
                      <w:id w:val="1088"/>
                      <w:lock w:val="sdtLocked"/>
                      <w:showingPlcHdr/>
                    </w:sdtPr>
                    <w:sdtContent>
                      <w:p>
                        <w:pPr>
                          <w:pStyle w:val="CITPlaceholder"/>
                        </w:pPr>
                        <w:r>
                          <w:t xml:space="preserve">Downside — what would make it worse.</w:t>
                        </w:r>
                      </w:p>
                    </w:sdtContent>
                  </w:sdt>
                </w:tc>
              </w:tr>
            </w:tbl>
            <w:p>
              <w:pPr>
                <w:pStyle w:val="CITBody"/>
              </w:pPr>
            </w:p>
          </w:sdtContent>
        </w:sdt>
        <w:sdt>
          <w:sdtPr>
            <w:alias w:val="New issue in Domestic"/>
            <w:tag w:val="slot|issue"/>
            <w:id w:val="1090"/>
            <w:lock w:val="sdtLocked"/>
            <w:showingPlcHdr/>
          </w:sdtPr>
          <w:sdtContent>
            <w:p>
              <w:pPr>
                <w:pStyle w:val="CITPlaceholder"/>
              </w:pPr>
              <w:r>
                <w:t xml:space="preserve">Click here and type a new issue: its title on the first line, then one bullet per line. To give it signposts, add lines beginning Baseline:, Upside: and Downside:.</w:t>
              </w:r>
            </w:p>
          </w:sdtContent>
        </w:sdt>
      </w:sdtContent>
    </w:sdt>
    <w:sdt>
      <w:sdtPr>
        <w:alias w:val="International"/>
        <w:tag w:val="sub|drivers/geopolitics/international"/>
        <w:id w:val="1105"/>
        <w:lock w:val="sdtLocked"/>
      </w:sdtPr>
      <w:sdtContent>
        <w:p>
          <w:pPr>
            <w:pStyle w:val="CITH3"/>
          </w:pPr>
          <w:r>
            <w:t xml:space="preserve">International</w:t>
          </w:r>
        </w:p>
        <w:sdt>
          <w:sdtPr>
            <w:alias w:val="Iran war, Hormuz and the energy price regime"/>
            <w:tag w:val="issue|iss-us-gi1"/>
            <w:id w:val="1097"/>
            <w:lock w:val="sdtLocked"/>
          </w:sdtPr>
          <w:sdtContent>
            <w:sdt>
              <w:sdtPr>
                <w:alias w:val="Title"/>
                <w:tag w:val="field|title"/>
                <w:id w:val="1092"/>
                <w:lock w:val="sdtLocked"/>
              </w:sdtPr>
              <w:sdtContent>
                <w:p>
                  <w:pPr>
                    <w:pStyle w:val="CITIssueTitle"/>
                  </w:pPr>
                  <w:r>
                    <w:t xml:space="preserve">Iran war, Hormuz and the energy price regime</w:t>
                  </w:r>
                </w:p>
              </w:sdtContent>
            </w:sdt>
            <w:sdt>
              <w:sdtPr>
                <w:alias w:val="View"/>
                <w:tag w:val="field|text"/>
                <w:id w:val="1093"/>
                <w:lock w:val="sdtLocked"/>
              </w:sdtPr>
              <w:sdtContent>
                <w:p>
                  <w:pPr>
                    <w:pStyle w:val="CITBullet"/>
                    <w:numPr>
                      <w:ilvl w:val="0"/>
                      <w:numId w:val="1"/>
                    </w:numPr>
                  </w:pPr>
                  <w:r>
                    <w:t xml:space="preserve">The Strait has been effectively contested since late February; a June US-Iran MOU reopened it partially, fighting resumed in September and Brent is back near $100 with Iran-Gulf talks pending in Oman</w:t>
                  </w:r>
                </w:p>
                <w:p>
                  <w:pPr>
                    <w:pStyle w:val="CITBullet"/>
                    <w:numPr>
                      <w:ilvl w:val="0"/>
                      <w:numId w:val="1"/>
                    </w:numPr>
                  </w:pPr>
                  <w:r>
                    <w:t xml:space="preserve">EIA does not expect Gulf output to normalise before 2027; the US is the relative winner as an energy exporter, but the consumer and the Fed pay first</w:t>
                  </w:r>
                </w:p>
              </w:sdtContent>
            </w:sdt>
            <w:tbl>
              <w:tblPr>
                <w:tblStyle w:val="CITTable"/>
                <w:tblW w:w="9000" w:type="dxa"/>
              </w:tblPr>
              <w:tr>
                <w:tc>
                  <w:tcPr>
                    <w:tcW w:w="3000" w:type="dxa"/>
                  </w:tcPr>
                  <w:p>
                    <w:pPr>
                      <w:pStyle w:val="CITTableHead"/>
                    </w:pPr>
                    <w:r>
                      <w:t xml:space="preserve">Baseline</w:t>
                    </w:r>
                  </w:p>
                </w:tc>
                <w:tc>
                  <w:tcPr>
                    <w:tcW w:w="3000" w:type="dxa"/>
                  </w:tcPr>
                  <w:p>
                    <w:pPr>
                      <w:pStyle w:val="CITTableHead"/>
                    </w:pPr>
                    <w:r>
                      <w:t xml:space="preserve">Upside</w:t>
                    </w:r>
                  </w:p>
                </w:tc>
                <w:tc>
                  <w:tcPr>
                    <w:tcW w:w="3000" w:type="dxa"/>
                  </w:tcPr>
                  <w:p>
                    <w:pPr>
                      <w:pStyle w:val="CITTableHead"/>
                    </w:pPr>
                    <w:r>
                      <w:t xml:space="preserve">Downside</w:t>
                    </w:r>
                  </w:p>
                </w:tc>
              </w:tr>
              <w:tr>
                <w:tc>
                  <w:tcPr>
                    <w:tcW w:w="3000" w:type="dxa"/>
                  </w:tcPr>
                  <w:sdt>
                    <w:sdtPr>
                      <w:alias w:val="Baseline"/>
                      <w:tag w:val="field|baseline"/>
                      <w:id w:val="1094"/>
                      <w:lock w:val="sdtLocked"/>
                      <w:showingPlcHdr/>
                    </w:sdtPr>
                    <w:sdtContent>
                      <w:p>
                        <w:pPr>
                          <w:pStyle w:val="CITPlaceholder"/>
                        </w:pPr>
                        <w:r>
                          <w:t xml:space="preserve">Baseline — what we expect. Leave all three empty if this issue has no signposts.</w:t>
                        </w:r>
                      </w:p>
                    </w:sdtContent>
                  </w:sdt>
                </w:tc>
                <w:tc>
                  <w:tcPr>
                    <w:tcW w:w="3000" w:type="dxa"/>
                  </w:tcPr>
                  <w:sdt>
                    <w:sdtPr>
                      <w:alias w:val="Upside"/>
                      <w:tag w:val="field|upside"/>
                      <w:id w:val="1095"/>
                      <w:lock w:val="sdtLocked"/>
                      <w:showingPlcHdr/>
                    </w:sdtPr>
                    <w:sdtContent>
                      <w:p>
                        <w:pPr>
                          <w:pStyle w:val="CITPlaceholder"/>
                        </w:pPr>
                        <w:r>
                          <w:t xml:space="preserve">Upside — what would make it better.</w:t>
                        </w:r>
                      </w:p>
                    </w:sdtContent>
                  </w:sdt>
                </w:tc>
                <w:tc>
                  <w:tcPr>
                    <w:tcW w:w="3000" w:type="dxa"/>
                  </w:tcPr>
                  <w:sdt>
                    <w:sdtPr>
                      <w:alias w:val="Downside"/>
                      <w:tag w:val="field|downside"/>
                      <w:id w:val="1096"/>
                      <w:lock w:val="sdtLocked"/>
                      <w:showingPlcHdr/>
                    </w:sdtPr>
                    <w:sdtContent>
                      <w:p>
                        <w:pPr>
                          <w:pStyle w:val="CITPlaceholder"/>
                        </w:pPr>
                        <w:r>
                          <w:t xml:space="preserve">Downside — what would make it worse.</w:t>
                        </w:r>
                      </w:p>
                    </w:sdtContent>
                  </w:sdt>
                </w:tc>
              </w:tr>
            </w:tbl>
            <w:p>
              <w:pPr>
                <w:pStyle w:val="CITBody"/>
              </w:pPr>
            </w:p>
          </w:sdtContent>
        </w:sdt>
        <w:sdt>
          <w:sdtPr>
            <w:alias w:val="Tariff regime is fragmenting into 232 and 301 tools"/>
            <w:tag w:val="issue|iss-us-gi2"/>
            <w:id w:val="1103"/>
            <w:lock w:val="sdtLocked"/>
          </w:sdtPr>
          <w:sdtContent>
            <w:sdt>
              <w:sdtPr>
                <w:alias w:val="Title"/>
                <w:tag w:val="field|title"/>
                <w:id w:val="1098"/>
                <w:lock w:val="sdtLocked"/>
              </w:sdtPr>
              <w:sdtContent>
                <w:p>
                  <w:pPr>
                    <w:pStyle w:val="CITIssueTitle"/>
                  </w:pPr>
                  <w:r>
                    <w:t xml:space="preserve">Tariff regime is fragmenting into 232 and 301 tools</w:t>
                  </w:r>
                </w:p>
              </w:sdtContent>
            </w:sdt>
            <w:sdt>
              <w:sdtPr>
                <w:alias w:val="View"/>
                <w:tag w:val="field|text"/>
                <w:id w:val="1099"/>
                <w:lock w:val="sdtLocked"/>
              </w:sdtPr>
              <w:sdtContent>
                <w:p>
                  <w:pPr>
                    <w:pStyle w:val="CITBullet"/>
                    <w:numPr>
                      <w:ilvl w:val="0"/>
                      <w:numId w:val="1"/>
                    </w:numPr>
                  </w:pPr>
                  <w:r>
                    <w:t xml:space="preserve">After IEEPA and Section 122 fell, the administration rebuilt the tariff wall with sectoral 232 actions (metals, 100% on patented pharma, autos, chips) and country 301 actions; the EU has a negotiated 15% ceiling, USMCA goods are exempt, China sits under the Busan and Beijing truce</w:t>
                  </w:r>
                </w:p>
                <w:p>
                  <w:pPr>
                    <w:pStyle w:val="CITBullet"/>
                    <w:numPr>
                      <w:ilvl w:val="0"/>
                      <w:numId w:val="1"/>
                    </w:numPr>
                  </w:pPr>
                  <w:r>
                    <w:t xml:space="preserve">The marginal news is now about excess-capacity investigations and exemptions rather than headline rates; effective tariff rate around 11%, the highest since the 1940s</w:t>
                  </w:r>
                </w:p>
              </w:sdtContent>
            </w:sdt>
            <w:tbl>
              <w:tblPr>
                <w:tblStyle w:val="CITTable"/>
                <w:tblW w:w="9000" w:type="dxa"/>
              </w:tblPr>
              <w:tr>
                <w:tc>
                  <w:tcPr>
                    <w:tcW w:w="3000" w:type="dxa"/>
                  </w:tcPr>
                  <w:p>
                    <w:pPr>
                      <w:pStyle w:val="CITTableHead"/>
                    </w:pPr>
                    <w:r>
                      <w:t xml:space="preserve">Baseline</w:t>
                    </w:r>
                  </w:p>
                </w:tc>
                <w:tc>
                  <w:tcPr>
                    <w:tcW w:w="3000" w:type="dxa"/>
                  </w:tcPr>
                  <w:p>
                    <w:pPr>
                      <w:pStyle w:val="CITTableHead"/>
                    </w:pPr>
                    <w:r>
                      <w:t xml:space="preserve">Upside</w:t>
                    </w:r>
                  </w:p>
                </w:tc>
                <w:tc>
                  <w:tcPr>
                    <w:tcW w:w="3000" w:type="dxa"/>
                  </w:tcPr>
                  <w:p>
                    <w:pPr>
                      <w:pStyle w:val="CITTableHead"/>
                    </w:pPr>
                    <w:r>
                      <w:t xml:space="preserve">Downside</w:t>
                    </w:r>
                  </w:p>
                </w:tc>
              </w:tr>
              <w:tr>
                <w:tc>
                  <w:tcPr>
                    <w:tcW w:w="3000" w:type="dxa"/>
                  </w:tcPr>
                  <w:sdt>
                    <w:sdtPr>
                      <w:alias w:val="Baseline"/>
                      <w:tag w:val="field|baseline"/>
                      <w:id w:val="1100"/>
                      <w:lock w:val="sdtLocked"/>
                      <w:showingPlcHdr/>
                    </w:sdtPr>
                    <w:sdtContent>
                      <w:p>
                        <w:pPr>
                          <w:pStyle w:val="CITPlaceholder"/>
                        </w:pPr>
                        <w:r>
                          <w:t xml:space="preserve">Baseline — what we expect. Leave all three empty if this issue has no signposts.</w:t>
                        </w:r>
                      </w:p>
                    </w:sdtContent>
                  </w:sdt>
                </w:tc>
                <w:tc>
                  <w:tcPr>
                    <w:tcW w:w="3000" w:type="dxa"/>
                  </w:tcPr>
                  <w:sdt>
                    <w:sdtPr>
                      <w:alias w:val="Upside"/>
                      <w:tag w:val="field|upside"/>
                      <w:id w:val="1101"/>
                      <w:lock w:val="sdtLocked"/>
                      <w:showingPlcHdr/>
                    </w:sdtPr>
                    <w:sdtContent>
                      <w:p>
                        <w:pPr>
                          <w:pStyle w:val="CITPlaceholder"/>
                        </w:pPr>
                        <w:r>
                          <w:t xml:space="preserve">Upside — what would make it better.</w:t>
                        </w:r>
                      </w:p>
                    </w:sdtContent>
                  </w:sdt>
                </w:tc>
                <w:tc>
                  <w:tcPr>
                    <w:tcW w:w="3000" w:type="dxa"/>
                  </w:tcPr>
                  <w:sdt>
                    <w:sdtPr>
                      <w:alias w:val="Downside"/>
                      <w:tag w:val="field|downside"/>
                      <w:id w:val="1102"/>
                      <w:lock w:val="sdtLocked"/>
                      <w:showingPlcHdr/>
                    </w:sdtPr>
                    <w:sdtContent>
                      <w:p>
                        <w:pPr>
                          <w:pStyle w:val="CITPlaceholder"/>
                        </w:pPr>
                        <w:r>
                          <w:t xml:space="preserve">Downside — what would make it worse.</w:t>
                        </w:r>
                      </w:p>
                    </w:sdtContent>
                  </w:sdt>
                </w:tc>
              </w:tr>
            </w:tbl>
            <w:p>
              <w:pPr>
                <w:pStyle w:val="CITBody"/>
              </w:pPr>
            </w:p>
          </w:sdtContent>
        </w:sdt>
        <w:sdt>
          <w:sdtPr>
            <w:alias w:val="New issue in International"/>
            <w:tag w:val="slot|issue"/>
            <w:id w:val="1104"/>
            <w:lock w:val="sdtLocked"/>
            <w:showingPlcHdr/>
          </w:sdtPr>
          <w:sdtContent>
            <w:p>
              <w:pPr>
                <w:pStyle w:val="CITPlaceholder"/>
              </w:pPr>
              <w:r>
                <w:t xml:space="preserve">Click here and type a new issue: its title on the first line, then one bullet per line. To give it signposts, add lines beginning Baseline:, Upside: and Downside:.</w:t>
              </w:r>
            </w:p>
          </w:sdtContent>
        </w:sdt>
      </w:sdtContent>
    </w:sdt>
    <w:sdt>
      <w:sdtPr>
        <w:alias w:val="New subsection under Geopolitics"/>
        <w:tag w:val="slot|sub|geopolitics"/>
        <w:id w:val="1106"/>
        <w:lock w:val="sdtLocked"/>
        <w:showingPlcHdr/>
      </w:sdtPr>
      <w:sdtContent>
        <w:p>
          <w:pPr>
            <w:pStyle w:val="CITPlaceholder"/>
          </w:pPr>
          <w:r>
            <w:t xml:space="preserve">Click here and type the name of a new subsection, then its first issue title and bullets.</w:t>
          </w:r>
        </w:p>
      </w:sdtContent>
    </w:sdt>
    <w:p>
      <w:pPr>
        <w:pStyle w:val="CITH1"/>
      </w:pPr>
      <w:r>
        <w:t xml:space="preserve">Investment implications</w:t>
      </w:r>
    </w:p>
    <w:sdt>
      <w:sdtPr>
        <w:alias w:val="Set these by clicking in the page, not here"/>
        <w:tag w:val="matrix"/>
        <w:id w:val="1107"/>
        <w:lock w:val="sdtContentLocked"/>
      </w:sdtPr>
      <w:sdtContent>
        <w:tbl>
          <w:tblPr>
            <w:tblStyle w:val="CITTable"/>
            <w:tblW w:w="9000" w:type="dxa"/>
          </w:tblPr>
          <w:tr>
            <w:tc>
              <w:tcPr>
                <w:tcW w:w="3600" w:type="dxa"/>
              </w:tcPr>
              <w:p>
                <w:pPr>
                  <w:pStyle w:val="CITBody"/>
                </w:pPr>
                <w:r>
                  <w:t xml:space="preserve">regime › trend-growth</w:t>
                </w:r>
              </w:p>
            </w:tc>
            <w:tc>
              <w:tcPr>
                <w:tcW w:w="5400" w:type="dxa"/>
              </w:tcPr>
              <w:p>
                <w:pPr>
                  <w:pStyle w:val="CITBody"/>
                </w:pPr>
                <w:r>
                  <w:t xml:space="preserve">sales growth ↑, margin growth ↑, valuation ↓, liquidity ↓</w:t>
                </w:r>
              </w:p>
            </w:tc>
          </w:tr>
          <w:tr>
            <w:tc>
              <w:tcPr>
                <w:tcW w:w="3600" w:type="dxa"/>
              </w:tcPr>
              <w:p>
                <w:pPr>
                  <w:pStyle w:val="CITBody"/>
                </w:pPr>
                <w:r>
                  <w:t xml:space="preserve">regime › trend-inflation</w:t>
                </w:r>
              </w:p>
            </w:tc>
            <w:tc>
              <w:tcPr>
                <w:tcW w:w="5400" w:type="dxa"/>
              </w:tcPr>
              <w:p>
                <w:pPr>
                  <w:pStyle w:val="CITBody"/>
                </w:pPr>
                <w:r>
                  <w:t xml:space="preserve">margin growth ↓, inflation expectation ↑, cash rate ↑</w:t>
                </w:r>
              </w:p>
            </w:tc>
          </w:tr>
          <w:tr>
            <w:tc>
              <w:tcPr>
                <w:tcW w:w="3600" w:type="dxa"/>
              </w:tcPr>
              <w:p>
                <w:pPr>
                  <w:pStyle w:val="CITBody"/>
                </w:pPr>
                <w:r>
                  <w:t xml:space="preserve">policy › monetary</w:t>
                </w:r>
              </w:p>
            </w:tc>
            <w:tc>
              <w:tcPr>
                <w:tcW w:w="5400" w:type="dxa"/>
              </w:tcPr>
              <w:p>
                <w:pPr>
                  <w:pStyle w:val="CITBody"/>
                </w:pPr>
                <w:r>
                  <w:t xml:space="preserve">valuation ↓, cash rate ↑, term premium ↑, liquidity ↓</w:t>
                </w:r>
              </w:p>
            </w:tc>
          </w:tr>
          <w:tr>
            <w:tc>
              <w:tcPr>
                <w:tcW w:w="3600" w:type="dxa"/>
              </w:tcPr>
              <w:p>
                <w:pPr>
                  <w:pStyle w:val="CITBody"/>
                </w:pPr>
                <w:r>
                  <w:t xml:space="preserve">policy › fiscal</w:t>
                </w:r>
              </w:p>
            </w:tc>
            <w:tc>
              <w:tcPr>
                <w:tcW w:w="5400" w:type="dxa"/>
              </w:tcPr>
              <w:p>
                <w:pPr>
                  <w:pStyle w:val="CITBody"/>
                </w:pPr>
                <w:r>
                  <w:t xml:space="preserve">sales growth ↑, term premium ↑, liquidity ↓</w:t>
                </w:r>
              </w:p>
            </w:tc>
          </w:tr>
          <w:tr>
            <w:tc>
              <w:tcPr>
                <w:tcW w:w="3600" w:type="dxa"/>
              </w:tcPr>
              <w:p>
                <w:pPr>
                  <w:pStyle w:val="CITBody"/>
                </w:pPr>
                <w:r>
                  <w:t xml:space="preserve">imbalances › domestic</w:t>
                </w:r>
              </w:p>
            </w:tc>
            <w:tc>
              <w:tcPr>
                <w:tcW w:w="5400" w:type="dxa"/>
              </w:tcPr>
              <w:p>
                <w:pPr>
                  <w:pStyle w:val="CITBody"/>
                </w:pPr>
                <w:r>
                  <w:t xml:space="preserve">sales growth ↓, margin growth ↓, dividend yield ↑</w:t>
                </w:r>
              </w:p>
            </w:tc>
          </w:tr>
          <w:tr>
            <w:tc>
              <w:tcPr>
                <w:tcW w:w="3600" w:type="dxa"/>
              </w:tcPr>
              <w:p>
                <w:pPr>
                  <w:pStyle w:val="CITBody"/>
                </w:pPr>
                <w:r>
                  <w:t xml:space="preserve">imbalances › external</w:t>
                </w:r>
              </w:p>
            </w:tc>
            <w:tc>
              <w:tcPr>
                <w:tcW w:w="5400" w:type="dxa"/>
              </w:tcPr>
              <w:p>
                <w:pPr>
                  <w:pStyle w:val="CITBody"/>
                </w:pPr>
                <w:r>
                  <w:t xml:space="preserve">term premium ↑, valuation ↓, inflation expectation ↑</w:t>
                </w:r>
              </w:p>
            </w:tc>
          </w:tr>
          <w:tr>
            <w:tc>
              <w:tcPr>
                <w:tcW w:w="3600" w:type="dxa"/>
              </w:tcPr>
              <w:p>
                <w:pPr>
                  <w:pStyle w:val="CITBody"/>
                </w:pPr>
                <w:r>
                  <w:t xml:space="preserve">imbalances › credit</w:t>
                </w:r>
              </w:p>
            </w:tc>
            <w:tc>
              <w:tcPr>
                <w:tcW w:w="5400" w:type="dxa"/>
              </w:tcPr>
              <w:p>
                <w:pPr>
                  <w:pStyle w:val="CITBody"/>
                </w:pPr>
                <w:r>
                  <w:t xml:space="preserve">liquidity ↓, valuation ↓</w:t>
                </w:r>
              </w:p>
            </w:tc>
          </w:tr>
          <w:tr>
            <w:tc>
              <w:tcPr>
                <w:tcW w:w="3600" w:type="dxa"/>
              </w:tcPr>
              <w:p>
                <w:pPr>
                  <w:pStyle w:val="CITBody"/>
                </w:pPr>
                <w:r>
                  <w:t xml:space="preserve">geopolitics › domestic</w:t>
                </w:r>
              </w:p>
            </w:tc>
            <w:tc>
              <w:tcPr>
                <w:tcW w:w="5400" w:type="dxa"/>
              </w:tcPr>
              <w:p>
                <w:pPr>
                  <w:pStyle w:val="CITBody"/>
                </w:pPr>
                <w:r>
                  <w:t xml:space="preserve">valuation ↓, term premium ↑</w:t>
                </w:r>
              </w:p>
            </w:tc>
          </w:tr>
          <w:tr>
            <w:tc>
              <w:tcPr>
                <w:tcW w:w="3600" w:type="dxa"/>
              </w:tcPr>
              <w:p>
                <w:pPr>
                  <w:pStyle w:val="CITBody"/>
                </w:pPr>
                <w:r>
                  <w:t xml:space="preserve">geopolitics › international</w:t>
                </w:r>
              </w:p>
            </w:tc>
            <w:tc>
              <w:tcPr>
                <w:tcW w:w="5400" w:type="dxa"/>
              </w:tcPr>
              <w:p>
                <w:pPr>
                  <w:pStyle w:val="CITBody"/>
                </w:pPr>
                <w:r>
                  <w:t xml:space="preserve">margin growth ↓, inflation expectation ↑, cash rate ↑</w:t>
                </w:r>
              </w:p>
            </w:tc>
          </w:tr>
        </w:tbl>
      </w:sdtContent>
    </w:sdt>
    <w:sectPr>
      <w:pgSz w:w="11906" w:h="16838"/>
      <w:pgMar w:top="1134" w:right="1134" w:bottom="1134" w:left="1134"/>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360" w:hanging="360"/>
      </w:pPr>
      <w:rPr>
        <w:rFonts w:ascii="Symbol" w:hAnsi="Symbol" w:hint="default"/>
      </w:rPr>
    </w:lvl>
    <w:lvl w:ilvl="1">
      <w:start w:val="1"/>
      <w:numFmt w:val="bullet"/>
      <w:lvlText w:val="o"/>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Aptos" w:hAnsi="Aptos"/>
        <w:sz w:val="20"/>
      </w:rPr>
    </w:rPrDefault>
  </w:docDefaults>
  <w:style w:type="paragraph" w:styleId="Normal">
    <w:name w:val="Normal"/>
    <w:pPr>
      <w:spacing w:after="120"/>
    </w:pPr>
  </w:style>
  <w:style w:type="paragraph" w:styleId="CITTitle">
    <w:name w:val="CIT Title"/>
    <w:basedOn w:val="Normal"/>
    <w:pPr>
      <w:spacing w:after="80"/>
    </w:pPr>
    <w:rPr>
      <w:b/>
      <w:sz w:val="40"/>
    </w:rPr>
  </w:style>
  <w:style w:type="paragraph" w:styleId="CITMeta">
    <w:name w:val="CIT Meta"/>
    <w:basedOn w:val="Normal"/>
    <w:rPr>
      <w:i/>
      <w:color w:val="767676"/>
    </w:rPr>
  </w:style>
  <w:style w:type="paragraph" w:styleId="CITH1">
    <w:name w:val="CIT Heading 1"/>
    <w:basedOn w:val="Normal"/>
    <w:pPr>
      <w:spacing w:before="320" w:after="120"/>
    </w:pPr>
    <w:rPr>
      <w:b/>
      <w:sz w:val="30"/>
    </w:rPr>
  </w:style>
  <w:style w:type="paragraph" w:styleId="CITH3">
    <w:name w:val="CIT Heading 3"/>
    <w:basedOn w:val="Normal"/>
    <w:pPr>
      <w:spacing w:before="200" w:after="80"/>
    </w:pPr>
    <w:rPr>
      <w:b/>
      <w:color w:val="1F4E79"/>
      <w:sz w:val="24"/>
    </w:rPr>
  </w:style>
  <w:style w:type="paragraph" w:styleId="CITIssueTitle">
    <w:name w:val="CIT Issue Title"/>
    <w:basedOn w:val="Normal"/>
    <w:pPr>
      <w:spacing w:before="160" w:after="60"/>
    </w:pPr>
    <w:rPr>
      <w:b/>
      <w:sz w:val="22"/>
    </w:rPr>
  </w:style>
  <w:style w:type="paragraph" w:styleId="CITBullet">
    <w:name w:val="CIT Bullet"/>
    <w:basedOn w:val="Normal"/>
    <w:pPr>
      <w:ind w:left="360" w:hanging="360"/>
      <w:spacing w:after="60"/>
    </w:pPr>
  </w:style>
  <w:style w:type="paragraph" w:styleId="CITBullet2">
    <w:name w:val="CIT Bullet 2"/>
    <w:basedOn w:val="Normal"/>
    <w:pPr>
      <w:ind w:left="720" w:hanging="360"/>
      <w:spacing w:after="60"/>
    </w:pPr>
  </w:style>
  <w:style w:type="paragraph" w:styleId="CITBody">
    <w:name w:val="CIT Body"/>
    <w:basedOn w:val="Normal"/>
  </w:style>
  <w:style w:type="paragraph" w:styleId="CITTableHead">
    <w:name w:val="CIT Table Head"/>
    <w:basedOn w:val="Normal"/>
    <w:rPr>
      <w:b/>
      <w:color w:val="767676"/>
    </w:rPr>
  </w:style>
  <w:style w:type="paragraph" w:styleId="CITPlaceholder">
    <w:name w:val="CIT Placeholder"/>
    <w:basedOn w:val="Normal"/>
    <w:rPr>
      <w:i/>
      <w:color w:val="8A8F96"/>
    </w:rPr>
  </w:style>
  <w:style w:type="paragraph" w:styleId="CITNoteHead">
    <w:name w:val="CIT Note Head"/>
    <w:basedOn w:val="Normal"/>
    <w:pPr>
      <w:spacing w:after="80"/>
    </w:pPr>
    <w:rPr>
      <w:b/>
      <w:color w:val="1F4E79"/>
      <w:sz w:val="22"/>
    </w:rPr>
  </w:style>
  <w:style w:type="paragraph" w:styleId="CITNote">
    <w:name w:val="CIT Note"/>
    <w:basedOn w:val="Normal"/>
    <w:pPr>
      <w:spacing w:after="70"/>
    </w:pPr>
    <w:rPr>
      <w:color w:val="33414F"/>
      <w:sz w:val="19"/>
    </w:rPr>
  </w:style>
  <w:style w:type="table" w:styleId="CITTable">
    <w:name w:val="CIT Table"/>
    <w:tblPr>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CellMar>
        <w:top w:w="80" w:type="dxa"/>
        <w:left w:w="100" w:type="dxa"/>
        <w:bottom w:w="8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