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CITTitle"/>
      </w:pPr>
      <w:r>
        <w:t xml:space="preserve">United States</w:t>
      </w:r>
    </w:p>
    <w:tbl>
      <w:tblPr>
        <w:tblW w:w="9000" w:type="dxa"/>
        <w:tblBorders>
          <w:top w:val="single" w:sz="6" w:space="0" w:color="C6D2E0"/>
          <w:left w:val="single" w:sz="6" w:space="0" w:color="C6D2E0"/>
          <w:bottom w:val="single" w:sz="6" w:space="0" w:color="C6D2E0"/>
          <w:right w:val="single" w:sz="6" w:space="0" w:color="C6D2E0"/>
        </w:tblBorders>
        <w:shd w:val="clear" w:color="auto" w:fill="F2F6FA"/>
        <w:tblCellMar>
          <w:top w:w="160" w:type="dxa"/>
          <w:left w:w="200" w:type="dxa"/>
          <w:bottom w:w="160" w:type="dxa"/>
          <w:right w:w="200" w:type="dxa"/>
        </w:tblCellMar>
      </w:tblPr>
      <w:tr>
        <w:tc>
          <w:tcPr>
            <w:tcW w:w="9000" w:type="dxa"/>
            <w:shd w:val="clear" w:color="auto" w:fill="F2F6FA"/>
          </w:tcPr>
          <w:p>
            <w:pPr>
              <w:pStyle w:val="CITNoteHead"/>
            </w:pPr>
            <w:r>
              <w:t xml:space="preserve">How to edit this document</w:t>
            </w:r>
          </w:p>
          <w:p>
            <w:pPr>
              <w:pStyle w:val="CITNote"/>
            </w:pPr>
            <w:r>
              <w:t xml:space="preserve">United States, version 2, exported 16 September 2026. Every issue is a table — a card. Edit the cards; the page reads them back when you are done.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Change the wording</w:t>
            </w:r>
            <w:r>
              <w:t xml:space="preserve"> — type in any cell. Bold is kept. Track Changes and comments are welcome.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Add an issue</w:t>
            </w:r>
            <w:r>
              <w:t xml:space="preserve"> — copy the blank card below, paste it where you want it, and fill it in. Leave its reference as NEW.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Remove an issue</w:t>
            </w:r>
            <w:r>
              <w:t xml:space="preserve"> — delete the whole card. Click in it, then Table Layout › Delete › Delete Table.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Reorder</w:t>
            </w:r>
            <w:r>
              <w:t xml:space="preserve"> — move the whole card.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Signposts go in threes</w:t>
            </w:r>
            <w:r>
              <w:t xml:space="preserve"> — fill Baseline, Upside and Downside together, or leave all three empty.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Leave the reference line alone.</w:t>
            </w:r>
            <w:r>
              <w:t xml:space="preserve"> The faint `ref` at the foot of each card is how your edit is matched back to the thesis. If it is missing or changed, the import stops and tells you which card.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Leave the headings alone</w:t>
            </w:r>
            <w:r>
              <w:t xml:space="preserve">, and paste as plain text (Ctrl+Shift+V) so pasted formatting does not travel.</w:t>
            </w:r>
          </w:p>
          <w:p>
            <w:pPr>
              <w:pStyle w:val="CITNote"/>
            </w:pPr>
            <w:r>
              <w:t xml:space="preserve">Nothing here changes the thesis until someone reviews every change in the page and applies it. If anything does not add up, the import refuses and names the card — it will not guess.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Blank card — copy this to add an issue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Lorem ipsum dolor sit amet, consectetur adipiscing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Lorem ipsum dolor sit amet, consectetur adipiscing elit, sed do eiusmod tempor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Ut enim ad minim veniam, quis nostrud exercitation ullamco laboris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Duis aute irure dolor in reprehenderit in voluptate velit esse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Lorem ipsum dolor sit amet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Consectetur adipiscing elit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Sed do eiusmod tempor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NEW</w:t>
            </w:r>
          </w:p>
        </w:tc>
      </w:tr>
    </w:tbl>
    <w:p>
      <w:pPr>
        <w:pStyle w:val="CITGap"/>
      </w:pP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1"/>
      </w:pPr>
      <w:r>
        <w:t xml:space="preserve">Economic Regime</w:t>
      </w:r>
    </w:p>
    <w:p>
      <w:pPr>
        <w:pStyle w:val="CITH3"/>
      </w:pPr>
      <w:r>
        <w:t xml:space="preserve">Growth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AI capex is now the growth engine, and the concentration risk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Investment in data centres, power and chips is running at something like 2-2.5% of GDP and has carried GDP growth through the tariff and oil shocks; ex-AI, the economy is close to stall speed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Financing has migrated from hyperscaler cash flow to bonds and private credit, so a capex pause would hit both growth and credit markets at once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Working assumption: potential growth around 2% while the productivity dividend is still mostly promise; hours worked and non-residential investment are the tells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Data-centre and power investment keeps growing but decelerates; contributes 0.3-0.5pp to growth in 2027 with financing increasingly debt-funded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Investment broadens into the grid, industrial automation and measured productivity; potential growth revised up toward 2.5%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Returns disappoint and private-credit financing tightens; orders are cut, investment subtracts from growth and the credit channel amplifies it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iss-us-tg1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Labour supply is the binding constraint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Immigration enforcement has cut labour-force growth to a trickle; payrolls in the 50-150k range are now consistent with a flat unemployment rate (4.1% in August)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A low-churn market: few layoffs, few hires, long-term unemployment share at a five-year high, wage growth down to about 3% and below headline inflation for four months running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Implication: break-even payroll growth is much lower than markets are used to, and a downturn would show up in hours and participation before it shows in the unemployment rate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iss-us-tg2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Inflation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Oil shock on top of tariff pass-through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Headline CPI is stuck at 3.4% with gasoline at record nominal highs after the Hormuz closure; core has cooled to the low 2s as goods pass-through from 2025 tariffs fades and shelter decelerates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risk is second-round effects: short-horizon inflation expectations are elevated and real wages are falling, which is the classic set-up for wage catch-up demands in 2027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We assume trend inflation settles near 2.5-3% rather than 2%, with the energy path the swing factor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Headline CPI drifts from 3.4% toward 2.8% by mid-2027 as the energy contribution fades; core stays 2.3-2.6%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Energy normalises quickly and shelter disinflation brings headline to 2.3% by end-2027; expectations re-anchor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Second-round effects from energy and a weaker dollar push core back above 3%; short-horizon expectations unanchor and the Fed is forced into a real tightening cycle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iss-us-ti1</w:t>
            </w:r>
          </w:p>
        </w:tc>
      </w:tr>
    </w:tbl>
    <w:p>
      <w:pPr>
        <w:pStyle w:val="CITGap"/>
      </w:pP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1"/>
      </w:pPr>
      <w:r>
        <w:t xml:space="preserve">Policy</w:t>
      </w:r>
    </w:p>
    <w:p>
      <w:pPr>
        <w:pStyle w:val="CITH3"/>
      </w:pPr>
      <w:r>
        <w:t xml:space="preserve">Monetary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Warsh Fed facing a hike into a slowing economy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Funds rate at 3.50-3.75% after the July 9-3 hold; three dissents for a hike, and markets price roughly two-thirds odds of a 25bp increase on 16 September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committee is split between looking through a supply shock and defending credibility after leaving rates unchanged into rising headline inflation; Hammack and others have floated multiple hikes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Watch: the September dots, whether Warsh frames any hike as insurance or the start of a cycle, and the balance-sheet language (reserve-management purchases have been keeping front-end funding calm)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One or two insurance hikes to 4.00%, then an extended hold while the committee watches the labour market; cuts return only in 2H27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Energy relief lets the Fed stay on hold and resume cutting toward 3% in 2027; the curve bull-steepens in an orderly way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Either a full hiking cycle toward 4.5-5% into a stagflationary economy, or a growth shock forcing rapid cuts below 2.5%; both damage risk assets and the credibility of the reaction function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iss-us-mo1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Independence and the reaction function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2026 chair transition went through without the institutional rupture markets feared, but the administration's preference for lower rates is public and the committee's composition has shifted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Our read: the reaction function is more tolerant of inflation than in 2022 but not captured; the term premium is where markets express doubt, not the front end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iss-us-mo2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Fiscal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Deficit near 6-7% of GDP and losing its tariff crutch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2025 tax package locked in a structural deficit; the Supreme Court's February ruling voided IEEPA tariff revenue and triggered refunds, and the replacement 10-12.5% Section 301 tariffs on 60 economies raise less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Treasury keeps skewing issuance to bills to limit duration supply; that caps term premium today at the cost of rollover risk and growing dependence on money funds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Higher oil raises the deficit further via indexed programmes and lower real growth; no consolidation is plausible before the 2028 cycle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Deficit 6-7% of GDP, bills share stays high, no consolidation before 2028; term premium grinds higher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Tariff revenue and stronger nominal growth stabilise the debt ratio; Treasury terms out issuance without a term-premium shock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A cluster of weak auctions or a political challenge to Fed independence produces a term-premium spike and a disorderly bear-steepening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iss-us-fi1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Reforms</w:t>
      </w:r>
    </w:p>
    <w:p>
      <w:pPr>
        <w:pStyle w:val="CITPlaceholder"/>
      </w:pPr>
      <w:r>
        <w:t xml:space="preserve">No issues here yet — copy the blank card from the first page to add one.</w:t>
      </w: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1"/>
      </w:pPr>
      <w:r>
        <w:t xml:space="preserve">Imbalances</w:t>
      </w:r>
    </w:p>
    <w:p>
      <w:pPr>
        <w:pStyle w:val="CITH3"/>
      </w:pPr>
      <w:r>
        <w:t xml:space="preserve">Domestic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Two-speed households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Consumption is being carried by the top of the income distribution on equity wealth; lower-income cohorts are squeezed by $4-plus gasoline, tariff-driven goods prices and rising card delinquencies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transmission channel that matters is asset prices: an equity correction would hit the only cohort still spending freely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Real consumption slows to 1-1.5% as real incomes stagnate; wealth effects and fiscal support prevent a contraction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Hormuz reopens durably, gasoline falls back below $3.50 and real wages turn positive; consumption re-accelerates above 2%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Oil stays above $100 into 2027 and equities correct 15-20%; high-income spending stops and unemployment rises past 5%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iss-us-do1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Corporate margins under a cost squeeze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Tariffs, energy and a tight labour market are compressing margins outside the AI complex; an earnings recession is already visible in consumer discretionary and industrials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iss-us-do2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External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Dollar has lost its reflexive safe-haven bid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dollar did not rally on the Iran war the way it did in 2022; foreign official demand for Treasuries is slower and more price sensitive, and the euro and yen have both strengthened on repatriation flows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current account is narrowing as tariffs compress imports, but the financing question (who absorbs record Treasury supply at a lower dollar) is the live one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iss-us-ex1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Financial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Private credit is the AI financing plumbing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Private credit has absorbed the leveraged-loan market and now a large share of data-centre and power project finance; opacity, not aggregate size, is the concern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Stress would surface first in redemption gates and mark-downs at private funds, then in bank lines to those funds; the sector has not been tested by a capex downturn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iss-us-cr1</w:t>
            </w:r>
          </w:p>
        </w:tc>
      </w:tr>
    </w:tbl>
    <w:p>
      <w:pPr>
        <w:pStyle w:val="CITGap"/>
      </w:pP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1"/>
      </w:pPr>
      <w:r>
        <w:t xml:space="preserve">Politics</w:t>
      </w:r>
    </w:p>
    <w:p>
      <w:pPr>
        <w:pStyle w:val="CITH3"/>
      </w:pPr>
      <w:r>
        <w:t xml:space="preserve">Domestic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Midterms and the policy volatility premium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November midterms are being fought on the cost of living; a Democratic House would end the legislative agenda and raise the odds of investigations, but tariff and regulatory policy would still move by executive action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Congress is also stirring on trade powers (bills to restrain 122, 232 and 301 authority); a real transfer of authority back to Congress would be a structural change in policy risk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iss-us-gd1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Geopolitics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Iran war, Hormuz and the energy price regime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Strait has been effectively contested since late February; a June US-Iran MOU reopened it partially, fighting resumed in September and Brent is back near $100 with Iran-Gulf talks pending in Oman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EIA does not expect Gulf output to normalise before 2027; the US is the relative winner as an energy exporter, but the consumer and the Fed pay first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iss-us-gi1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Tariff regime is fragmenting into 232 and 301 tools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After IEEPA and Section 122 fell, the administration rebuilt the tariff wall with sectoral 232 actions (metals, 100% on patented pharma, autos, chips) and country 301 actions; the EU has a negotiated 15% ceiling, USMCA goods are exempt, China sits under the Busan and Beijing truce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marginal news is now about excess-capacity investigations and exemptions rather than headline rates; effective tariff rate around 11%, the highest since the 1940s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iss-us-gi2</w:t>
            </w:r>
          </w:p>
        </w:tc>
      </w:tr>
    </w:tbl>
    <w:p>
      <w:pPr>
        <w:pStyle w:val="CITGap"/>
      </w:pPr>
    </w:p>
    <w:p>
      <w:pPr>
        <w:pStyle w:val="CITH1"/>
      </w:pPr>
      <w:r>
        <w:t xml:space="preserve">Investment implications</w:t>
      </w:r>
    </w:p>
    <w:p>
      <w:pPr>
        <w:pStyle w:val="CITNote"/>
      </w:pPr>
      <w:r>
        <w:t xml:space="preserve">Read-only. These arrows are set by clicking in the page, and anything changed here is ignored.</w:t>
      </w:r>
    </w:p>
    <w:tbl>
      <w:tblPr>
        <w:tblStyle w:val="CITCard"/>
        <w:tblW w:w="9000" w:type="dxa"/>
      </w:tblPr>
      <w:tr>
        <w:tc>
          <w:tcPr>
            <w:tcW w:w="3600" w:type="dxa"/>
          </w:tcPr>
          <w:p>
            <w:pPr>
              <w:pStyle w:val="CITBody"/>
            </w:pPr>
            <w:r>
              <w:t xml:space="preserve">regime › trend-growth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sales growth ↑, margin growth ↑, valuation ↓, liquidity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regime › trend-inflation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margin growth ↓, inflation expectation ↑, cash rate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policy › monetary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valuation ↓, cash rate ↑, term premium ↑, liquidity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policy › fiscal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sales growth ↑, term premium ↑, liquidity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imbalances › domestic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sales growth ↓, margin growth ↓, dividend yield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imbalances › external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term premium ↑, valuation ↓, inflation expectation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imbalances › credit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liquidity ↓, valuation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geopolitics › domestic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valuation ↓, term premium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geopolitics › international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margin growth ↓, inflation expectation ↑, cash rate ↑</w:t>
            </w:r>
          </w:p>
        </w:tc>
      </w:tr>
    </w:tbl>
    <w:sectPr>
      <w:type w:val="nextPage"/>
      <w:pgSz w:w="11906" w:h="16838"/>
      <w:pgMar w:top="1134" w:right="1134" w:bottom="1134" w:left="1134" w:header="567" w:footer="567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300" w:hanging="2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640" w:hanging="2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</w:rPr>
    </w:rPrDefault>
  </w:docDefaults>
  <w:style w:type="paragraph" w:styleId="Normal">
    <w:name w:val="Normal"/>
    <w:pPr>
      <w:spacing w:after="100"/>
    </w:pPr>
  </w:style>
  <w:style w:type="paragraph" w:styleId="CITTitle">
    <w:name w:val="CIT Title"/>
    <w:basedOn w:val="Normal"/>
    <w:pPr>
      <w:spacing w:after="140"/>
    </w:pPr>
    <w:rPr>
      <w:b/>
      <w:sz w:val="40"/>
    </w:rPr>
  </w:style>
  <w:style w:type="paragraph" w:styleId="CITH1">
    <w:name w:val="CIT Heading 1"/>
    <w:basedOn w:val="Normal"/>
    <w:pPr>
      <w:spacing w:before="0" w:after="160"/>
    </w:pPr>
    <w:rPr>
      <w:b/>
      <w:sz w:val="32"/>
      <w:color w:val="1F3864"/>
    </w:rPr>
  </w:style>
  <w:style w:type="paragraph" w:styleId="CITH3">
    <w:name w:val="CIT Heading 3"/>
    <w:basedOn w:val="Normal"/>
    <w:pPr>
      <w:spacing w:before="240" w:after="100"/>
    </w:pPr>
    <w:rPr>
      <w:b/>
      <w:color w:val="1F4E79"/>
      <w:sz w:val="24"/>
    </w:rPr>
  </w:style>
  <w:style w:type="paragraph" w:styleId="CITCardTitle">
    <w:name w:val="CIT Card Title"/>
    <w:basedOn w:val="Normal"/>
    <w:pPr>
      <w:spacing w:after="40"/>
    </w:pPr>
    <w:rPr>
      <w:b/>
      <w:sz w:val="22"/>
    </w:rPr>
  </w:style>
  <w:style w:type="paragraph" w:styleId="CITLabel">
    <w:name w:val="CIT Label"/>
    <w:basedOn w:val="Normal"/>
    <w:rPr>
      <w:caps/>
      <w:color w:val="7A8899"/>
      <w:sz w:val="15"/>
    </w:rPr>
  </w:style>
  <w:style w:type="paragraph" w:styleId="CITCellHead">
    <w:name w:val="CIT Cell Head"/>
    <w:basedOn w:val="Normal"/>
    <w:rPr>
      <w:b/>
      <w:caps/>
      <w:color w:val="7A8899"/>
      <w:sz w:val="15"/>
    </w:rPr>
  </w:style>
  <w:style w:type="paragraph" w:styleId="CITRef">
    <w:name w:val="CIT Ref"/>
    <w:basedOn w:val="Normal"/>
    <w:pPr>
      <w:jc w:val="right"/>
      <w:spacing w:after="0"/>
    </w:pPr>
    <w:rPr>
      <w:color w:val="B4BECB"/>
      <w:sz w:val="14"/>
    </w:rPr>
  </w:style>
  <w:style w:type="paragraph" w:styleId="CITBullet">
    <w:name w:val="CIT Bullet"/>
    <w:basedOn w:val="Normal"/>
    <w:pPr>
      <w:ind w:left="300" w:hanging="300"/>
      <w:spacing w:after="50"/>
    </w:pPr>
  </w:style>
  <w:style w:type="paragraph" w:styleId="CITBulletSm">
    <w:name w:val="CIT Bullet Small"/>
    <w:basedOn w:val="Normal"/>
    <w:pPr>
      <w:ind w:left="240" w:hanging="240"/>
      <w:spacing w:after="50"/>
    </w:pPr>
    <w:rPr>
      <w:sz w:val="18"/>
    </w:rPr>
  </w:style>
  <w:style w:type="paragraph" w:styleId="CITBullet2">
    <w:name w:val="CIT Bullet 2"/>
    <w:basedOn w:val="Normal"/>
    <w:pPr>
      <w:ind w:left="640" w:hanging="300"/>
      <w:spacing w:after="50"/>
    </w:pPr>
  </w:style>
  <w:style w:type="paragraph" w:styleId="CITBody">
    <w:name w:val="CIT Body"/>
    <w:basedOn w:val="Normal"/>
  </w:style>
  <w:style w:type="paragraph" w:styleId="CITGap">
    <w:name w:val="CIT Gap"/>
    <w:basedOn w:val="Normal"/>
    <w:pPr>
      <w:spacing w:after="0"/>
    </w:pPr>
    <w:rPr>
      <w:sz w:val="12"/>
    </w:rPr>
  </w:style>
  <w:style w:type="paragraph" w:styleId="CITPlaceholder">
    <w:name w:val="CIT Placeholder"/>
    <w:basedOn w:val="Normal"/>
    <w:rPr>
      <w:i/>
      <w:color w:val="9AA6B4"/>
    </w:rPr>
  </w:style>
  <w:style w:type="paragraph" w:styleId="CITNoteHead">
    <w:name w:val="CIT Note Head"/>
    <w:basedOn w:val="Normal"/>
    <w:pPr>
      <w:spacing w:after="80"/>
    </w:pPr>
    <w:rPr>
      <w:b/>
      <w:color w:val="1F4E79"/>
      <w:sz w:val="22"/>
    </w:rPr>
  </w:style>
  <w:style w:type="paragraph" w:styleId="CITNote">
    <w:name w:val="CIT Note"/>
    <w:basedOn w:val="Normal"/>
    <w:pPr>
      <w:spacing w:after="70"/>
    </w:pPr>
    <w:rPr>
      <w:color w:val="33414F"/>
      <w:sz w:val="19"/>
    </w:rPr>
  </w:style>
  <w:style w:type="table" w:styleId="CITCard">
    <w:name w:val="CIT Card"/>
    <w:tblPr>
      <w:tblBorders>
        <w:top w:val="single" w:sz="4" w:space="0" w:color="D3DAE3"/>
        <w:left w:val="single" w:sz="4" w:space="0" w:color="D3DAE3"/>
        <w:bottom w:val="single" w:sz="4" w:space="0" w:color="D3DAE3"/>
        <w:right w:val="single" w:sz="4" w:space="0" w:color="D3DAE3"/>
        <w:insideH w:val="single" w:sz="4" w:space="0" w:color="D3DAE3"/>
        <w:insideV w:val="single" w:sz="4" w:space="0" w:color="D3DAE3"/>
      </w:tblBorders>
      <w:tblCellMar>
        <w:top w:w="70" w:type="dxa"/>
        <w:left w:w="110" w:type="dxa"/>
        <w:bottom w:w="70" w:type="dxa"/>
        <w:right w:w="11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