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CITTitle"/>
      </w:pPr>
      <w:r>
        <w:t xml:space="preserve">United States</w:t>
      </w:r>
    </w:p>
    <w:sdt>
      <w:sdtPr>
        <w:alias w:val="Do not edit"/>
        <w:tag w:val="meta|united-states|2"/>
        <w:id w:val="1000"/>
        <w:lock w:val="sdtContentLocked"/>
      </w:sdtPr>
      <w:sdtContent>
        <w:p>
          <w:pPr>
            <w:pStyle w:val="CITMeta"/>
          </w:pPr>
          <w:r>
            <w:t xml:space="preserve">United States · version 2 · edit inside the boxes, then import this file back into the page</w:t>
          </w:r>
        </w:p>
      </w:sdtContent>
    </w:sdt>
    <w:sdt>
      <w:sdtPr>
        <w:alias w:val="Regime"/>
        <w:tag w:val="group|regime"/>
        <w:id w:val="1001"/>
        <w:lock w:val="sdtContentLocked"/>
      </w:sdtPr>
      <w:sdtContent>
        <w:p>
          <w:pPr>
            <w:pStyle w:val="CITH1"/>
          </w:pPr>
          <w:r>
            <w:t xml:space="preserve">Regime</w:t>
          </w:r>
        </w:p>
      </w:sdtContent>
    </w:sdt>
    <w:sdt>
      <w:sdtPr>
        <w:alias w:val="Trend growth"/>
        <w:tag w:val="sub|drivers/regime/trend-growth"/>
        <w:id w:val="1015"/>
        <w:lock w:val="sdtLocked"/>
      </w:sdtPr>
      <w:sdtContent>
        <w:p>
          <w:pPr>
            <w:pStyle w:val="CITH3"/>
          </w:pPr>
          <w:r>
            <w:t xml:space="preserve">Trend growth</w:t>
          </w:r>
        </w:p>
        <w:sdt>
          <w:sdtPr>
            <w:alias w:val="AI capex is now the growth engine, and the concentration risk"/>
            <w:tag w:val="issue|iss-us-tg1"/>
            <w:id w:val="1007"/>
            <w:lock w:val="sdtLocked"/>
          </w:sdtPr>
          <w:sdtContent>
            <w:sdt>
              <w:sdtPr>
                <w:alias w:val="Title"/>
                <w:tag w:val="field|title"/>
                <w:id w:val="1002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AI capex is now the growth engine, and the concentration risk</w:t>
                  </w:r>
                </w:p>
              </w:sdtContent>
            </w:sdt>
            <w:sdt>
              <w:sdtPr>
                <w:alias w:val="View"/>
                <w:tag w:val="field|text"/>
                <w:id w:val="1003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Investment in data centres, power and chips is running at something like 2-2.5% of GDP and has carried GDP growth through the tariff and oil shocks; ex-AI, the economy is close to stall speed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Financing has migrated from hyperscaler cash flow to bonds and private credit, so a capex pause would hit both growth and credit markets at once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Working assumption: potential growth around 2% while the productivity dividend is still mostly promise; hours worked and non-residential investment are the tells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04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Data-centre and power investment keeps growing but decelerates; contributes 0.3-0.5pp to growth in 2027 with financing increasingly debt-funded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05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Investment broadens into the grid, industrial automation and measured productivity; potential growth revised up toward 2.5%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06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Returns disappoint and private-credit financing tightens; orders are cut, investment subtracts from growth and the credit channel amplifies it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Labour supply is the binding constraint"/>
            <w:tag w:val="issue|iss-us-tg2"/>
            <w:id w:val="1013"/>
            <w:lock w:val="sdtLocked"/>
          </w:sdtPr>
          <w:sdtContent>
            <w:sdt>
              <w:sdtPr>
                <w:alias w:val="Title"/>
                <w:tag w:val="field|title"/>
                <w:id w:val="1008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Labour supply is the binding constraint</w:t>
                  </w:r>
                </w:p>
              </w:sdtContent>
            </w:sdt>
            <w:sdt>
              <w:sdtPr>
                <w:alias w:val="View"/>
                <w:tag w:val="field|text"/>
                <w:id w:val="1009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Immigration enforcement has cut labour-force growth to a trickle; payrolls in the 50-150k range are now consistent with a flat unemployment rate (4.1% in August)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A low-churn market: few layoffs, few hires, long-term unemployment share at a five-year high, wage growth down to about 3% and below headline inflation for four months running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Implication: break-even payroll growth is much lower than markets are used to, and a downturn would show up in hours and participation before it shows in the unemployment rate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10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11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12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Trend growth"/>
            <w:tag w:val="slot|issue"/>
            <w:id w:val="1014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Trend inflation"/>
        <w:tag w:val="sub|drivers/regime/trend-inflation"/>
        <w:id w:val="1023"/>
        <w:lock w:val="sdtLocked"/>
      </w:sdtPr>
      <w:sdtContent>
        <w:p>
          <w:pPr>
            <w:pStyle w:val="CITH3"/>
          </w:pPr>
          <w:r>
            <w:t xml:space="preserve">Trend inflation</w:t>
          </w:r>
        </w:p>
        <w:sdt>
          <w:sdtPr>
            <w:alias w:val="Oil shock on top of tariff pass-through"/>
            <w:tag w:val="issue|iss-us-ti1"/>
            <w:id w:val="1021"/>
            <w:lock w:val="sdtLocked"/>
          </w:sdtPr>
          <w:sdtContent>
            <w:sdt>
              <w:sdtPr>
                <w:alias w:val="Title"/>
                <w:tag w:val="field|title"/>
                <w:id w:val="1016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Oil shock on top of tariff pass-through</w:t>
                  </w:r>
                </w:p>
              </w:sdtContent>
            </w:sdt>
            <w:sdt>
              <w:sdtPr>
                <w:alias w:val="View"/>
                <w:tag w:val="field|text"/>
                <w:id w:val="1017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Headline CPI is stuck at 3.4% with gasoline at record nominal highs after the Hormuz closure; core has cooled to the low 2s as goods pass-through from 2025 tariffs fades and shelter decelerates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risk is second-round effects: short-horizon inflation expectations are elevated and real wages are falling, which is the classic set-up for wage catch-up demands in 2027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We assume trend inflation settles near 2.5-3% rather than 2%, with the energy path the swing factor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18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Headline CPI drifts from 3.4% toward 2.8% by mid-2027 as the energy contribution fades; core stays 2.3-2.6%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19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Energy normalises quickly and shelter disinflation brings headline to 2.3% by end-2027; expectations re-anchor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20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Second-round effects from energy and a weaker dollar push core back above 3%; short-horizon expectations unanchor and the Fed is forced into a real tightening cycle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Trend inflation"/>
            <w:tag w:val="slot|issue"/>
            <w:id w:val="1022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New subsection under Regime"/>
        <w:tag w:val="slot|sub|regime"/>
        <w:id w:val="1024"/>
        <w:lock w:val="sdtLocked"/>
        <w:showingPlcHdr/>
      </w:sdtPr>
      <w:sdtContent>
        <w:p>
          <w:pPr>
            <w:pStyle w:val="CITPlaceholder"/>
          </w:pPr>
          <w:r>
            <w:t xml:space="preserve">Click here and type the name of a new subsection, then its first issue title and bullets.</w:t>
          </w:r>
        </w:p>
      </w:sdtContent>
    </w:sdt>
    <w:sdt>
      <w:sdtPr>
        <w:alias w:val="Policy"/>
        <w:tag w:val="group|policy"/>
        <w:id w:val="1025"/>
        <w:lock w:val="sdtContentLocked"/>
      </w:sdtPr>
      <w:sdtContent>
        <w:p>
          <w:pPr>
            <w:pStyle w:val="CITH1"/>
          </w:pPr>
          <w:r>
            <w:t xml:space="preserve">Policy</w:t>
          </w:r>
        </w:p>
      </w:sdtContent>
    </w:sdt>
    <w:sdt>
      <w:sdtPr>
        <w:alias w:val="Monetary"/>
        <w:tag w:val="sub|drivers/policy/monetary"/>
        <w:id w:val="1039"/>
        <w:lock w:val="sdtLocked"/>
      </w:sdtPr>
      <w:sdtContent>
        <w:p>
          <w:pPr>
            <w:pStyle w:val="CITH3"/>
          </w:pPr>
          <w:r>
            <w:t xml:space="preserve">Monetary</w:t>
          </w:r>
        </w:p>
        <w:sdt>
          <w:sdtPr>
            <w:alias w:val="Warsh Fed facing a hike into a slowing economy"/>
            <w:tag w:val="issue|iss-us-mo1"/>
            <w:id w:val="1031"/>
            <w:lock w:val="sdtLocked"/>
          </w:sdtPr>
          <w:sdtContent>
            <w:sdt>
              <w:sdtPr>
                <w:alias w:val="Title"/>
                <w:tag w:val="field|title"/>
                <w:id w:val="1026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Warsh Fed facing a hike into a slowing economy</w:t>
                  </w:r>
                </w:p>
              </w:sdtContent>
            </w:sdt>
            <w:sdt>
              <w:sdtPr>
                <w:alias w:val="View"/>
                <w:tag w:val="field|text"/>
                <w:id w:val="1027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Funds rate at 3.50-3.75% after the July 9-3 hold; three dissents for a hike, and markets price roughly two-thirds odds of a 25bp increase on 16 September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committee is split between looking through a supply shock and defending credibility after leaving rates unchanged into rising headline inflation; Hammack and others have floated multiple hikes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Watch: the September dots, whether Warsh frames any hike as insurance or the start of a cycle, and the balance-sheet language (reserve-management purchases have been keeping front-end funding calm)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28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One or two insurance hikes to 4.00%, then an extended hold while the committee watches the labour market; cuts return only in 2H27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29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Energy relief lets the Fed stay on hold and resume cutting toward 3% in 2027; the curve bull-steepens in an orderly way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30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Either a full hiking cycle toward 4.5-5% into a stagflationary economy, or a growth shock forcing rapid cuts below 2.5%; both damage risk assets and the credibility of the reaction function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Independence and the reaction function"/>
            <w:tag w:val="issue|iss-us-mo2"/>
            <w:id w:val="1037"/>
            <w:lock w:val="sdtLocked"/>
          </w:sdtPr>
          <w:sdtContent>
            <w:sdt>
              <w:sdtPr>
                <w:alias w:val="Title"/>
                <w:tag w:val="field|title"/>
                <w:id w:val="1032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Independence and the reaction function</w:t>
                  </w:r>
                </w:p>
              </w:sdtContent>
            </w:sdt>
            <w:sdt>
              <w:sdtPr>
                <w:alias w:val="View"/>
                <w:tag w:val="field|text"/>
                <w:id w:val="1033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2026 chair transition went through without the institutional rupture markets feared, but the administration's preference for lower rates is public and the committee's composition has shifted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Our read: the reaction function is more tolerant of inflation than in 2022 but not captured; the term premium is where markets express doubt, not the front end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34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35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36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Monetary"/>
            <w:tag w:val="slot|issue"/>
            <w:id w:val="1038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Fiscal"/>
        <w:tag w:val="sub|drivers/policy/fiscal"/>
        <w:id w:val="1047"/>
        <w:lock w:val="sdtLocked"/>
      </w:sdtPr>
      <w:sdtContent>
        <w:p>
          <w:pPr>
            <w:pStyle w:val="CITH3"/>
          </w:pPr>
          <w:r>
            <w:t xml:space="preserve">Fiscal</w:t>
          </w:r>
        </w:p>
        <w:sdt>
          <w:sdtPr>
            <w:alias w:val="Deficit near 6-7% of GDP and losing its tariff crutch"/>
            <w:tag w:val="issue|iss-us-fi1"/>
            <w:id w:val="1045"/>
            <w:lock w:val="sdtLocked"/>
          </w:sdtPr>
          <w:sdtContent>
            <w:sdt>
              <w:sdtPr>
                <w:alias w:val="Title"/>
                <w:tag w:val="field|title"/>
                <w:id w:val="1040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Deficit near 6-7% of GDP and losing its tariff crutch</w:t>
                  </w:r>
                </w:p>
              </w:sdtContent>
            </w:sdt>
            <w:sdt>
              <w:sdtPr>
                <w:alias w:val="View"/>
                <w:tag w:val="field|text"/>
                <w:id w:val="1041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2025 tax package locked in a structural deficit; the Supreme Court's February ruling voided IEEPA tariff revenue and triggered refunds, and the replacement 10-12.5% Section 301 tariffs on 60 economies raise less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Treasury keeps skewing issuance to bills to limit duration supply; that caps term premium today at the cost of rollover risk and growing dependence on money funds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Higher oil raises the deficit further via indexed programmes and lower real growth; no consolidation is plausible before the 2028 cycle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42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Deficit 6-7% of GDP, bills share stays high, no consolidation before 2028; term premium grinds higher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43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Tariff revenue and stronger nominal growth stabilise the debt ratio; Treasury terms out issuance without a term-premium shock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44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A cluster of weak auctions or a political challenge to Fed independence produces a term-premium spike and a disorderly bear-steepening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Fiscal"/>
            <w:tag w:val="slot|issue"/>
            <w:id w:val="1046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New subsection under Policy"/>
        <w:tag w:val="slot|sub|policy"/>
        <w:id w:val="1048"/>
        <w:lock w:val="sdtLocked"/>
        <w:showingPlcHdr/>
      </w:sdtPr>
      <w:sdtContent>
        <w:p>
          <w:pPr>
            <w:pStyle w:val="CITPlaceholder"/>
          </w:pPr>
          <w:r>
            <w:t xml:space="preserve">Click here and type the name of a new subsection, then its first issue title and bullets.</w:t>
          </w:r>
        </w:p>
      </w:sdtContent>
    </w:sdt>
    <w:sdt>
      <w:sdtPr>
        <w:alias w:val="Imbalances"/>
        <w:tag w:val="group|imbalances"/>
        <w:id w:val="1049"/>
        <w:lock w:val="sdtContentLocked"/>
      </w:sdtPr>
      <w:sdtContent>
        <w:p>
          <w:pPr>
            <w:pStyle w:val="CITH1"/>
          </w:pPr>
          <w:r>
            <w:t xml:space="preserve">Imbalances</w:t>
          </w:r>
        </w:p>
      </w:sdtContent>
    </w:sdt>
    <w:sdt>
      <w:sdtPr>
        <w:alias w:val="Domestic"/>
        <w:tag w:val="sub|drivers/imbalances/domestic"/>
        <w:id w:val="1063"/>
        <w:lock w:val="sdtLocked"/>
      </w:sdtPr>
      <w:sdtContent>
        <w:p>
          <w:pPr>
            <w:pStyle w:val="CITH3"/>
          </w:pPr>
          <w:r>
            <w:t xml:space="preserve">Domestic</w:t>
          </w:r>
        </w:p>
        <w:sdt>
          <w:sdtPr>
            <w:alias w:val="Two-speed households"/>
            <w:tag w:val="issue|iss-us-do1"/>
            <w:id w:val="1055"/>
            <w:lock w:val="sdtLocked"/>
          </w:sdtPr>
          <w:sdtContent>
            <w:sdt>
              <w:sdtPr>
                <w:alias w:val="Title"/>
                <w:tag w:val="field|title"/>
                <w:id w:val="1050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Two-speed households</w:t>
                  </w:r>
                </w:p>
              </w:sdtContent>
            </w:sdt>
            <w:sdt>
              <w:sdtPr>
                <w:alias w:val="View"/>
                <w:tag w:val="field|text"/>
                <w:id w:val="1051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Consumption is being carried by the top of the income distribution on equity wealth; lower-income cohorts are squeezed by $4-plus gasoline, tariff-driven goods prices and rising card delinquencies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transmission channel that matters is asset prices: an equity correction would hit the only cohort still spending freely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52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Real consumption slows to 1-1.5% as real incomes stagnate; wealth effects and fiscal support prevent a contraction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53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Hormuz reopens durably, gasoline falls back below $3.50 and real wages turn positive; consumption re-accelerates above 2%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54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Oil stays above $100 into 2027 and equities correct 15-20%; high-income spending stops and unemployment rises past 5%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Corporate margins under a cost squeeze"/>
            <w:tag w:val="issue|iss-us-do2"/>
            <w:id w:val="1061"/>
            <w:lock w:val="sdtLocked"/>
          </w:sdtPr>
          <w:sdtContent>
            <w:sdt>
              <w:sdtPr>
                <w:alias w:val="Title"/>
                <w:tag w:val="field|title"/>
                <w:id w:val="1056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Corporate margins under a cost squeeze</w:t>
                  </w:r>
                </w:p>
              </w:sdtContent>
            </w:sdt>
            <w:sdt>
              <w:sdtPr>
                <w:alias w:val="View"/>
                <w:tag w:val="field|text"/>
                <w:id w:val="1057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Tariffs, energy and a tight labour market are compressing margins outside the AI complex; an earnings recession is already visible in consumer discretionary and industrials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58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59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60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Domestic"/>
            <w:tag w:val="slot|issue"/>
            <w:id w:val="1062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External"/>
        <w:tag w:val="sub|drivers/imbalances/external"/>
        <w:id w:val="1071"/>
        <w:lock w:val="sdtLocked"/>
      </w:sdtPr>
      <w:sdtContent>
        <w:p>
          <w:pPr>
            <w:pStyle w:val="CITH3"/>
          </w:pPr>
          <w:r>
            <w:t xml:space="preserve">External</w:t>
          </w:r>
        </w:p>
        <w:sdt>
          <w:sdtPr>
            <w:alias w:val="Dollar has lost its reflexive safe-haven bid"/>
            <w:tag w:val="issue|iss-us-ex1"/>
            <w:id w:val="1069"/>
            <w:lock w:val="sdtLocked"/>
          </w:sdtPr>
          <w:sdtContent>
            <w:sdt>
              <w:sdtPr>
                <w:alias w:val="Title"/>
                <w:tag w:val="field|title"/>
                <w:id w:val="1064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Dollar has lost its reflexive safe-haven bid</w:t>
                  </w:r>
                </w:p>
              </w:sdtContent>
            </w:sdt>
            <w:sdt>
              <w:sdtPr>
                <w:alias w:val="View"/>
                <w:tag w:val="field|text"/>
                <w:id w:val="1065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dollar did not rally on the Iran war the way it did in 2022; foreign official demand for Treasuries is slower and more price sensitive, and the euro and yen have both strengthened on repatriation flows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current account is narrowing as tariffs compress imports, but the financing question (who absorbs record Treasury supply at a lower dollar) is the live one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66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67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68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External"/>
            <w:tag w:val="slot|issue"/>
            <w:id w:val="1070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Credit"/>
        <w:tag w:val="sub|drivers/imbalances/credit"/>
        <w:id w:val="1079"/>
        <w:lock w:val="sdtLocked"/>
      </w:sdtPr>
      <w:sdtContent>
        <w:p>
          <w:pPr>
            <w:pStyle w:val="CITH3"/>
          </w:pPr>
          <w:r>
            <w:t xml:space="preserve">Credit</w:t>
          </w:r>
        </w:p>
        <w:sdt>
          <w:sdtPr>
            <w:alias w:val="Private credit is the AI financing plumbing"/>
            <w:tag w:val="issue|iss-us-cr1"/>
            <w:id w:val="1077"/>
            <w:lock w:val="sdtLocked"/>
          </w:sdtPr>
          <w:sdtContent>
            <w:sdt>
              <w:sdtPr>
                <w:alias w:val="Title"/>
                <w:tag w:val="field|title"/>
                <w:id w:val="1072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Private credit is the AI financing plumbing</w:t>
                  </w:r>
                </w:p>
              </w:sdtContent>
            </w:sdt>
            <w:sdt>
              <w:sdtPr>
                <w:alias w:val="View"/>
                <w:tag w:val="field|text"/>
                <w:id w:val="1073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Private credit has absorbed the leveraged-loan market and now a large share of data-centre and power project finance; opacity, not aggregate size, is the concern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Stress would surface first in redemption gates and mark-downs at private funds, then in bank lines to those funds; the sector has not been tested by a capex downturn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74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75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76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Credit"/>
            <w:tag w:val="slot|issue"/>
            <w:id w:val="1078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New subsection under Imbalances"/>
        <w:tag w:val="slot|sub|imbalances"/>
        <w:id w:val="1080"/>
        <w:lock w:val="sdtLocked"/>
        <w:showingPlcHdr/>
      </w:sdtPr>
      <w:sdtContent>
        <w:p>
          <w:pPr>
            <w:pStyle w:val="CITPlaceholder"/>
          </w:pPr>
          <w:r>
            <w:t xml:space="preserve">Click here and type the name of a new subsection, then its first issue title and bullets.</w:t>
          </w:r>
        </w:p>
      </w:sdtContent>
    </w:sdt>
    <w:sdt>
      <w:sdtPr>
        <w:alias w:val="Geopolitics"/>
        <w:tag w:val="group|geopolitics"/>
        <w:id w:val="1081"/>
        <w:lock w:val="sdtContentLocked"/>
      </w:sdtPr>
      <w:sdtContent>
        <w:p>
          <w:pPr>
            <w:pStyle w:val="CITH1"/>
          </w:pPr>
          <w:r>
            <w:t xml:space="preserve">Geopolitics</w:t>
          </w:r>
        </w:p>
      </w:sdtContent>
    </w:sdt>
    <w:sdt>
      <w:sdtPr>
        <w:alias w:val="Domestic"/>
        <w:tag w:val="sub|drivers/geopolitics/domestic"/>
        <w:id w:val="1089"/>
        <w:lock w:val="sdtLocked"/>
      </w:sdtPr>
      <w:sdtContent>
        <w:p>
          <w:pPr>
            <w:pStyle w:val="CITH3"/>
          </w:pPr>
          <w:r>
            <w:t xml:space="preserve">Domestic</w:t>
          </w:r>
        </w:p>
        <w:sdt>
          <w:sdtPr>
            <w:alias w:val="Midterms and the policy volatility premium"/>
            <w:tag w:val="issue|iss-us-gd1"/>
            <w:id w:val="1087"/>
            <w:lock w:val="sdtLocked"/>
          </w:sdtPr>
          <w:sdtContent>
            <w:sdt>
              <w:sdtPr>
                <w:alias w:val="Title"/>
                <w:tag w:val="field|title"/>
                <w:id w:val="1082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Midterms and the policy volatility premium</w:t>
                  </w:r>
                </w:p>
              </w:sdtContent>
            </w:sdt>
            <w:sdt>
              <w:sdtPr>
                <w:alias w:val="View"/>
                <w:tag w:val="field|text"/>
                <w:id w:val="1083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November midterms are being fought on the cost of living; a Democratic House would end the legislative agenda and raise the odds of investigations, but tariff and regulatory policy would still move by executive action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Congress is also stirring on trade powers (bills to restrain 122, 232 and 301 authority); a real transfer of authority back to Congress would be a structural change in policy risk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84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85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86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Domestic"/>
            <w:tag w:val="slot|issue"/>
            <w:id w:val="1088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International"/>
        <w:tag w:val="sub|drivers/geopolitics/international"/>
        <w:id w:val="1103"/>
        <w:lock w:val="sdtLocked"/>
      </w:sdtPr>
      <w:sdtContent>
        <w:p>
          <w:pPr>
            <w:pStyle w:val="CITH3"/>
          </w:pPr>
          <w:r>
            <w:t xml:space="preserve">International</w:t>
          </w:r>
        </w:p>
        <w:sdt>
          <w:sdtPr>
            <w:alias w:val="Iran war, Hormuz and the energy price regime"/>
            <w:tag w:val="issue|iss-us-gi1"/>
            <w:id w:val="1095"/>
            <w:lock w:val="sdtLocked"/>
          </w:sdtPr>
          <w:sdtContent>
            <w:sdt>
              <w:sdtPr>
                <w:alias w:val="Title"/>
                <w:tag w:val="field|title"/>
                <w:id w:val="1090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Iran war, Hormuz and the energy price regime</w:t>
                  </w:r>
                </w:p>
              </w:sdtContent>
            </w:sdt>
            <w:sdt>
              <w:sdtPr>
                <w:alias w:val="View"/>
                <w:tag w:val="field|text"/>
                <w:id w:val="1091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Strait has been effectively contested since late February; a June US-Iran MOU reopened it partially, fighting resumed in September and Brent is back near $100 with Iran-Gulf talks pending in Oman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EIA does not expect Gulf output to normalise before 2027; the US is the relative winner as an energy exporter, but the consumer and the Fed pay first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92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93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94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Tariff regime is fragmenting into 232 and 301 tools"/>
            <w:tag w:val="issue|iss-us-gi2"/>
            <w:id w:val="1101"/>
            <w:lock w:val="sdtLocked"/>
          </w:sdtPr>
          <w:sdtContent>
            <w:sdt>
              <w:sdtPr>
                <w:alias w:val="Title"/>
                <w:tag w:val="field|title"/>
                <w:id w:val="1096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Tariff regime is fragmenting into 232 and 301 tools</w:t>
                  </w:r>
                </w:p>
              </w:sdtContent>
            </w:sdt>
            <w:sdt>
              <w:sdtPr>
                <w:alias w:val="View"/>
                <w:tag w:val="field|text"/>
                <w:id w:val="1097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After IEEPA and Section 122 fell, the administration rebuilt the tariff wall with sectoral 232 actions (metals, 100% on patented pharma, autos, chips) and country 301 actions; the EU has a negotiated 15% ceiling, USMCA goods are exempt, China sits under the Busan and Beijing truce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marginal news is now about excess-capacity investigations and exemptions rather than headline rates; effective tariff rate around 11%, the highest since the 1940s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98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99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100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International"/>
            <w:tag w:val="slot|issue"/>
            <w:id w:val="1102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New subsection under Geopolitics"/>
        <w:tag w:val="slot|sub|geopolitics"/>
        <w:id w:val="1104"/>
        <w:lock w:val="sdtLocked"/>
        <w:showingPlcHdr/>
      </w:sdtPr>
      <w:sdtContent>
        <w:p>
          <w:pPr>
            <w:pStyle w:val="CITPlaceholder"/>
          </w:pPr>
          <w:r>
            <w:t xml:space="preserve">Click here and type the name of a new subsection, then its first issue title and bullets.</w:t>
          </w:r>
        </w:p>
      </w:sdtContent>
    </w:sdt>
    <w:p>
      <w:pPr>
        <w:pStyle w:val="CITH1"/>
      </w:pPr>
      <w:r>
        <w:t xml:space="preserve">Investment implications</w:t>
      </w:r>
    </w:p>
    <w:sdt>
      <w:sdtPr>
        <w:alias w:val="Set these by clicking in the page, not here"/>
        <w:tag w:val="matrix"/>
        <w:id w:val="1105"/>
        <w:lock w:val="sdtContentLocked"/>
      </w:sdtPr>
      <w:sdtContent>
        <w:tbl>
          <w:tblPr>
            <w:tblStyle w:val="CITTable"/>
            <w:tblW w:w="9000" w:type="dxa"/>
          </w:tblP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drivers/regime/trend-growth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sales_growth ↑, margin_growth ↑, valuation ↓, liquidity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drivers/regime/trend-inflation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margin_growth ↓, inflation_expectation ↑, cash_rate ↑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drivers/policy/monetary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valuation ↓, cash_rate ↑, term_premium ↑, liquidity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drivers/policy/fiscal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sales_growth ↑, term_premium ↑, liquidity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drivers/imbalances/domestic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sales_growth ↓, margin_growth ↓, dividend_yield ↑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drivers/imbalances/external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term_premium ↑, valuation ↓, inflation_expectation ↑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drivers/imbalances/credit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liquidity ↓, valuation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drivers/geopolitics/domestic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valuation ↓, term_premium ↑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drivers/geopolitics/international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margin_growth ↓, inflation_expectation ↑, cash_rate ↑</w:t>
                </w:r>
              </w:p>
            </w:tc>
          </w:tr>
        </w:tbl>
      </w:sdtContent>
    </w:sdt>
    <w:sectPr>
      <w:pgSz w:w="11906" w:h="16838"/>
      <w:pgMar w:top="1134" w:right="1134" w:bottom="1134" w:left="1134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</w:rPr>
    </w:rPrDefault>
  </w:docDefaults>
  <w:style w:type="paragraph" w:styleId="Normal">
    <w:name w:val="Normal"/>
    <w:pPr>
      <w:spacing w:after="120"/>
    </w:pPr>
  </w:style>
  <w:style w:type="paragraph" w:styleId="CITTitle">
    <w:name w:val="CIT Title"/>
    <w:basedOn w:val="Normal"/>
    <w:pPr>
      <w:spacing w:after="80"/>
    </w:pPr>
    <w:rPr>
      <w:b/>
      <w:sz w:val="40"/>
    </w:rPr>
  </w:style>
  <w:style w:type="paragraph" w:styleId="CITMeta">
    <w:name w:val="CIT Meta"/>
    <w:basedOn w:val="Normal"/>
    <w:rPr>
      <w:i/>
      <w:color w:val="767676"/>
    </w:rPr>
  </w:style>
  <w:style w:type="paragraph" w:styleId="CITH1">
    <w:name w:val="CIT Heading 1"/>
    <w:basedOn w:val="Normal"/>
    <w:pPr>
      <w:spacing w:before="320" w:after="120"/>
    </w:pPr>
    <w:rPr>
      <w:b/>
      <w:sz w:val="30"/>
    </w:rPr>
  </w:style>
  <w:style w:type="paragraph" w:styleId="CITH2">
    <w:name w:val="CIT Heading 2"/>
    <w:basedOn w:val="Normal"/>
    <w:pPr>
      <w:spacing w:before="240" w:after="80"/>
    </w:pPr>
    <w:rPr>
      <w:b/>
      <w:sz w:val="26"/>
    </w:rPr>
  </w:style>
  <w:style w:type="paragraph" w:styleId="CITH3">
    <w:name w:val="CIT Heading 3"/>
    <w:basedOn w:val="Normal"/>
    <w:pPr>
      <w:spacing w:before="200" w:after="80"/>
    </w:pPr>
    <w:rPr>
      <w:b/>
      <w:color w:val="1F4E79"/>
      <w:sz w:val="22"/>
    </w:rPr>
  </w:style>
  <w:style w:type="paragraph" w:styleId="CITIssueTitle">
    <w:name w:val="CIT Issue Title"/>
    <w:basedOn w:val="Normal"/>
    <w:pPr>
      <w:spacing w:before="160" w:after="60"/>
    </w:pPr>
    <w:rPr>
      <w:b/>
      <w:sz w:val="22"/>
    </w:rPr>
  </w:style>
  <w:style w:type="paragraph" w:styleId="CITBullet">
    <w:name w:val="CIT Bullet"/>
    <w:basedOn w:val="Normal"/>
    <w:pPr>
      <w:ind w:left="360" w:hanging="360"/>
      <w:spacing w:after="60"/>
    </w:pPr>
  </w:style>
  <w:style w:type="paragraph" w:styleId="CITBullet2">
    <w:name w:val="CIT Bullet 2"/>
    <w:basedOn w:val="Normal"/>
    <w:pPr>
      <w:ind w:left="720" w:hanging="360"/>
      <w:spacing w:after="60"/>
    </w:pPr>
  </w:style>
  <w:style w:type="paragraph" w:styleId="CITBody">
    <w:name w:val="CIT Body"/>
    <w:basedOn w:val="Normal"/>
  </w:style>
  <w:style w:type="paragraph" w:styleId="CITPlaceholder">
    <w:name w:val="CIT Placeholder"/>
    <w:basedOn w:val="Normal"/>
    <w:rPr>
      <w:i/>
      <w:color w:val="8A8F96"/>
    </w:rPr>
  </w:style>
  <w:style w:type="paragraph" w:styleId="CITTableHead">
    <w:name w:val="CIT Table Head"/>
    <w:basedOn w:val="Normal"/>
    <w:rPr>
      <w:b/>
      <w:color w:val="767676"/>
    </w:rPr>
  </w:style>
  <w:style w:type="table" w:styleId="CITTable">
    <w:name w:val="CIT Table"/>
    <w:tblPr>
      <w:tblBorders>
        <w:top w:val="single" w:sz="4" w:space="0" w:color="D0D0D0"/>
        <w:left w:val="single" w:sz="4" w:space="0" w:color="D0D0D0"/>
        <w:bottom w:val="single" w:sz="4" w:space="0" w:color="D0D0D0"/>
        <w:right w:val="single" w:sz="4" w:space="0" w:color="D0D0D0"/>
        <w:insideH w:val="single" w:sz="4" w:space="0" w:color="D0D0D0"/>
        <w:insideV w:val="single" w:sz="4" w:space="0" w:color="D0D0D0"/>
      </w:tblBorders>
      <w:tblCellMar>
        <w:top w:w="80" w:type="dxa"/>
        <w:left w:w="100" w:type="dxa"/>
        <w:bottom w:w="8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