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ITTitle"/>
      </w:pPr>
      <w:r>
        <w:t xml:space="preserve">United States</w:t>
      </w:r>
    </w:p>
    <w:sdt>
      <w:sdtPr>
        <w:alias w:val="Do not edit"/>
        <w:tag w:val="meta|united-states|2"/>
        <w:id w:val="1000"/>
        <w:lock w:val="sdtContentLocked"/>
      </w:sdtPr>
      <w:sdtContent>
        <w:p>
          <w:pPr>
            <w:pStyle w:val="CITMeta"/>
          </w:pPr>
          <w:r>
            <w:t xml:space="preserve">United States · version 2 · edit inside the boxes, then import this file back into the page</w:t>
          </w:r>
        </w:p>
      </w:sdtContent>
    </w:sdt>
    <w:p>
      <w:pPr>
        <w:pStyle w:val="CITH1"/>
      </w:pPr>
      <w:r>
        <w:t xml:space="preserve">Drivers</w:t>
      </w:r>
    </w:p>
    <w:sdt>
      <w:sdtPr>
        <w:alias w:val="Regime"/>
        <w:tag w:val="group|regime"/>
        <w:id w:val="1001"/>
        <w:lock w:val="sdtContentLocked"/>
      </w:sdtPr>
      <w:sdtContent>
        <w:p>
          <w:pPr>
            <w:pStyle w:val="CITH2"/>
          </w:pPr>
          <w:r>
            <w:t xml:space="preserve">Regime</w:t>
          </w:r>
        </w:p>
      </w:sdtContent>
    </w:sdt>
    <w:sdt>
      <w:sdtPr>
        <w:alias w:val="Trend growth"/>
        <w:tag w:val="sub|drivers/regime/trend-growth"/>
        <w:id w:val="1009"/>
        <w:lock w:val="sdtLocked"/>
      </w:sdtPr>
      <w:sdtContent>
        <w:p>
          <w:pPr>
            <w:pStyle w:val="CITH3"/>
          </w:pPr>
          <w:r>
            <w:t xml:space="preserve">Trend growth</w:t>
          </w:r>
        </w:p>
        <w:sdt>
          <w:sdtPr>
            <w:alias w:val="AI capex is now the growth engine, and the concentration risk"/>
            <w:tag w:val="issue|iss-us-tg1"/>
            <w:id w:val="1004"/>
            <w:lock w:val="sdtLocked"/>
          </w:sdtPr>
          <w:sdtContent>
            <w:sdt>
              <w:sdtPr>
                <w:alias w:val="Title"/>
                <w:tag w:val="field|title"/>
                <w:id w:val="1002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AI capex is now the growth engine, and the concentration risk</w:t>
                  </w:r>
                </w:p>
              </w:sdtContent>
            </w:sdt>
            <w:sdt>
              <w:sdtPr>
                <w:alias w:val="View"/>
                <w:tag w:val="field|text"/>
                <w:id w:val="1003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Investment in data centres, power and chips is running at something like 2-2.5% of GDP and has carried GDP growth through the tariff and oil shocks; ex-AI, the economy is close to stall speed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Financing has migrated from hyperscaler cash flow to bonds and private credit, so a capex pause would hit both growth and credit markets at once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Working assumption: potential growth around 2% while the productivity dividend is still mostly promise; hours worked and non-residential investment are the tells</w:t>
                  </w:r>
                </w:p>
              </w:sdtContent>
            </w:sdt>
          </w:sdtContent>
        </w:sdt>
        <w:sdt>
          <w:sdtPr>
            <w:alias w:val="Labour supply is the binding constraint"/>
            <w:tag w:val="issue|iss-us-tg2"/>
            <w:id w:val="1007"/>
            <w:lock w:val="sdtLocked"/>
          </w:sdtPr>
          <w:sdtContent>
            <w:sdt>
              <w:sdtPr>
                <w:alias w:val="Title"/>
                <w:tag w:val="field|title"/>
                <w:id w:val="1005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Labour supply is the binding constraint</w:t>
                  </w:r>
                </w:p>
              </w:sdtContent>
            </w:sdt>
            <w:sdt>
              <w:sdtPr>
                <w:alias w:val="View"/>
                <w:tag w:val="field|text"/>
                <w:id w:val="1006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Immigration enforcement has cut labour-force growth to a trickle; payrolls in the 50-150k range are now consistent with a flat unemployment rate (4.1% in August)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A low-churn market: few layoffs, few hires, long-term unemployment share at a five-year high, wage growth down to about 3% and below headline inflation for four months running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Implication: break-even payroll growth is much lower than markets are used to, and a downturn would show up in hours and participation before it shows in the unemployment rate</w:t>
                  </w:r>
                </w:p>
              </w:sdtContent>
            </w:sdt>
          </w:sdtContent>
        </w:sdt>
        <w:sdt>
          <w:sdtPr>
            <w:alias w:val="New issue in Trend growth"/>
            <w:tag w:val="slot|issue"/>
            <w:id w:val="1008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Trend inflation"/>
        <w:tag w:val="sub|drivers/regime/trend-inflation"/>
        <w:id w:val="1014"/>
        <w:lock w:val="sdtLocked"/>
      </w:sdtPr>
      <w:sdtContent>
        <w:p>
          <w:pPr>
            <w:pStyle w:val="CITH3"/>
          </w:pPr>
          <w:r>
            <w:t xml:space="preserve">Trend inflation</w:t>
          </w:r>
        </w:p>
        <w:sdt>
          <w:sdtPr>
            <w:alias w:val="Oil shock on top of tariff pass-through"/>
            <w:tag w:val="issue|iss-us-ti1"/>
            <w:id w:val="1012"/>
            <w:lock w:val="sdtLocked"/>
          </w:sdtPr>
          <w:sdtContent>
            <w:sdt>
              <w:sdtPr>
                <w:alias w:val="Title"/>
                <w:tag w:val="field|title"/>
                <w:id w:val="1010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Oil shock on top of tariff pass-through</w:t>
                  </w:r>
                </w:p>
              </w:sdtContent>
            </w:sdt>
            <w:sdt>
              <w:sdtPr>
                <w:alias w:val="View"/>
                <w:tag w:val="field|text"/>
                <w:id w:val="1011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Headline CPI is stuck at 3.4% with gasoline at record nominal highs after the Hormuz closure; core has cooled to the low 2s as goods pass-through from 2025 tariffs fades and shelter decelerates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risk is second-round effects: short-horizon inflation expectations are elevated and real wages are falling, which is the classic set-up for wage catch-up demands in 2027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We assume trend inflation settles near 2.5-3% rather than 2%, with the energy path the swing factor</w:t>
                  </w:r>
                </w:p>
              </w:sdtContent>
            </w:sdt>
          </w:sdtContent>
        </w:sdt>
        <w:sdt>
          <w:sdtPr>
            <w:alias w:val="New issue in Trend inflation"/>
            <w:tag w:val="slot|issue"/>
            <w:id w:val="1013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New subsection under Regime"/>
        <w:tag w:val="slot|sub|regime"/>
        <w:id w:val="1015"/>
        <w:lock w:val="sdtLocked"/>
        <w:showingPlcHdr/>
      </w:sdtPr>
      <w:sdtContent>
        <w:p>
          <w:pPr>
            <w:pStyle w:val="CITPlaceholder"/>
          </w:pPr>
          <w:r>
            <w:t xml:space="preserve">Click here and type the name of a new subsection, then its first issue title and bullets.</w:t>
          </w:r>
        </w:p>
      </w:sdtContent>
    </w:sdt>
    <w:sdt>
      <w:sdtPr>
        <w:alias w:val="Policy"/>
        <w:tag w:val="group|policy"/>
        <w:id w:val="1016"/>
        <w:lock w:val="sdtContentLocked"/>
      </w:sdtPr>
      <w:sdtContent>
        <w:p>
          <w:pPr>
            <w:pStyle w:val="CITH2"/>
          </w:pPr>
          <w:r>
            <w:t xml:space="preserve">Policy</w:t>
          </w:r>
        </w:p>
      </w:sdtContent>
    </w:sdt>
    <w:sdt>
      <w:sdtPr>
        <w:alias w:val="Monetary"/>
        <w:tag w:val="sub|drivers/policy/monetary"/>
        <w:id w:val="1024"/>
        <w:lock w:val="sdtLocked"/>
      </w:sdtPr>
      <w:sdtContent>
        <w:p>
          <w:pPr>
            <w:pStyle w:val="CITH3"/>
          </w:pPr>
          <w:r>
            <w:t xml:space="preserve">Monetary</w:t>
          </w:r>
        </w:p>
        <w:sdt>
          <w:sdtPr>
            <w:alias w:val="Warsh Fed facing a hike into a slowing economy"/>
            <w:tag w:val="issue|iss-us-mo1"/>
            <w:id w:val="1019"/>
            <w:lock w:val="sdtLocked"/>
          </w:sdtPr>
          <w:sdtContent>
            <w:sdt>
              <w:sdtPr>
                <w:alias w:val="Title"/>
                <w:tag w:val="field|title"/>
                <w:id w:val="1017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Warsh Fed facing a hike into a slowing economy</w:t>
                  </w:r>
                </w:p>
              </w:sdtContent>
            </w:sdt>
            <w:sdt>
              <w:sdtPr>
                <w:alias w:val="View"/>
                <w:tag w:val="field|text"/>
                <w:id w:val="1018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Funds rate at 3.50-3.75% after the July 9-3 hold; three dissents for a hike, and markets price roughly two-thirds odds of a 25bp increase on 16 September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committee is split between looking through a supply shock and defending credibility after leaving rates unchanged into rising headline inflation; Hammack and others have floated multiple hikes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Watch: the September dots, whether Warsh frames any hike as insurance or the start of a cycle, and the balance-sheet language (reserve-management purchases have been keeping front-end funding calm)</w:t>
                  </w:r>
                </w:p>
              </w:sdtContent>
            </w:sdt>
          </w:sdtContent>
        </w:sdt>
        <w:sdt>
          <w:sdtPr>
            <w:alias w:val="Independence and the reaction function"/>
            <w:tag w:val="issue|iss-us-mo2"/>
            <w:id w:val="1022"/>
            <w:lock w:val="sdtLocked"/>
          </w:sdtPr>
          <w:sdtContent>
            <w:sdt>
              <w:sdtPr>
                <w:alias w:val="Title"/>
                <w:tag w:val="field|title"/>
                <w:id w:val="1020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Independence and the reaction function</w:t>
                  </w:r>
                </w:p>
              </w:sdtContent>
            </w:sdt>
            <w:sdt>
              <w:sdtPr>
                <w:alias w:val="View"/>
                <w:tag w:val="field|text"/>
                <w:id w:val="1021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2026 chair transition went through without the institutional rupture markets feared, but the administration's preference for lower rates is public and the committee's composition has shifted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Our read: the reaction function is more tolerant of inflation than in 2022 but not captured; the term premium is where markets express doubt, not the front end</w:t>
                  </w:r>
                </w:p>
              </w:sdtContent>
            </w:sdt>
          </w:sdtContent>
        </w:sdt>
        <w:sdt>
          <w:sdtPr>
            <w:alias w:val="New issue in Monetary"/>
            <w:tag w:val="slot|issue"/>
            <w:id w:val="1023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Fiscal"/>
        <w:tag w:val="sub|drivers/policy/fiscal"/>
        <w:id w:val="1029"/>
        <w:lock w:val="sdtLocked"/>
      </w:sdtPr>
      <w:sdtContent>
        <w:p>
          <w:pPr>
            <w:pStyle w:val="CITH3"/>
          </w:pPr>
          <w:r>
            <w:t xml:space="preserve">Fiscal</w:t>
          </w:r>
        </w:p>
        <w:sdt>
          <w:sdtPr>
            <w:alias w:val="Deficit near 6-7% of GDP and losing its tariff crutch"/>
            <w:tag w:val="issue|iss-us-fi1"/>
            <w:id w:val="1027"/>
            <w:lock w:val="sdtLocked"/>
          </w:sdtPr>
          <w:sdtContent>
            <w:sdt>
              <w:sdtPr>
                <w:alias w:val="Title"/>
                <w:tag w:val="field|title"/>
                <w:id w:val="1025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Deficit near 6-7% of GDP and losing its tariff crutch</w:t>
                  </w:r>
                </w:p>
              </w:sdtContent>
            </w:sdt>
            <w:sdt>
              <w:sdtPr>
                <w:alias w:val="View"/>
                <w:tag w:val="field|text"/>
                <w:id w:val="1026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2025 tax package locked in a structural deficit; the Supreme Court's February ruling voided IEEPA tariff revenue and triggered refunds, and the replacement 10-12.5% Section 301 tariffs on 60 economies raise less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Treasury keeps skewing issuance to bills to limit duration supply; that caps term premium today at the cost of rollover risk and growing dependence on money funds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Higher oil raises the deficit further via indexed programmes and lower real growth; no consolidation is plausible before the 2028 cycle</w:t>
                  </w:r>
                </w:p>
              </w:sdtContent>
            </w:sdt>
          </w:sdtContent>
        </w:sdt>
        <w:sdt>
          <w:sdtPr>
            <w:alias w:val="New issue in Fiscal"/>
            <w:tag w:val="slot|issue"/>
            <w:id w:val="1028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New subsection under Policy"/>
        <w:tag w:val="slot|sub|policy"/>
        <w:id w:val="1030"/>
        <w:lock w:val="sdtLocked"/>
        <w:showingPlcHdr/>
      </w:sdtPr>
      <w:sdtContent>
        <w:p>
          <w:pPr>
            <w:pStyle w:val="CITPlaceholder"/>
          </w:pPr>
          <w:r>
            <w:t xml:space="preserve">Click here and type the name of a new subsection, then its first issue title and bullets.</w:t>
          </w:r>
        </w:p>
      </w:sdtContent>
    </w:sdt>
    <w:sdt>
      <w:sdtPr>
        <w:alias w:val="Imbalances"/>
        <w:tag w:val="group|imbalances"/>
        <w:id w:val="1031"/>
        <w:lock w:val="sdtContentLocked"/>
      </w:sdtPr>
      <w:sdtContent>
        <w:p>
          <w:pPr>
            <w:pStyle w:val="CITH2"/>
          </w:pPr>
          <w:r>
            <w:t xml:space="preserve">Imbalances</w:t>
          </w:r>
        </w:p>
      </w:sdtContent>
    </w:sdt>
    <w:sdt>
      <w:sdtPr>
        <w:alias w:val="Domestic"/>
        <w:tag w:val="sub|drivers/imbalances/domestic"/>
        <w:id w:val="1039"/>
        <w:lock w:val="sdtLocked"/>
      </w:sdtPr>
      <w:sdtContent>
        <w:p>
          <w:pPr>
            <w:pStyle w:val="CITH3"/>
          </w:pPr>
          <w:r>
            <w:t xml:space="preserve">Domestic</w:t>
          </w:r>
        </w:p>
        <w:sdt>
          <w:sdtPr>
            <w:alias w:val="Two-speed households"/>
            <w:tag w:val="issue|iss-us-do1"/>
            <w:id w:val="1034"/>
            <w:lock w:val="sdtLocked"/>
          </w:sdtPr>
          <w:sdtContent>
            <w:sdt>
              <w:sdtPr>
                <w:alias w:val="Title"/>
                <w:tag w:val="field|title"/>
                <w:id w:val="1032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Two-speed households</w:t>
                  </w:r>
                </w:p>
              </w:sdtContent>
            </w:sdt>
            <w:sdt>
              <w:sdtPr>
                <w:alias w:val="View"/>
                <w:tag w:val="field|text"/>
                <w:id w:val="1033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Consumption is being carried by the top of the income distribution on equity wealth; lower-income cohorts are squeezed by $4-plus gasoline, tariff-driven goods prices and rising card delinquencies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transmission channel that matters is asset prices: an equity correction would hit the only cohort still spending freely</w:t>
                  </w:r>
                </w:p>
              </w:sdtContent>
            </w:sdt>
          </w:sdtContent>
        </w:sdt>
        <w:sdt>
          <w:sdtPr>
            <w:alias w:val="Corporate margins under a cost squeeze"/>
            <w:tag w:val="issue|iss-us-do2"/>
            <w:id w:val="1037"/>
            <w:lock w:val="sdtLocked"/>
          </w:sdtPr>
          <w:sdtContent>
            <w:sdt>
              <w:sdtPr>
                <w:alias w:val="Title"/>
                <w:tag w:val="field|title"/>
                <w:id w:val="1035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Corporate margins under a cost squeeze</w:t>
                  </w:r>
                </w:p>
              </w:sdtContent>
            </w:sdt>
            <w:sdt>
              <w:sdtPr>
                <w:alias w:val="View"/>
                <w:tag w:val="field|text"/>
                <w:id w:val="1036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Tariffs, energy and a tight labour market are compressing margins outside the AI complex; an earnings recession is already visible in consumer discretionary and industrials</w:t>
                  </w:r>
                </w:p>
              </w:sdtContent>
            </w:sdt>
          </w:sdtContent>
        </w:sdt>
        <w:sdt>
          <w:sdtPr>
            <w:alias w:val="New issue in Domestic"/>
            <w:tag w:val="slot|issue"/>
            <w:id w:val="1038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External"/>
        <w:tag w:val="sub|drivers/imbalances/external"/>
        <w:id w:val="1044"/>
        <w:lock w:val="sdtLocked"/>
      </w:sdtPr>
      <w:sdtContent>
        <w:p>
          <w:pPr>
            <w:pStyle w:val="CITH3"/>
          </w:pPr>
          <w:r>
            <w:t xml:space="preserve">External</w:t>
          </w:r>
        </w:p>
        <w:sdt>
          <w:sdtPr>
            <w:alias w:val="Dollar has lost its reflexive safe-haven bid"/>
            <w:tag w:val="issue|iss-us-ex1"/>
            <w:id w:val="1042"/>
            <w:lock w:val="sdtLocked"/>
          </w:sdtPr>
          <w:sdtContent>
            <w:sdt>
              <w:sdtPr>
                <w:alias w:val="Title"/>
                <w:tag w:val="field|title"/>
                <w:id w:val="1040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Dollar has lost its reflexive safe-haven bid</w:t>
                  </w:r>
                </w:p>
              </w:sdtContent>
            </w:sdt>
            <w:sdt>
              <w:sdtPr>
                <w:alias w:val="View"/>
                <w:tag w:val="field|text"/>
                <w:id w:val="1041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dollar did not rally on the Iran war the way it did in 2022; foreign official demand for Treasuries is slower and more price sensitive, and the euro and yen have both strengthened on repatriation flows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current account is narrowing as tariffs compress imports, but the financing question (who absorbs record Treasury supply at a lower dollar) is the live one</w:t>
                  </w:r>
                </w:p>
              </w:sdtContent>
            </w:sdt>
          </w:sdtContent>
        </w:sdt>
        <w:sdt>
          <w:sdtPr>
            <w:alias w:val="New issue in External"/>
            <w:tag w:val="slot|issue"/>
            <w:id w:val="1043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Credit"/>
        <w:tag w:val="sub|drivers/imbalances/credit"/>
        <w:id w:val="1049"/>
        <w:lock w:val="sdtLocked"/>
      </w:sdtPr>
      <w:sdtContent>
        <w:p>
          <w:pPr>
            <w:pStyle w:val="CITH3"/>
          </w:pPr>
          <w:r>
            <w:t xml:space="preserve">Credit</w:t>
          </w:r>
        </w:p>
        <w:sdt>
          <w:sdtPr>
            <w:alias w:val="Private credit is the AI financing plumbing"/>
            <w:tag w:val="issue|iss-us-cr1"/>
            <w:id w:val="1047"/>
            <w:lock w:val="sdtLocked"/>
          </w:sdtPr>
          <w:sdtContent>
            <w:sdt>
              <w:sdtPr>
                <w:alias w:val="Title"/>
                <w:tag w:val="field|title"/>
                <w:id w:val="1045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Private credit is the AI financing plumbing</w:t>
                  </w:r>
                </w:p>
              </w:sdtContent>
            </w:sdt>
            <w:sdt>
              <w:sdtPr>
                <w:alias w:val="View"/>
                <w:tag w:val="field|text"/>
                <w:id w:val="1046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Private credit has absorbed the leveraged-loan market and now a large share of data-centre and power project finance; opacity, not aggregate size, is the concern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Stress would surface first in redemption gates and mark-downs at private funds, then in bank lines to those funds; the sector has not been tested by a capex downturn</w:t>
                  </w:r>
                </w:p>
              </w:sdtContent>
            </w:sdt>
          </w:sdtContent>
        </w:sdt>
        <w:sdt>
          <w:sdtPr>
            <w:alias w:val="New issue in Credit"/>
            <w:tag w:val="slot|issue"/>
            <w:id w:val="1048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New subsection under Imbalances"/>
        <w:tag w:val="slot|sub|imbalances"/>
        <w:id w:val="1050"/>
        <w:lock w:val="sdtLocked"/>
        <w:showingPlcHdr/>
      </w:sdtPr>
      <w:sdtContent>
        <w:p>
          <w:pPr>
            <w:pStyle w:val="CITPlaceholder"/>
          </w:pPr>
          <w:r>
            <w:t xml:space="preserve">Click here and type the name of a new subsection, then its first issue title and bullets.</w:t>
          </w:r>
        </w:p>
      </w:sdtContent>
    </w:sdt>
    <w:sdt>
      <w:sdtPr>
        <w:alias w:val="Geopolitics"/>
        <w:tag w:val="group|geopolitics"/>
        <w:id w:val="1051"/>
        <w:lock w:val="sdtContentLocked"/>
      </w:sdtPr>
      <w:sdtContent>
        <w:p>
          <w:pPr>
            <w:pStyle w:val="CITH2"/>
          </w:pPr>
          <w:r>
            <w:t xml:space="preserve">Geopolitics</w:t>
          </w:r>
        </w:p>
      </w:sdtContent>
    </w:sdt>
    <w:sdt>
      <w:sdtPr>
        <w:alias w:val="Domestic"/>
        <w:tag w:val="sub|drivers/geopolitics/domestic"/>
        <w:id w:val="1056"/>
        <w:lock w:val="sdtLocked"/>
      </w:sdtPr>
      <w:sdtContent>
        <w:p>
          <w:pPr>
            <w:pStyle w:val="CITH3"/>
          </w:pPr>
          <w:r>
            <w:t xml:space="preserve">Domestic</w:t>
          </w:r>
        </w:p>
        <w:sdt>
          <w:sdtPr>
            <w:alias w:val="Midterms and the policy volatility premium"/>
            <w:tag w:val="issue|iss-us-gd1"/>
            <w:id w:val="1054"/>
            <w:lock w:val="sdtLocked"/>
          </w:sdtPr>
          <w:sdtContent>
            <w:sdt>
              <w:sdtPr>
                <w:alias w:val="Title"/>
                <w:tag w:val="field|title"/>
                <w:id w:val="1052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Midterms and the policy volatility premium</w:t>
                  </w:r>
                </w:p>
              </w:sdtContent>
            </w:sdt>
            <w:sdt>
              <w:sdtPr>
                <w:alias w:val="View"/>
                <w:tag w:val="field|text"/>
                <w:id w:val="1053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November midterms are being fought on the cost of living; a Democratic House would end the legislative agenda and raise the odds of investigations, but tariff and regulatory policy would still move by executive action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Congress is also stirring on trade powers (bills to restrain 122, 232 and 301 authority); a real transfer of authority back to Congress would be a structural change in policy risk</w:t>
                  </w:r>
                </w:p>
              </w:sdtContent>
            </w:sdt>
          </w:sdtContent>
        </w:sdt>
        <w:sdt>
          <w:sdtPr>
            <w:alias w:val="New issue in Domestic"/>
            <w:tag w:val="slot|issue"/>
            <w:id w:val="1055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International"/>
        <w:tag w:val="sub|drivers/geopolitics/international"/>
        <w:id w:val="1064"/>
        <w:lock w:val="sdtLocked"/>
      </w:sdtPr>
      <w:sdtContent>
        <w:p>
          <w:pPr>
            <w:pStyle w:val="CITH3"/>
          </w:pPr>
          <w:r>
            <w:t xml:space="preserve">International</w:t>
          </w:r>
        </w:p>
        <w:sdt>
          <w:sdtPr>
            <w:alias w:val="Iran war, Hormuz and the energy price regime"/>
            <w:tag w:val="issue|iss-us-gi1"/>
            <w:id w:val="1059"/>
            <w:lock w:val="sdtLocked"/>
          </w:sdtPr>
          <w:sdtContent>
            <w:sdt>
              <w:sdtPr>
                <w:alias w:val="Title"/>
                <w:tag w:val="field|title"/>
                <w:id w:val="1057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Iran war, Hormuz and the energy price regime</w:t>
                  </w:r>
                </w:p>
              </w:sdtContent>
            </w:sdt>
            <w:sdt>
              <w:sdtPr>
                <w:alias w:val="View"/>
                <w:tag w:val="field|text"/>
                <w:id w:val="1058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Strait has been effectively contested since late February; a June US-Iran MOU reopened it partially, fighting resumed in September and Brent is back near $100 with Iran-Gulf talks pending in Oman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EIA does not expect Gulf output to normalise before 2027; the US is the relative winner as an energy exporter, but the consumer and the Fed pay first</w:t>
                  </w:r>
                </w:p>
              </w:sdtContent>
            </w:sdt>
          </w:sdtContent>
        </w:sdt>
        <w:sdt>
          <w:sdtPr>
            <w:alias w:val="Tariff regime is fragmenting into 232 and 301 tools"/>
            <w:tag w:val="issue|iss-us-gi2"/>
            <w:id w:val="1062"/>
            <w:lock w:val="sdtLocked"/>
          </w:sdtPr>
          <w:sdtContent>
            <w:sdt>
              <w:sdtPr>
                <w:alias w:val="Title"/>
                <w:tag w:val="field|title"/>
                <w:id w:val="1060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Tariff regime is fragmenting into 232 and 301 tools</w:t>
                  </w:r>
                </w:p>
              </w:sdtContent>
            </w:sdt>
            <w:sdt>
              <w:sdtPr>
                <w:alias w:val="View"/>
                <w:tag w:val="field|text"/>
                <w:id w:val="1061"/>
                <w:lock w:val="sdtLocked"/>
              </w:sdtPr>
              <w:sdtContent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After IEEPA and Section 122 fell, the administration rebuilt the tariff wall with sectoral 232 actions (metals, 100% on patented pharma, autos, chips) and country 301 actions; the EU has a negotiated 15% ceiling, USMCA goods are exempt, China sits under the Busan and Beijing truce</w:t>
                  </w:r>
                </w:p>
                <w:p>
                  <w:pPr>
                    <w:pStyle w:val="CITBullet"/>
                    <w:numPr>
                      <w:ilvl w:val="0"/>
                      <w:numId w:val="1"/>
                    </w:numPr>
                  </w:pPr>
                  <w:r>
                    <w:t xml:space="preserve">The marginal news is now about excess-capacity investigations and exemptions rather than headline rates; effective tariff rate around 11%, the highest since the 1940s</w:t>
                  </w:r>
                </w:p>
              </w:sdtContent>
            </w:sdt>
          </w:sdtContent>
        </w:sdt>
        <w:sdt>
          <w:sdtPr>
            <w:alias w:val="New issue in International"/>
            <w:tag w:val="slot|issue"/>
            <w:id w:val="1063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issue: its title on the first line, then one bullet per line.</w:t>
              </w:r>
            </w:p>
          </w:sdtContent>
        </w:sdt>
      </w:sdtContent>
    </w:sdt>
    <w:sdt>
      <w:sdtPr>
        <w:alias w:val="New subsection under Geopolitics"/>
        <w:tag w:val="slot|sub|geopolitics"/>
        <w:id w:val="1065"/>
        <w:lock w:val="sdtLocked"/>
        <w:showingPlcHdr/>
      </w:sdtPr>
      <w:sdtContent>
        <w:p>
          <w:pPr>
            <w:pStyle w:val="CITPlaceholder"/>
          </w:pPr>
          <w:r>
            <w:t xml:space="preserve">Click here and type the name of a new subsection, then its first issue title and bullets.</w:t>
          </w:r>
        </w:p>
      </w:sdtContent>
    </w:sdt>
    <w:p>
      <w:pPr>
        <w:pStyle w:val="CITH1"/>
      </w:pPr>
      <w:r>
        <w:t xml:space="preserve">Scenarios &amp; signposts</w:t>
      </w:r>
    </w:p>
    <w:sdt>
      <w:sdtPr>
        <w:alias w:val="Growth"/>
        <w:tag w:val="cat|scenarios/growth"/>
        <w:id w:val="1077"/>
        <w:lock w:val="sdtLocked"/>
      </w:sdtPr>
      <w:sdtContent>
        <w:p>
          <w:pPr>
            <w:pStyle w:val="CITH2"/>
          </w:pPr>
          <w:r>
            <w:t xml:space="preserve">Growth</w:t>
          </w:r>
        </w:p>
        <w:sdt>
          <w:sdtPr>
            <w:alias w:val="Consumer under the oil and tariff squeeze"/>
            <w:tag w:val="signpost|iss-us-sg1"/>
            <w:id w:val="1070"/>
            <w:lock w:val="sdtLocked"/>
          </w:sdtPr>
          <w:sdtContent>
            <w:sdt>
              <w:sdtPr>
                <w:alias w:val="Title"/>
                <w:tag w:val="field|title"/>
                <w:id w:val="1066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Consumer under the oil and tariff squeeze</w:t>
                  </w:r>
                </w:p>
              </w:sdtContent>
            </w:sdt>
            <w:tbl>
              <w:tblPr>
                <w:tblStyle w:val="CITTable"/>
                <w:tblW w:w="9000" w:type="dxa"/>
              </w:tblPr>
              <w:tr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Baseline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Upside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Downside</w:t>
                    </w:r>
                  </w:p>
                </w:tc>
              </w:tr>
              <w:tr>
                <w:tc>
                  <w:tcPr>
                    <w:tcW w:w="3000" w:type="dxa"/>
                  </w:tcPr>
                  <w:sdt>
                    <w:sdtPr>
                      <w:alias w:val="baseline"/>
                      <w:tag w:val="field|baseline"/>
                      <w:id w:val="1067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Real consumption slows to 1-1.5% as real incomes stagnate; wealth effects and fiscal support prevent a contraction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upside"/>
                      <w:tag w:val="field|upside"/>
                      <w:id w:val="1068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Hormuz reopens durably, gasoline falls back below $3.50 and real wages turn positive; consumption re-accelerates above 2%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downside"/>
                      <w:tag w:val="field|downside"/>
                      <w:id w:val="1069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Oil stays above $100 into 2027 and equities correct 15-20%; high-income spending stops and unemployment rises past 5%</w:t>
                        </w:r>
                      </w:p>
                    </w:sdtContent>
                  </w:sdt>
                </w:tc>
              </w:tr>
            </w:tbl>
            <w:p>
              <w:pPr>
                <w:pStyle w:val="CITBody"/>
              </w:pPr>
            </w:p>
          </w:sdtContent>
        </w:sdt>
        <w:sdt>
          <w:sdtPr>
            <w:alias w:val="AI capex durability"/>
            <w:tag w:val="signpost|iss-us-sg2"/>
            <w:id w:val="1075"/>
            <w:lock w:val="sdtLocked"/>
          </w:sdtPr>
          <w:sdtContent>
            <w:sdt>
              <w:sdtPr>
                <w:alias w:val="Title"/>
                <w:tag w:val="field|title"/>
                <w:id w:val="1071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AI capex durability</w:t>
                  </w:r>
                </w:p>
              </w:sdtContent>
            </w:sdt>
            <w:tbl>
              <w:tblPr>
                <w:tblStyle w:val="CITTable"/>
                <w:tblW w:w="9000" w:type="dxa"/>
              </w:tblPr>
              <w:tr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Baseline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Upside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Downside</w:t>
                    </w:r>
                  </w:p>
                </w:tc>
              </w:tr>
              <w:tr>
                <w:tc>
                  <w:tcPr>
                    <w:tcW w:w="3000" w:type="dxa"/>
                  </w:tcPr>
                  <w:sdt>
                    <w:sdtPr>
                      <w:alias w:val="baseline"/>
                      <w:tag w:val="field|baseline"/>
                      <w:id w:val="1072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Data-centre and power investment keeps growing but decelerates; contributes 0.3-0.5pp to growth in 2027 with financing increasingly debt-funded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upside"/>
                      <w:tag w:val="field|upside"/>
                      <w:id w:val="1073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Investment broadens into the grid, industrial automation and measured productivity; potential growth revised up toward 2.5%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downside"/>
                      <w:tag w:val="field|downside"/>
                      <w:id w:val="1074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Returns disappoint and private-credit financing tightens; orders are cut, investment subtracts from growth and the credit channel amplifies it</w:t>
                        </w:r>
                      </w:p>
                    </w:sdtContent>
                  </w:sdt>
                </w:tc>
              </w:tr>
            </w:tbl>
            <w:p>
              <w:pPr>
                <w:pStyle w:val="CITBody"/>
              </w:pPr>
            </w:p>
          </w:sdtContent>
        </w:sdt>
        <w:sdt>
          <w:sdtPr>
            <w:alias w:val="New signpost in Growth"/>
            <w:tag w:val="slot|signpost"/>
            <w:id w:val="1076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signpost: its title on the first line, then baseline / upside / downside on the three lines after it.</w:t>
              </w:r>
            </w:p>
          </w:sdtContent>
        </w:sdt>
      </w:sdtContent>
    </w:sdt>
    <w:sdt>
      <w:sdtPr>
        <w:alias w:val="Inflation"/>
        <w:tag w:val="cat|scenarios/inflation"/>
        <w:id w:val="1084"/>
        <w:lock w:val="sdtLocked"/>
      </w:sdtPr>
      <w:sdtContent>
        <w:p>
          <w:pPr>
            <w:pStyle w:val="CITH2"/>
          </w:pPr>
          <w:r>
            <w:t xml:space="preserve">Inflation</w:t>
          </w:r>
        </w:p>
        <w:sdt>
          <w:sdtPr>
            <w:alias w:val="Headline and core convergence"/>
            <w:tag w:val="signpost|iss-us-si1"/>
            <w:id w:val="1082"/>
            <w:lock w:val="sdtLocked"/>
          </w:sdtPr>
          <w:sdtContent>
            <w:sdt>
              <w:sdtPr>
                <w:alias w:val="Title"/>
                <w:tag w:val="field|title"/>
                <w:id w:val="1078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Headline and core convergence</w:t>
                  </w:r>
                </w:p>
              </w:sdtContent>
            </w:sdt>
            <w:tbl>
              <w:tblPr>
                <w:tblStyle w:val="CITTable"/>
                <w:tblW w:w="9000" w:type="dxa"/>
              </w:tblPr>
              <w:tr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Baseline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Upside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Downside</w:t>
                    </w:r>
                  </w:p>
                </w:tc>
              </w:tr>
              <w:tr>
                <w:tc>
                  <w:tcPr>
                    <w:tcW w:w="3000" w:type="dxa"/>
                  </w:tcPr>
                  <w:sdt>
                    <w:sdtPr>
                      <w:alias w:val="baseline"/>
                      <w:tag w:val="field|baseline"/>
                      <w:id w:val="1079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Headline CPI drifts from 3.4% toward 2.8% by mid-2027 as the energy contribution fades; core stays 2.3-2.6%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upside"/>
                      <w:tag w:val="field|upside"/>
                      <w:id w:val="1080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Energy normalises quickly and shelter disinflation brings headline to 2.3% by end-2027; expectations re-anchor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downside"/>
                      <w:tag w:val="field|downside"/>
                      <w:id w:val="1081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Second-round effects from energy and a weaker dollar push core back above 3%; short-horizon expectations unanchor and the Fed is forced into a real tightening cycle</w:t>
                        </w:r>
                      </w:p>
                    </w:sdtContent>
                  </w:sdt>
                </w:tc>
              </w:tr>
            </w:tbl>
            <w:p>
              <w:pPr>
                <w:pStyle w:val="CITBody"/>
              </w:pPr>
            </w:p>
          </w:sdtContent>
        </w:sdt>
        <w:sdt>
          <w:sdtPr>
            <w:alias w:val="New signpost in Inflation"/>
            <w:tag w:val="slot|signpost"/>
            <w:id w:val="1083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signpost: its title on the first line, then baseline / upside / downside on the three lines after it.</w:t>
              </w:r>
            </w:p>
          </w:sdtContent>
        </w:sdt>
      </w:sdtContent>
    </w:sdt>
    <w:sdt>
      <w:sdtPr>
        <w:alias w:val="Policy"/>
        <w:tag w:val="cat|scenarios/policy"/>
        <w:id w:val="1096"/>
        <w:lock w:val="sdtLocked"/>
      </w:sdtPr>
      <w:sdtContent>
        <w:p>
          <w:pPr>
            <w:pStyle w:val="CITH2"/>
          </w:pPr>
          <w:r>
            <w:t xml:space="preserve">Policy</w:t>
          </w:r>
        </w:p>
        <w:sdt>
          <w:sdtPr>
            <w:alias w:val="Fed path from 3.50-3.75%"/>
            <w:tag w:val="signpost|iss-us-sp1"/>
            <w:id w:val="1089"/>
            <w:lock w:val="sdtLocked"/>
          </w:sdtPr>
          <w:sdtContent>
            <w:sdt>
              <w:sdtPr>
                <w:alias w:val="Title"/>
                <w:tag w:val="field|title"/>
                <w:id w:val="1085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Fed path from 3.50-3.75%</w:t>
                  </w:r>
                </w:p>
              </w:sdtContent>
            </w:sdt>
            <w:tbl>
              <w:tblPr>
                <w:tblStyle w:val="CITTable"/>
                <w:tblW w:w="9000" w:type="dxa"/>
              </w:tblPr>
              <w:tr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Baseline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Upside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Downside</w:t>
                    </w:r>
                  </w:p>
                </w:tc>
              </w:tr>
              <w:tr>
                <w:tc>
                  <w:tcPr>
                    <w:tcW w:w="3000" w:type="dxa"/>
                  </w:tcPr>
                  <w:sdt>
                    <w:sdtPr>
                      <w:alias w:val="baseline"/>
                      <w:tag w:val="field|baseline"/>
                      <w:id w:val="1086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One or two insurance hikes to 4.00%, then an extended hold while the committee watches the labour market; cuts return only in 2H27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upside"/>
                      <w:tag w:val="field|upside"/>
                      <w:id w:val="1087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Energy relief lets the Fed stay on hold and resume cutting toward 3% in 2027; the curve bull-steepens in an orderly way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downside"/>
                      <w:tag w:val="field|downside"/>
                      <w:id w:val="1088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Either a full hiking cycle toward 4.5-5% into a stagflationary economy, or a growth shock forcing rapid cuts below 2.5%; both damage risk assets and the credibility of the reaction function</w:t>
                        </w:r>
                      </w:p>
                    </w:sdtContent>
                  </w:sdt>
                </w:tc>
              </w:tr>
            </w:tbl>
            <w:p>
              <w:pPr>
                <w:pStyle w:val="CITBody"/>
              </w:pPr>
            </w:p>
          </w:sdtContent>
        </w:sdt>
        <w:sdt>
          <w:sdtPr>
            <w:alias w:val="Fiscal and issuance"/>
            <w:tag w:val="signpost|iss-us-sp2"/>
            <w:id w:val="1094"/>
            <w:lock w:val="sdtLocked"/>
          </w:sdtPr>
          <w:sdtContent>
            <w:sdt>
              <w:sdtPr>
                <w:alias w:val="Title"/>
                <w:tag w:val="field|title"/>
                <w:id w:val="1090"/>
                <w:lock w:val="sdtLocked"/>
              </w:sdtPr>
              <w:sdtContent>
                <w:p>
                  <w:pPr>
                    <w:pStyle w:val="CITIssueTitle"/>
                  </w:pPr>
                  <w:r>
                    <w:t xml:space="preserve">Fiscal and issuance</w:t>
                  </w:r>
                </w:p>
              </w:sdtContent>
            </w:sdt>
            <w:tbl>
              <w:tblPr>
                <w:tblStyle w:val="CITTable"/>
                <w:tblW w:w="9000" w:type="dxa"/>
              </w:tblPr>
              <w:tr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Baseline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Upside</w:t>
                    </w:r>
                  </w:p>
                </w:tc>
                <w:tc>
                  <w:tcPr>
                    <w:tcW w:w="3000" w:type="dxa"/>
                  </w:tcPr>
                  <w:p>
                    <w:pPr>
                      <w:pStyle w:val="CITTableHead"/>
                    </w:pPr>
                    <w:r>
                      <w:t xml:space="preserve">Downside</w:t>
                    </w:r>
                  </w:p>
                </w:tc>
              </w:tr>
              <w:tr>
                <w:tc>
                  <w:tcPr>
                    <w:tcW w:w="3000" w:type="dxa"/>
                  </w:tcPr>
                  <w:sdt>
                    <w:sdtPr>
                      <w:alias w:val="baseline"/>
                      <w:tag w:val="field|baseline"/>
                      <w:id w:val="1091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Deficit 6-7% of GDP, bills share stays high, no consolidation before 2028; term premium grinds higher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upside"/>
                      <w:tag w:val="field|upside"/>
                      <w:id w:val="1092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Tariff revenue and stronger nominal growth stabilise the debt ratio; Treasury terms out issuance without a term-premium shock</w:t>
                        </w:r>
                      </w:p>
                    </w:sdtContent>
                  </w:sdt>
                </w:tc>
                <w:tc>
                  <w:tcPr>
                    <w:tcW w:w="3000" w:type="dxa"/>
                  </w:tcPr>
                  <w:sdt>
                    <w:sdtPr>
                      <w:alias w:val="downside"/>
                      <w:tag w:val="field|downside"/>
                      <w:id w:val="1093"/>
                      <w:lock w:val="sdtLocked"/>
                    </w:sdtPr>
                    <w:sdtContent>
                      <w:p>
                        <w:pPr>
                          <w:pStyle w:val="CITBullet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A cluster of weak auctions or a political challenge to Fed independence produces a term-premium spike and a disorderly bear-steepening</w:t>
                        </w:r>
                      </w:p>
                    </w:sdtContent>
                  </w:sdt>
                </w:tc>
              </w:tr>
            </w:tbl>
            <w:p>
              <w:pPr>
                <w:pStyle w:val="CITBody"/>
              </w:pPr>
            </w:p>
          </w:sdtContent>
        </w:sdt>
        <w:sdt>
          <w:sdtPr>
            <w:alias w:val="New signpost in Policy"/>
            <w:tag w:val="slot|signpost"/>
            <w:id w:val="1095"/>
            <w:lock w:val="sdtLocked"/>
            <w:showingPlcHdr/>
          </w:sdtPr>
          <w:sdtContent>
            <w:p>
              <w:pPr>
                <w:pStyle w:val="CITPlaceholder"/>
              </w:pPr>
              <w:r>
                <w:t xml:space="preserve">Click here and type a new signpost: its title on the first line, then baseline / upside / downside on the three lines after it.</w:t>
              </w:r>
            </w:p>
          </w:sdtContent>
        </w:sdt>
      </w:sdtContent>
    </w:sdt>
    <w:sdt>
      <w:sdtPr>
        <w:alias w:val="New scenario category"/>
        <w:tag w:val="slot|cat"/>
        <w:id w:val="1097"/>
        <w:lock w:val="sdtLocked"/>
        <w:showingPlcHdr/>
      </w:sdtPr>
      <w:sdtContent>
        <w:p>
          <w:pPr>
            <w:pStyle w:val="CITPlaceholder"/>
          </w:pPr>
          <w:r>
            <w:t xml:space="preserve">Click here and type the name of a new scenario category, then its first signpost.</w:t>
          </w:r>
        </w:p>
      </w:sdtContent>
    </w:sdt>
    <w:p>
      <w:pPr>
        <w:pStyle w:val="CITH1"/>
      </w:pPr>
      <w:r>
        <w:t xml:space="preserve">Investment implications</w:t>
      </w:r>
    </w:p>
    <w:sdt>
      <w:sdtPr>
        <w:alias w:val="Set these by clicking in the page, not here"/>
        <w:tag w:val="matrix"/>
        <w:id w:val="1098"/>
        <w:lock w:val="sdtContentLocked"/>
      </w:sdtPr>
      <w:sdtContent>
        <w:tbl>
          <w:tblPr>
            <w:tblStyle w:val="CITTable"/>
            <w:tblW w:w="9000" w:type="dxa"/>
          </w:tblP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drivers/regime/trend-growth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sales_growth ↑, margin_growth ↑, valuation ↓, liquidity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drivers/regime/trend-inflation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margin_growth ↓, inflation_expectation ↑, cash_rate ↑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drivers/policy/monetary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valuation ↓, cash_rate ↑, term_premium ↑, liquidity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drivers/policy/fiscal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sales_growth ↑, term_premium ↑, liquidity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drivers/imbalances/domestic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sales_growth ↓, margin_growth ↓, dividend_yield ↑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drivers/imbalances/external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term_premium ↑, valuation ↓, inflation_expectation ↑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drivers/imbalances/credit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liquidity ↓, valuation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drivers/geopolitics/domestic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valuation ↓, term_premium ↑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drivers/geopolitics/international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margin_growth ↓, inflation_expectation ↑, cash_rate ↑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scenarios/growth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sales_growth ↓, margin_growth ↓, valuation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scenarios/inflation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inflation_expectation ↑, cash_rate ↑, valuation ↓</w:t>
                </w:r>
              </w:p>
            </w:tc>
          </w:tr>
          <w:tr>
            <w:tc>
              <w:tcPr>
                <w:tcW w:w="3000" w:type="dxa"/>
              </w:tcPr>
              <w:p>
                <w:pPr>
                  <w:pStyle w:val="CITBody"/>
                </w:pPr>
                <w:r>
                  <w:t xml:space="preserve">scenarios/policy</w:t>
                </w:r>
              </w:p>
            </w:tc>
            <w:tc>
              <w:tcPr>
                <w:tcW w:w="6000" w:type="dxa"/>
              </w:tcPr>
              <w:p>
                <w:pPr>
                  <w:pStyle w:val="CITBody"/>
                </w:pPr>
                <w:r>
                  <w:t xml:space="preserve">cash_rate ↑, term_premium ↑, liquidity ↓</w:t>
                </w:r>
              </w:p>
            </w:tc>
          </w:tr>
        </w:tbl>
      </w:sdtContent>
    </w:sdt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styleId="Normal">
    <w:name w:val="Normal"/>
    <w:pPr>
      <w:spacing w:after="120"/>
    </w:pPr>
  </w:style>
  <w:style w:type="paragraph" w:styleId="CITTitle">
    <w:name w:val="CIT Title"/>
    <w:basedOn w:val="Normal"/>
    <w:pPr>
      <w:spacing w:after="80"/>
    </w:pPr>
    <w:rPr>
      <w:b/>
      <w:sz w:val="40"/>
    </w:rPr>
  </w:style>
  <w:style w:type="paragraph" w:styleId="CITMeta">
    <w:name w:val="CIT Meta"/>
    <w:basedOn w:val="Normal"/>
    <w:rPr>
      <w:i/>
      <w:color w:val="767676"/>
    </w:rPr>
  </w:style>
  <w:style w:type="paragraph" w:styleId="CITH1">
    <w:name w:val="CIT Heading 1"/>
    <w:basedOn w:val="Normal"/>
    <w:pPr>
      <w:spacing w:before="320" w:after="120"/>
    </w:pPr>
    <w:rPr>
      <w:b/>
      <w:sz w:val="30"/>
    </w:rPr>
  </w:style>
  <w:style w:type="paragraph" w:styleId="CITH2">
    <w:name w:val="CIT Heading 2"/>
    <w:basedOn w:val="Normal"/>
    <w:pPr>
      <w:spacing w:before="240" w:after="80"/>
    </w:pPr>
    <w:rPr>
      <w:b/>
      <w:sz w:val="26"/>
    </w:rPr>
  </w:style>
  <w:style w:type="paragraph" w:styleId="CITH3">
    <w:name w:val="CIT Heading 3"/>
    <w:basedOn w:val="Normal"/>
    <w:pPr>
      <w:spacing w:before="200" w:after="80"/>
    </w:pPr>
    <w:rPr>
      <w:b/>
      <w:color w:val="1F4E79"/>
      <w:sz w:val="22"/>
    </w:rPr>
  </w:style>
  <w:style w:type="paragraph" w:styleId="CITIssueTitle">
    <w:name w:val="CIT Issue Title"/>
    <w:basedOn w:val="Normal"/>
    <w:pPr>
      <w:spacing w:before="160" w:after="60"/>
    </w:pPr>
    <w:rPr>
      <w:b/>
      <w:sz w:val="22"/>
    </w:rPr>
  </w:style>
  <w:style w:type="paragraph" w:styleId="CITBullet">
    <w:name w:val="CIT Bullet"/>
    <w:basedOn w:val="Normal"/>
    <w:pPr>
      <w:ind w:left="360" w:hanging="360"/>
      <w:spacing w:after="60"/>
    </w:pPr>
  </w:style>
  <w:style w:type="paragraph" w:styleId="CITBullet2">
    <w:name w:val="CIT Bullet 2"/>
    <w:basedOn w:val="Normal"/>
    <w:pPr>
      <w:ind w:left="720" w:hanging="360"/>
      <w:spacing w:after="60"/>
    </w:pPr>
  </w:style>
  <w:style w:type="paragraph" w:styleId="CITBody">
    <w:name w:val="CIT Body"/>
    <w:basedOn w:val="Normal"/>
  </w:style>
  <w:style w:type="paragraph" w:styleId="CITPlaceholder">
    <w:name w:val="CIT Placeholder"/>
    <w:basedOn w:val="Normal"/>
    <w:rPr>
      <w:i/>
      <w:color w:val="8A8F96"/>
    </w:rPr>
  </w:style>
  <w:style w:type="paragraph" w:styleId="CITTableHead">
    <w:name w:val="CIT Table Head"/>
    <w:basedOn w:val="Normal"/>
    <w:rPr>
      <w:b/>
      <w:color w:val="767676"/>
    </w:rPr>
  </w:style>
  <w:style w:type="table" w:styleId="CITTable">
    <w:name w:val="CIT Table"/>
    <w:tblPr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