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variables"/>
      <w:bookmarkEnd w:id="43"/>
      <w:r>
        <w:t xml:space="preserve">Variables</w:t>
      </w:r>
    </w:p>
    <w:p>
      <w:pPr>
        <w:pStyle w:val="Heading2"/>
      </w:pPr>
      <w:bookmarkStart w:id="44" w:name="por-qué"/>
      <w:bookmarkEnd w:id="44"/>
      <w:r>
        <w:t xml:space="preserve">¿Por qué?</w:t>
      </w:r>
    </w:p>
    <w:p>
      <w:pPr>
        <w:pStyle w:val="Compact"/>
        <w:numPr>
          <w:numId w:val="1011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selectores"/>
      <w:bookmarkEnd w:id="45"/>
      <w:r>
        <w:t xml:space="preserve">Selectores</w:t>
      </w:r>
    </w:p>
    <w:p>
      <w:pPr>
        <w:pStyle w:val="Compact"/>
        <w:numPr>
          <w:numId w:val="1013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urls"/>
      <w:bookmarkEnd w:id="46"/>
      <w:r>
        <w:t xml:space="preserve">URLs</w:t>
      </w:r>
    </w:p>
    <w:p>
      <w:pPr>
        <w:pStyle w:val="Compact"/>
        <w:numPr>
          <w:numId w:val="1015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propiedades"/>
      <w:bookmarkEnd w:id="47"/>
      <w:r>
        <w:t xml:space="preserve">Propiedades</w:t>
      </w:r>
    </w:p>
    <w:p>
      <w:pPr>
        <w:pStyle w:val="Compact"/>
        <w:numPr>
          <w:numId w:val="1016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nombres-de-las-variables"/>
      <w:bookmarkEnd w:id="48"/>
      <w:r>
        <w:t xml:space="preserve">Nombres de las variables</w:t>
      </w:r>
    </w:p>
    <w:p>
      <w:pPr>
        <w:pStyle w:val="Compact"/>
        <w:numPr>
          <w:numId w:val="1018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19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49" w:name="carga-perezosa"/>
      <w:bookmarkEnd w:id="49"/>
      <w:r>
        <w:t xml:space="preserve">Carga perezosa</w:t>
      </w:r>
    </w:p>
    <w:p>
      <w:pPr>
        <w:numPr>
          <w:numId w:val="1020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1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ámbitos"/>
      <w:bookmarkEnd w:id="50"/>
      <w:r>
        <w:t xml:space="preserve">Ámbitos</w:t>
      </w:r>
    </w:p>
    <w:p>
      <w:pPr>
        <w:pStyle w:val="Compact"/>
        <w:numPr>
          <w:numId w:val="1022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1" w:name="extend"/>
      <w:bookmarkEnd w:id="51"/>
      <w:r>
        <w:t xml:space="preserve">Extend</w:t>
      </w:r>
    </w:p>
    <w:p>
      <w:pPr>
        <w:pStyle w:val="Heading2"/>
      </w:pPr>
      <w:bookmarkStart w:id="52" w:name="caso-de-uso"/>
      <w:bookmarkEnd w:id="52"/>
      <w:r>
        <w:t xml:space="preserve">Caso de uso</w:t>
      </w:r>
    </w:p>
    <w:p>
      <w:pPr>
        <w:pStyle w:val="Compact"/>
        <w:numPr>
          <w:numId w:val="1024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5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5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reduce-el-tamaño-del-css"/>
      <w:bookmarkEnd w:id="53"/>
      <w:r>
        <w:t xml:space="preserve">Reduce el tamaño del CSS</w:t>
      </w:r>
    </w:p>
    <w:p>
      <w:pPr>
        <w:pStyle w:val="Compact"/>
        <w:numPr>
          <w:numId w:val="1027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4" w:name="mixins"/>
      <w:bookmarkEnd w:id="54"/>
      <w:r>
        <w:t xml:space="preserve">Mixins</w:t>
      </w:r>
    </w:p>
    <w:p>
      <w:pPr>
        <w:pStyle w:val="Heading2"/>
      </w:pPr>
      <w:bookmarkStart w:id="55" w:name="qué-son"/>
      <w:bookmarkEnd w:id="55"/>
      <w:r>
        <w:t xml:space="preserve">¿Qué son?</w:t>
      </w:r>
    </w:p>
    <w:p>
      <w:pPr>
        <w:numPr>
          <w:numId w:val="1031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1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6" w:name="selectores-1"/>
      <w:bookmarkEnd w:id="56"/>
      <w:r>
        <w:t xml:space="preserve">Selectores</w:t>
      </w:r>
    </w:p>
    <w:p>
      <w:pPr>
        <w:pStyle w:val="Compact"/>
        <w:numPr>
          <w:numId w:val="1034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no-exportar-mixins"/>
      <w:bookmarkEnd w:id="57"/>
      <w:r>
        <w:t xml:space="preserve">No exportar Mixins</w:t>
      </w:r>
    </w:p>
    <w:p>
      <w:pPr>
        <w:pStyle w:val="Compact"/>
        <w:numPr>
          <w:numId w:val="1035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pseudo-clases"/>
      <w:bookmarkEnd w:id="58"/>
      <w:r>
        <w:t xml:space="preserve">Pseudo-clases</w:t>
      </w:r>
    </w:p>
    <w:p>
      <w:pPr>
        <w:pStyle w:val="Compact"/>
        <w:numPr>
          <w:numId w:val="1037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amespaces"/>
      <w:bookmarkEnd w:id="59"/>
      <w:r>
        <w:t xml:space="preserve">Namespaces</w:t>
      </w:r>
    </w:p>
    <w:p>
      <w:pPr>
        <w:pStyle w:val="Compact"/>
        <w:numPr>
          <w:numId w:val="1039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0" w:name="important-keyword"/>
      <w:bookmarkEnd w:id="60"/>
      <w:r>
        <w:t xml:space="preserve">!Important keyword</w:t>
      </w:r>
    </w:p>
    <w:p>
      <w:pPr>
        <w:pStyle w:val="Compact"/>
        <w:numPr>
          <w:numId w:val="1041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mixins-paramétricos"/>
      <w:bookmarkEnd w:id="61"/>
      <w:r>
        <w:t xml:space="preserve">Mixins paramétricos</w:t>
      </w:r>
    </w:p>
    <w:p>
      <w:pPr>
        <w:pStyle w:val="Heading2"/>
      </w:pPr>
      <w:bookmarkStart w:id="62" w:name="parámetros"/>
      <w:bookmarkEnd w:id="62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valor-por-defecto"/>
      <w:bookmarkEnd w:id="63"/>
      <w:r>
        <w:t xml:space="preserve">Valor por defecto</w:t>
      </w:r>
    </w:p>
    <w:p>
      <w:pPr>
        <w:pStyle w:val="Compact"/>
        <w:numPr>
          <w:numId w:val="1044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parámetros-múltiples"/>
      <w:bookmarkEnd w:id="64"/>
      <w:r>
        <w:t xml:space="preserve">Parámetros múltiples</w:t>
      </w:r>
    </w:p>
    <w:p>
      <w:pPr>
        <w:numPr>
          <w:numId w:val="1046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Se recomienda el punto y coma (;).</w:t>
      </w:r>
    </w:p>
    <w:p>
      <w:pPr>
        <w:numPr>
          <w:numId w:val="1046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7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8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49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0"/>
          <w:ilvl w:val="1"/>
        </w:numPr>
      </w:pPr>
      <w:r>
        <w:t xml:space="preserve">1 parámetro, con una lista como valor predeterminado</w:t>
      </w:r>
    </w:p>
    <w:p>
      <w:pPr>
        <w:numPr>
          <w:numId w:val="1046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parámetros-con-nombres"/>
      <w:bookmarkEnd w:id="65"/>
      <w:r>
        <w:t xml:space="preserve">Parámetros con nombres</w:t>
      </w:r>
    </w:p>
    <w:p>
      <w:pPr>
        <w:pStyle w:val="Compact"/>
        <w:numPr>
          <w:numId w:val="1052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arguments"/>
      <w:bookmarkEnd w:id="66"/>
      <w:r>
        <w:t xml:space="preserve">@arguments</w:t>
      </w:r>
    </w:p>
    <w:p>
      <w:pPr>
        <w:pStyle w:val="Compact"/>
        <w:numPr>
          <w:numId w:val="1054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section"/>
      <w:bookmarkEnd w:id="67"/>
      <w:r>
        <w:t xml:space="preserve">...</w:t>
      </w:r>
    </w:p>
    <w:p>
      <w:pPr>
        <w:pStyle w:val="Compact"/>
        <w:numPr>
          <w:numId w:val="1056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68" w:name="rest"/>
      <w:bookmarkEnd w:id="68"/>
      <w:r>
        <w:t xml:space="preserve">@rest</w:t>
      </w:r>
    </w:p>
    <w:p>
      <w:pPr>
        <w:pStyle w:val="Compact"/>
        <w:numPr>
          <w:numId w:val="1057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pattern-matching"/>
      <w:bookmarkEnd w:id="69"/>
      <w:r>
        <w:t xml:space="preserve">Pattern matching</w:t>
      </w:r>
    </w:p>
    <w:p>
      <w:pPr>
        <w:pStyle w:val="Compact"/>
        <w:numPr>
          <w:numId w:val="1058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0" w:name="mixins-como-funciones"/>
      <w:bookmarkEnd w:id="70"/>
      <w:r>
        <w:t xml:space="preserve">Mixins como Funciones</w:t>
      </w:r>
    </w:p>
    <w:p>
      <w:pPr>
        <w:pStyle w:val="Compact"/>
        <w:numPr>
          <w:numId w:val="1060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1" w:name="mixins-condicionales"/>
      <w:bookmarkEnd w:id="71"/>
      <w:r>
        <w:t xml:space="preserve">Mixins Condicionales</w:t>
      </w:r>
    </w:p>
    <w:p>
      <w:pPr>
        <w:pStyle w:val="Heading2"/>
      </w:pPr>
      <w:bookmarkStart w:id="72" w:name="sintaxis"/>
      <w:bookmarkEnd w:id="72"/>
      <w:r>
        <w:t xml:space="preserve">Sintaxis</w:t>
      </w:r>
    </w:p>
    <w:p>
      <w:pPr>
        <w:pStyle w:val="Compact"/>
        <w:numPr>
          <w:numId w:val="1064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operadores"/>
      <w:bookmarkEnd w:id="73"/>
      <w:r>
        <w:t xml:space="preserve">Operadores</w:t>
      </w:r>
    </w:p>
    <w:p>
      <w:pPr>
        <w:pStyle w:val="Compact"/>
        <w:numPr>
          <w:numId w:val="1066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4" w:name="and"/>
      <w:bookmarkEnd w:id="74"/>
      <w:r>
        <w:t xml:space="preserve">AND</w:t>
      </w:r>
    </w:p>
    <w:p>
      <w:pPr>
        <w:pStyle w:val="Compact"/>
        <w:numPr>
          <w:numId w:val="1067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5" w:name="coma"/>
      <w:bookmarkEnd w:id="75"/>
      <w:r>
        <w:t xml:space="preserve">COMA (,)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6" w:name="not"/>
      <w:bookmarkEnd w:id="76"/>
      <w:r>
        <w:t xml:space="preserve">NOT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7" w:name="comprobar-tipos"/>
      <w:bookmarkEnd w:id="77"/>
      <w:r>
        <w:t xml:space="preserve">Comprobar tipos</w:t>
      </w:r>
    </w:p>
    <w:p>
      <w:pPr>
        <w:numPr>
          <w:numId w:val="1070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1"/>
          <w:ilvl w:val="1"/>
        </w:numPr>
      </w:pPr>
      <w:r>
        <w:t xml:space="preserve">isnumber</w:t>
      </w:r>
    </w:p>
    <w:p>
      <w:pPr>
        <w:pStyle w:val="Compact"/>
        <w:numPr>
          <w:numId w:val="1071"/>
          <w:ilvl w:val="1"/>
        </w:numPr>
      </w:pPr>
      <w:r>
        <w:t xml:space="preserve">isstring</w:t>
      </w:r>
    </w:p>
    <w:p>
      <w:pPr>
        <w:pStyle w:val="Compact"/>
        <w:numPr>
          <w:numId w:val="1071"/>
          <w:ilvl w:val="1"/>
        </w:numPr>
      </w:pPr>
      <w:r>
        <w:t xml:space="preserve">iscolor</w:t>
      </w:r>
    </w:p>
    <w:p>
      <w:pPr>
        <w:pStyle w:val="Compact"/>
        <w:numPr>
          <w:numId w:val="1071"/>
          <w:ilvl w:val="1"/>
        </w:numPr>
      </w:pPr>
      <w:r>
        <w:t xml:space="preserve">iskeyword</w:t>
      </w:r>
    </w:p>
    <w:p>
      <w:pPr>
        <w:pStyle w:val="Compact"/>
        <w:numPr>
          <w:numId w:val="1071"/>
          <w:ilvl w:val="1"/>
        </w:numPr>
      </w:pPr>
      <w:r>
        <w:t xml:space="preserve">isurl</w:t>
      </w:r>
    </w:p>
    <w:p>
      <w:pPr>
        <w:pStyle w:val="Heading2"/>
      </w:pPr>
      <w:bookmarkStart w:id="78" w:name="comprobar-unidades"/>
      <w:bookmarkEnd w:id="78"/>
      <w:r>
        <w:t xml:space="preserve">Comprobar unidades</w:t>
      </w:r>
    </w:p>
    <w:p>
      <w:pPr>
        <w:numPr>
          <w:numId w:val="1072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ispixel</w:t>
      </w:r>
    </w:p>
    <w:p>
      <w:pPr>
        <w:pStyle w:val="Compact"/>
        <w:numPr>
          <w:numId w:val="1073"/>
          <w:ilvl w:val="1"/>
        </w:numPr>
      </w:pPr>
      <w:r>
        <w:t xml:space="preserve">isem</w:t>
      </w:r>
    </w:p>
    <w:p>
      <w:pPr>
        <w:pStyle w:val="Compact"/>
        <w:numPr>
          <w:numId w:val="1073"/>
          <w:ilvl w:val="1"/>
        </w:numPr>
      </w:pPr>
      <w:r>
        <w:t xml:space="preserve">ispercentage</w:t>
      </w:r>
    </w:p>
    <w:p>
      <w:pPr>
        <w:pStyle w:val="Compact"/>
        <w:numPr>
          <w:numId w:val="1073"/>
          <w:ilvl w:val="1"/>
        </w:numPr>
      </w:pPr>
      <w:r>
        <w:t xml:space="preserve">isunit</w:t>
      </w:r>
    </w:p>
    <w:p>
      <w:pPr>
        <w:pStyle w:val="Heading2"/>
      </w:pPr>
      <w:bookmarkStart w:id="79" w:name="loops"/>
      <w:bookmarkEnd w:id="79"/>
      <w:r>
        <w:t xml:space="preserve">Loops</w:t>
      </w:r>
    </w:p>
    <w:p>
      <w:pPr>
        <w:pStyle w:val="Compact"/>
        <w:numPr>
          <w:numId w:val="1074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0" w:name="merge"/>
      <w:bookmarkEnd w:id="80"/>
      <w:r>
        <w:t xml:space="preserve">Merge</w:t>
      </w:r>
    </w:p>
    <w:p>
      <w:pPr>
        <w:pStyle w:val="Heading2"/>
      </w:pPr>
      <w:bookmarkStart w:id="81" w:name="qué-es-1"/>
      <w:bookmarkEnd w:id="81"/>
      <w:r>
        <w:t xml:space="preserve">¿Qué es?</w:t>
      </w:r>
    </w:p>
    <w:p>
      <w:pPr>
        <w:pStyle w:val="Compact"/>
        <w:numPr>
          <w:numId w:val="1078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2" w:name="coma-1"/>
      <w:bookmarkEnd w:id="82"/>
      <w:r>
        <w:t xml:space="preserve">Coma</w:t>
      </w:r>
    </w:p>
    <w:p>
      <w:pPr>
        <w:pStyle w:val="Compact"/>
        <w:numPr>
          <w:numId w:val="1079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espacio"/>
      <w:bookmarkEnd w:id="83"/>
      <w:r>
        <w:t xml:space="preserve">Espacio</w:t>
      </w:r>
    </w:p>
    <w:p>
      <w:pPr>
        <w:pStyle w:val="Compact"/>
        <w:numPr>
          <w:numId w:val="1081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explicito"/>
      <w:bookmarkEnd w:id="84"/>
      <w:r>
        <w:t xml:space="preserve">Explicito</w:t>
      </w:r>
    </w:p>
    <w:p>
      <w:pPr>
        <w:pStyle w:val="Compact"/>
        <w:numPr>
          <w:numId w:val="1083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5" w:name="selector-padre"/>
      <w:bookmarkEnd w:id="85"/>
      <w:r>
        <w:t xml:space="preserve">Selector Padre</w:t>
      </w:r>
    </w:p>
    <w:p>
      <w:pPr>
        <w:pStyle w:val="Heading2"/>
      </w:pPr>
      <w:bookmarkStart w:id="86" w:name="el-operador"/>
      <w:bookmarkEnd w:id="86"/>
      <w:r>
        <w:t xml:space="preserve">El operador &amp;</w:t>
      </w:r>
    </w:p>
    <w:p>
      <w:pPr>
        <w:pStyle w:val="Compact"/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7" w:name="clases-repetitivas"/>
      <w:bookmarkEnd w:id="87"/>
      <w:r>
        <w:t xml:space="preserve">Clases repetitivas</w:t>
      </w:r>
    </w:p>
    <w:p>
      <w:pPr>
        <w:pStyle w:val="Compact"/>
        <w:numPr>
          <w:numId w:val="1086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8" w:name="multiples"/>
      <w:bookmarkEnd w:id="88"/>
      <w:r>
        <w:t xml:space="preserve">Multiples &amp;</w:t>
      </w:r>
    </w:p>
    <w:p>
      <w:pPr>
        <w:pStyle w:val="Compact"/>
        <w:numPr>
          <w:numId w:val="1088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9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ambiar-el-orden"/>
      <w:bookmarkEnd w:id="89"/>
      <w:r>
        <w:t xml:space="preserve">Cambiar el orden</w:t>
      </w:r>
    </w:p>
    <w:p>
      <w:pPr>
        <w:pStyle w:val="Compact"/>
        <w:numPr>
          <w:numId w:val="1092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explosión-combinatoria"/>
      <w:bookmarkEnd w:id="90"/>
      <w:r>
        <w:t xml:space="preserve">Explosión combinatoria</w:t>
      </w:r>
    </w:p>
    <w:p>
      <w:pPr>
        <w:pStyle w:val="Compact"/>
        <w:numPr>
          <w:numId w:val="1094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1" w:name="funciones"/>
      <w:bookmarkEnd w:id="91"/>
      <w:r>
        <w:t xml:space="preserve">Funciones</w:t>
      </w:r>
    </w:p>
    <w:p>
      <w:pPr>
        <w:pStyle w:val="Heading2"/>
      </w:pPr>
      <w:bookmarkStart w:id="92" w:name="resumen"/>
      <w:bookmarkEnd w:id="92"/>
      <w:r>
        <w:t xml:space="preserve">Resumen</w:t>
      </w:r>
    </w:p>
    <w:p>
      <w:pPr>
        <w:pStyle w:val="Compact"/>
        <w:numPr>
          <w:numId w:val="1096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7"/>
          <w:ilvl w:val="0"/>
        </w:numPr>
      </w:pPr>
      <w:hyperlink r:id="rId93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8"/>
          <w:ilvl w:val="1"/>
        </w:numPr>
      </w:pPr>
      <w:r>
        <w:t xml:space="preserve">Misc Functions</w:t>
      </w:r>
    </w:p>
    <w:p>
      <w:pPr>
        <w:pStyle w:val="Compact"/>
        <w:numPr>
          <w:numId w:val="1098"/>
          <w:ilvl w:val="1"/>
        </w:numPr>
      </w:pPr>
      <w:r>
        <w:t xml:space="preserve">String Functions</w:t>
      </w:r>
    </w:p>
    <w:p>
      <w:pPr>
        <w:pStyle w:val="Compact"/>
        <w:numPr>
          <w:numId w:val="1098"/>
          <w:ilvl w:val="1"/>
        </w:numPr>
      </w:pPr>
      <w:r>
        <w:t xml:space="preserve">List Functions</w:t>
      </w:r>
    </w:p>
    <w:p>
      <w:pPr>
        <w:pStyle w:val="Compact"/>
        <w:numPr>
          <w:numId w:val="1098"/>
          <w:ilvl w:val="1"/>
        </w:numPr>
      </w:pPr>
      <w:r>
        <w:t xml:space="preserve">Math Functions</w:t>
      </w:r>
    </w:p>
    <w:p>
      <w:pPr>
        <w:pStyle w:val="Compact"/>
        <w:numPr>
          <w:numId w:val="1098"/>
          <w:ilvl w:val="1"/>
        </w:numPr>
      </w:pPr>
      <w:r>
        <w:t xml:space="preserve">Type Functions</w:t>
      </w:r>
    </w:p>
    <w:p>
      <w:pPr>
        <w:pStyle w:val="Compact"/>
        <w:numPr>
          <w:numId w:val="1098"/>
          <w:ilvl w:val="1"/>
        </w:numPr>
      </w:pPr>
      <w:r>
        <w:t xml:space="preserve">Color Functions</w:t>
      </w:r>
    </w:p>
    <w:p>
      <w:pPr>
        <w:pStyle w:val="Heading2"/>
      </w:pPr>
      <w:bookmarkStart w:id="94" w:name="misc-functions"/>
      <w:bookmarkEnd w:id="94"/>
      <w:r>
        <w:t xml:space="preserve">Misc Functions</w:t>
      </w:r>
    </w:p>
    <w:p>
      <w:pPr>
        <w:numPr>
          <w:numId w:val="1099"/>
          <w:ilvl w:val="0"/>
        </w:numPr>
      </w:pPr>
      <w:hyperlink r:id="rId95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0"/>
          <w:ilvl w:val="1"/>
        </w:numPr>
      </w:pPr>
      <w:r>
        <w:t xml:space="preserve">color</w:t>
      </w:r>
    </w:p>
    <w:p>
      <w:pPr>
        <w:pStyle w:val="Compact"/>
        <w:numPr>
          <w:numId w:val="1100"/>
          <w:ilvl w:val="1"/>
        </w:numPr>
      </w:pPr>
      <w:r>
        <w:t xml:space="preserve">convert</w:t>
      </w:r>
    </w:p>
    <w:p>
      <w:pPr>
        <w:pStyle w:val="Compact"/>
        <w:numPr>
          <w:numId w:val="1100"/>
          <w:ilvl w:val="1"/>
        </w:numPr>
      </w:pPr>
      <w:r>
        <w:t xml:space="preserve">data-uri</w:t>
      </w:r>
    </w:p>
    <w:p>
      <w:pPr>
        <w:pStyle w:val="Compact"/>
        <w:numPr>
          <w:numId w:val="1100"/>
          <w:ilvl w:val="1"/>
        </w:numPr>
      </w:pPr>
      <w:r>
        <w:t xml:space="preserve">default</w:t>
      </w:r>
    </w:p>
    <w:p>
      <w:pPr>
        <w:pStyle w:val="Compact"/>
        <w:numPr>
          <w:numId w:val="1100"/>
          <w:ilvl w:val="1"/>
        </w:numPr>
      </w:pPr>
      <w:r>
        <w:t xml:space="preserve">unit</w:t>
      </w:r>
    </w:p>
    <w:p>
      <w:pPr>
        <w:pStyle w:val="Compact"/>
        <w:numPr>
          <w:numId w:val="1100"/>
          <w:ilvl w:val="1"/>
        </w:numPr>
      </w:pPr>
      <w:r>
        <w:t xml:space="preserve">get-unit</w:t>
      </w:r>
    </w:p>
    <w:p>
      <w:pPr>
        <w:pStyle w:val="Compact"/>
        <w:numPr>
          <w:numId w:val="1100"/>
          <w:ilvl w:val="1"/>
        </w:numPr>
      </w:pPr>
      <w:r>
        <w:t xml:space="preserve">svg-gradient</w:t>
      </w:r>
    </w:p>
    <w:p>
      <w:pPr>
        <w:pStyle w:val="Heading2"/>
      </w:pPr>
      <w:bookmarkStart w:id="96" w:name="string-functions"/>
      <w:bookmarkEnd w:id="96"/>
      <w:r>
        <w:t xml:space="preserve">String Functions</w:t>
      </w:r>
    </w:p>
    <w:p>
      <w:pPr>
        <w:numPr>
          <w:numId w:val="1101"/>
          <w:ilvl w:val="0"/>
        </w:numPr>
      </w:pPr>
      <w:hyperlink r:id="rId97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2"/>
          <w:ilvl w:val="1"/>
        </w:numPr>
      </w:pPr>
      <w:r>
        <w:t xml:space="preserve">escape</w:t>
      </w:r>
    </w:p>
    <w:p>
      <w:pPr>
        <w:pStyle w:val="Compact"/>
        <w:numPr>
          <w:numId w:val="1102"/>
          <w:ilvl w:val="1"/>
        </w:numPr>
      </w:pPr>
      <w:r>
        <w:t xml:space="preserve">e</w:t>
      </w:r>
    </w:p>
    <w:p>
      <w:pPr>
        <w:pStyle w:val="Compact"/>
        <w:numPr>
          <w:numId w:val="1102"/>
          <w:ilvl w:val="1"/>
        </w:numPr>
      </w:pPr>
      <w:r>
        <w:t xml:space="preserve">% format</w:t>
      </w:r>
    </w:p>
    <w:p>
      <w:pPr>
        <w:pStyle w:val="Compact"/>
        <w:numPr>
          <w:numId w:val="1102"/>
          <w:ilvl w:val="1"/>
        </w:numPr>
      </w:pPr>
      <w:r>
        <w:t xml:space="preserve">replace</w:t>
      </w:r>
    </w:p>
    <w:p>
      <w:pPr>
        <w:pStyle w:val="Heading2"/>
      </w:pPr>
      <w:bookmarkStart w:id="98" w:name="list-functions"/>
      <w:bookmarkEnd w:id="98"/>
      <w:r>
        <w:t xml:space="preserve">List Functions</w:t>
      </w:r>
    </w:p>
    <w:p>
      <w:pPr>
        <w:numPr>
          <w:numId w:val="1103"/>
          <w:ilvl w:val="0"/>
        </w:numPr>
      </w:pPr>
      <w:hyperlink r:id="rId99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4"/>
          <w:ilvl w:val="1"/>
        </w:numPr>
      </w:pPr>
      <w:r>
        <w:t xml:space="preserve">length</w:t>
      </w:r>
    </w:p>
    <w:p>
      <w:pPr>
        <w:pStyle w:val="Compact"/>
        <w:numPr>
          <w:numId w:val="1104"/>
          <w:ilvl w:val="1"/>
        </w:numPr>
      </w:pPr>
      <w:r>
        <w:t xml:space="preserve">extract</w:t>
      </w:r>
    </w:p>
    <w:p>
      <w:pPr>
        <w:pStyle w:val="Heading2"/>
      </w:pPr>
      <w:bookmarkStart w:id="100" w:name="math-functions"/>
      <w:bookmarkEnd w:id="100"/>
      <w:r>
        <w:t xml:space="preserve">Math Functions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6"/>
          <w:ilvl w:val="1"/>
        </w:numPr>
      </w:pPr>
      <w:r>
        <w:t xml:space="preserve">ceil</w:t>
      </w:r>
    </w:p>
    <w:p>
      <w:pPr>
        <w:pStyle w:val="Compact"/>
        <w:numPr>
          <w:numId w:val="1106"/>
          <w:ilvl w:val="1"/>
        </w:numPr>
      </w:pPr>
      <w:r>
        <w:t xml:space="preserve">floor</w:t>
      </w:r>
    </w:p>
    <w:p>
      <w:pPr>
        <w:pStyle w:val="Compact"/>
        <w:numPr>
          <w:numId w:val="1106"/>
          <w:ilvl w:val="1"/>
        </w:numPr>
      </w:pPr>
      <w:r>
        <w:t xml:space="preserve">percentage</w:t>
      </w:r>
    </w:p>
    <w:p>
      <w:pPr>
        <w:pStyle w:val="Compact"/>
        <w:numPr>
          <w:numId w:val="1106"/>
          <w:ilvl w:val="1"/>
        </w:numPr>
      </w:pPr>
      <w:r>
        <w:t xml:space="preserve">round</w:t>
      </w:r>
    </w:p>
    <w:p>
      <w:pPr>
        <w:pStyle w:val="Compact"/>
        <w:numPr>
          <w:numId w:val="1106"/>
          <w:ilvl w:val="1"/>
        </w:numPr>
      </w:pPr>
      <w:r>
        <w:t xml:space="preserve">sqrt</w:t>
      </w:r>
    </w:p>
    <w:p>
      <w:pPr>
        <w:pStyle w:val="Compact"/>
        <w:numPr>
          <w:numId w:val="1106"/>
          <w:ilvl w:val="1"/>
        </w:numPr>
      </w:pPr>
      <w:r>
        <w:t xml:space="preserve">abs</w:t>
      </w:r>
    </w:p>
    <w:p>
      <w:pPr>
        <w:pStyle w:val="Compact"/>
        <w:numPr>
          <w:numId w:val="1106"/>
          <w:ilvl w:val="1"/>
        </w:numPr>
      </w:pPr>
      <w:r>
        <w:t xml:space="preserve">pow</w:t>
      </w:r>
    </w:p>
    <w:p>
      <w:pPr>
        <w:pStyle w:val="Compact"/>
        <w:numPr>
          <w:numId w:val="1106"/>
          <w:ilvl w:val="1"/>
        </w:numPr>
      </w:pPr>
      <w:r>
        <w:t xml:space="preserve">mod</w:t>
      </w:r>
    </w:p>
    <w:p>
      <w:pPr>
        <w:pStyle w:val="Compact"/>
        <w:numPr>
          <w:numId w:val="1106"/>
          <w:ilvl w:val="1"/>
        </w:numPr>
      </w:pPr>
      <w:r>
        <w:t xml:space="preserve">min</w:t>
      </w:r>
    </w:p>
    <w:p>
      <w:pPr>
        <w:pStyle w:val="Compact"/>
        <w:numPr>
          <w:numId w:val="1106"/>
          <w:ilvl w:val="1"/>
        </w:numPr>
      </w:pPr>
      <w:r>
        <w:t xml:space="preserve">max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sin</w:t>
      </w:r>
    </w:p>
    <w:p>
      <w:pPr>
        <w:pStyle w:val="Compact"/>
        <w:numPr>
          <w:numId w:val="1107"/>
          <w:ilvl w:val="1"/>
        </w:numPr>
      </w:pPr>
      <w:r>
        <w:t xml:space="preserve">asin</w:t>
      </w:r>
    </w:p>
    <w:p>
      <w:pPr>
        <w:pStyle w:val="Compact"/>
        <w:numPr>
          <w:numId w:val="1107"/>
          <w:ilvl w:val="1"/>
        </w:numPr>
      </w:pPr>
      <w:r>
        <w:t xml:space="preserve">cos</w:t>
      </w:r>
    </w:p>
    <w:p>
      <w:pPr>
        <w:pStyle w:val="Compact"/>
        <w:numPr>
          <w:numId w:val="1107"/>
          <w:ilvl w:val="1"/>
        </w:numPr>
      </w:pPr>
      <w:r>
        <w:t xml:space="preserve">acos</w:t>
      </w:r>
    </w:p>
    <w:p>
      <w:pPr>
        <w:pStyle w:val="Compact"/>
        <w:numPr>
          <w:numId w:val="1107"/>
          <w:ilvl w:val="1"/>
        </w:numPr>
      </w:pPr>
      <w:r>
        <w:t xml:space="preserve">tan</w:t>
      </w:r>
    </w:p>
    <w:p>
      <w:pPr>
        <w:pStyle w:val="Compact"/>
        <w:numPr>
          <w:numId w:val="1107"/>
          <w:ilvl w:val="1"/>
        </w:numPr>
      </w:pPr>
      <w:r>
        <w:t xml:space="preserve">atan</w:t>
      </w:r>
    </w:p>
    <w:p>
      <w:pPr>
        <w:pStyle w:val="Compact"/>
        <w:numPr>
          <w:numId w:val="1107"/>
          <w:ilvl w:val="1"/>
        </w:numPr>
      </w:pPr>
      <w:r>
        <w:t xml:space="preserve">pi</w:t>
      </w:r>
    </w:p>
    <w:p>
      <w:pPr>
        <w:pStyle w:val="Heading2"/>
      </w:pPr>
      <w:bookmarkStart w:id="102" w:name="type-functions"/>
      <w:bookmarkEnd w:id="102"/>
      <w:r>
        <w:t xml:space="preserve">Type Functions</w:t>
      </w:r>
    </w:p>
    <w:p>
      <w:pPr>
        <w:numPr>
          <w:numId w:val="1108"/>
          <w:ilvl w:val="0"/>
        </w:numPr>
      </w:pPr>
      <w:hyperlink r:id="rId103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09"/>
          <w:ilvl w:val="1"/>
        </w:numPr>
      </w:pPr>
      <w:r>
        <w:t xml:space="preserve">isnumber</w:t>
      </w:r>
    </w:p>
    <w:p>
      <w:pPr>
        <w:pStyle w:val="Compact"/>
        <w:numPr>
          <w:numId w:val="1109"/>
          <w:ilvl w:val="1"/>
        </w:numPr>
      </w:pPr>
      <w:r>
        <w:t xml:space="preserve">isstring</w:t>
      </w:r>
    </w:p>
    <w:p>
      <w:pPr>
        <w:pStyle w:val="Compact"/>
        <w:numPr>
          <w:numId w:val="1109"/>
          <w:ilvl w:val="1"/>
        </w:numPr>
      </w:pPr>
      <w:r>
        <w:t xml:space="preserve">iscolor</w:t>
      </w:r>
    </w:p>
    <w:p>
      <w:pPr>
        <w:pStyle w:val="Compact"/>
        <w:numPr>
          <w:numId w:val="1109"/>
          <w:ilvl w:val="1"/>
        </w:numPr>
      </w:pPr>
      <w:r>
        <w:t xml:space="preserve">iskeyword</w:t>
      </w:r>
    </w:p>
    <w:p>
      <w:pPr>
        <w:pStyle w:val="Compact"/>
        <w:numPr>
          <w:numId w:val="1109"/>
          <w:ilvl w:val="1"/>
        </w:numPr>
      </w:pPr>
      <w:r>
        <w:t xml:space="preserve">isurl</w:t>
      </w:r>
    </w:p>
    <w:p>
      <w:pPr>
        <w:pStyle w:val="Compact"/>
        <w:numPr>
          <w:numId w:val="1109"/>
          <w:ilvl w:val="1"/>
        </w:numPr>
      </w:pPr>
      <w:r>
        <w:t xml:space="preserve">ispixel</w:t>
      </w:r>
    </w:p>
    <w:p>
      <w:pPr>
        <w:pStyle w:val="Compact"/>
        <w:numPr>
          <w:numId w:val="1109"/>
          <w:ilvl w:val="1"/>
        </w:numPr>
      </w:pPr>
      <w:r>
        <w:t xml:space="preserve">isem</w:t>
      </w:r>
    </w:p>
    <w:p>
      <w:pPr>
        <w:pStyle w:val="Compact"/>
        <w:numPr>
          <w:numId w:val="1109"/>
          <w:ilvl w:val="1"/>
        </w:numPr>
      </w:pPr>
      <w:r>
        <w:t xml:space="preserve">ispercentage</w:t>
      </w:r>
    </w:p>
    <w:p>
      <w:pPr>
        <w:pStyle w:val="Compact"/>
        <w:numPr>
          <w:numId w:val="1109"/>
          <w:ilvl w:val="1"/>
        </w:numPr>
      </w:pPr>
      <w:r>
        <w:t xml:space="preserve">isunit</w:t>
      </w:r>
    </w:p>
    <w:p>
      <w:pPr>
        <w:pStyle w:val="Heading2"/>
      </w:pPr>
      <w:bookmarkStart w:id="104" w:name="color-definition-functions"/>
      <w:bookmarkEnd w:id="104"/>
      <w:r>
        <w:t xml:space="preserve">Color Definition Functions</w:t>
      </w:r>
    </w:p>
    <w:p>
      <w:pPr>
        <w:numPr>
          <w:numId w:val="1110"/>
          <w:ilvl w:val="0"/>
        </w:numPr>
      </w:pPr>
      <w:hyperlink r:id="rId105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1"/>
          <w:ilvl w:val="1"/>
        </w:numPr>
      </w:pPr>
      <w:r>
        <w:t xml:space="preserve">rgb</w:t>
      </w:r>
    </w:p>
    <w:p>
      <w:pPr>
        <w:pStyle w:val="Compact"/>
        <w:numPr>
          <w:numId w:val="1111"/>
          <w:ilvl w:val="1"/>
        </w:numPr>
      </w:pPr>
      <w:r>
        <w:t xml:space="preserve">rgba</w:t>
      </w:r>
    </w:p>
    <w:p>
      <w:pPr>
        <w:pStyle w:val="Compact"/>
        <w:numPr>
          <w:numId w:val="1111"/>
          <w:ilvl w:val="1"/>
        </w:numPr>
      </w:pPr>
      <w:r>
        <w:t xml:space="preserve">argb</w:t>
      </w:r>
    </w:p>
    <w:p>
      <w:pPr>
        <w:pStyle w:val="Compact"/>
        <w:numPr>
          <w:numId w:val="1111"/>
          <w:ilvl w:val="1"/>
        </w:numPr>
      </w:pPr>
      <w:r>
        <w:t xml:space="preserve">hsl</w:t>
      </w:r>
    </w:p>
    <w:p>
      <w:pPr>
        <w:pStyle w:val="Compact"/>
        <w:numPr>
          <w:numId w:val="1111"/>
          <w:ilvl w:val="1"/>
        </w:numPr>
      </w:pPr>
      <w:r>
        <w:t xml:space="preserve">hsla</w:t>
      </w:r>
    </w:p>
    <w:p>
      <w:pPr>
        <w:pStyle w:val="Compact"/>
        <w:numPr>
          <w:numId w:val="1111"/>
          <w:ilvl w:val="1"/>
        </w:numPr>
      </w:pPr>
      <w:r>
        <w:t xml:space="preserve">hsv</w:t>
      </w:r>
    </w:p>
    <w:p>
      <w:pPr>
        <w:pStyle w:val="Compact"/>
        <w:numPr>
          <w:numId w:val="1111"/>
          <w:ilvl w:val="1"/>
        </w:numPr>
      </w:pPr>
      <w:r>
        <w:t xml:space="preserve">hsva</w:t>
      </w:r>
    </w:p>
    <w:p>
      <w:pPr>
        <w:pStyle w:val="Heading2"/>
      </w:pPr>
      <w:bookmarkStart w:id="106" w:name="color-channel-functions"/>
      <w:bookmarkEnd w:id="106"/>
      <w:r>
        <w:t xml:space="preserve">Color Channel Functions</w:t>
      </w:r>
    </w:p>
    <w:p>
      <w:pPr>
        <w:numPr>
          <w:numId w:val="1112"/>
          <w:ilvl w:val="0"/>
        </w:numPr>
      </w:pPr>
      <w:hyperlink r:id="rId107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3"/>
          <w:ilvl w:val="1"/>
        </w:numPr>
      </w:pPr>
      <w:r>
        <w:t xml:space="preserve">hue</w:t>
      </w:r>
    </w:p>
    <w:p>
      <w:pPr>
        <w:pStyle w:val="Compact"/>
        <w:numPr>
          <w:numId w:val="1113"/>
          <w:ilvl w:val="1"/>
        </w:numPr>
      </w:pPr>
      <w:r>
        <w:t xml:space="preserve">saturation</w:t>
      </w:r>
    </w:p>
    <w:p>
      <w:pPr>
        <w:pStyle w:val="Compact"/>
        <w:numPr>
          <w:numId w:val="1113"/>
          <w:ilvl w:val="1"/>
        </w:numPr>
      </w:pPr>
      <w:r>
        <w:t xml:space="preserve">lightness</w:t>
      </w:r>
    </w:p>
    <w:p>
      <w:pPr>
        <w:pStyle w:val="Compact"/>
        <w:numPr>
          <w:numId w:val="1113"/>
          <w:ilvl w:val="1"/>
        </w:numPr>
      </w:pPr>
      <w:r>
        <w:t xml:space="preserve">hsvhue</w:t>
      </w:r>
    </w:p>
    <w:p>
      <w:pPr>
        <w:pStyle w:val="Compact"/>
        <w:numPr>
          <w:numId w:val="1113"/>
          <w:ilvl w:val="1"/>
        </w:numPr>
      </w:pPr>
      <w:r>
        <w:t xml:space="preserve">hsvsaturation</w:t>
      </w:r>
    </w:p>
    <w:p>
      <w:pPr>
        <w:pStyle w:val="Compact"/>
        <w:numPr>
          <w:numId w:val="1113"/>
          <w:ilvl w:val="1"/>
        </w:numPr>
      </w:pPr>
      <w:r>
        <w:t xml:space="preserve">hsvvalue</w:t>
      </w:r>
    </w:p>
    <w:p>
      <w:pPr>
        <w:pStyle w:val="Compact"/>
        <w:numPr>
          <w:numId w:val="1113"/>
          <w:ilvl w:val="1"/>
        </w:numPr>
      </w:pPr>
      <w:r>
        <w:t xml:space="preserve">red</w:t>
      </w:r>
    </w:p>
    <w:p>
      <w:pPr>
        <w:pStyle w:val="Compact"/>
        <w:numPr>
          <w:numId w:val="1113"/>
          <w:ilvl w:val="1"/>
        </w:numPr>
      </w:pPr>
      <w:r>
        <w:t xml:space="preserve">green</w:t>
      </w:r>
    </w:p>
    <w:p>
      <w:pPr>
        <w:pStyle w:val="Compact"/>
        <w:numPr>
          <w:numId w:val="1113"/>
          <w:ilvl w:val="1"/>
        </w:numPr>
      </w:pPr>
      <w:r>
        <w:t xml:space="preserve">blue</w:t>
      </w:r>
    </w:p>
    <w:p>
      <w:pPr>
        <w:pStyle w:val="Compact"/>
        <w:numPr>
          <w:numId w:val="1113"/>
          <w:ilvl w:val="1"/>
        </w:numPr>
      </w:pPr>
      <w:r>
        <w:t xml:space="preserve">alpha</w:t>
      </w:r>
    </w:p>
    <w:p>
      <w:pPr>
        <w:pStyle w:val="Compact"/>
        <w:numPr>
          <w:numId w:val="1113"/>
          <w:ilvl w:val="1"/>
        </w:numPr>
      </w:pPr>
      <w:r>
        <w:t xml:space="preserve">luma</w:t>
      </w:r>
    </w:p>
    <w:p>
      <w:pPr>
        <w:pStyle w:val="Compact"/>
        <w:numPr>
          <w:numId w:val="1113"/>
          <w:ilvl w:val="1"/>
        </w:numPr>
      </w:pPr>
      <w:r>
        <w:t xml:space="preserve">luminance</w:t>
      </w:r>
    </w:p>
    <w:p>
      <w:pPr>
        <w:pStyle w:val="Heading2"/>
      </w:pPr>
      <w:bookmarkStart w:id="108" w:name="color-operation-functions"/>
      <w:bookmarkEnd w:id="108"/>
      <w:r>
        <w:t xml:space="preserve">Color Operation Functions</w:t>
      </w:r>
    </w:p>
    <w:p>
      <w:pPr>
        <w:numPr>
          <w:numId w:val="1114"/>
          <w:ilvl w:val="0"/>
        </w:numPr>
      </w:pPr>
      <w:hyperlink r:id="rId109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5"/>
          <w:ilvl w:val="1"/>
        </w:numPr>
      </w:pPr>
      <w:r>
        <w:t xml:space="preserve">saturate</w:t>
      </w:r>
    </w:p>
    <w:p>
      <w:pPr>
        <w:pStyle w:val="Compact"/>
        <w:numPr>
          <w:numId w:val="1115"/>
          <w:ilvl w:val="1"/>
        </w:numPr>
      </w:pPr>
      <w:r>
        <w:t xml:space="preserve">desaturate</w:t>
      </w:r>
    </w:p>
    <w:p>
      <w:pPr>
        <w:pStyle w:val="Compact"/>
        <w:numPr>
          <w:numId w:val="1115"/>
          <w:ilvl w:val="1"/>
        </w:numPr>
      </w:pPr>
      <w:r>
        <w:t xml:space="preserve">lighten</w:t>
      </w:r>
    </w:p>
    <w:p>
      <w:pPr>
        <w:pStyle w:val="Compact"/>
        <w:numPr>
          <w:numId w:val="1115"/>
          <w:ilvl w:val="1"/>
        </w:numPr>
      </w:pPr>
      <w:r>
        <w:t xml:space="preserve">darken</w:t>
      </w:r>
    </w:p>
    <w:p>
      <w:pPr>
        <w:pStyle w:val="Compact"/>
        <w:numPr>
          <w:numId w:val="1115"/>
          <w:ilvl w:val="1"/>
        </w:numPr>
      </w:pPr>
      <w:r>
        <w:t xml:space="preserve">fadein</w:t>
      </w:r>
    </w:p>
    <w:p>
      <w:pPr>
        <w:pStyle w:val="Compact"/>
        <w:numPr>
          <w:numId w:val="1115"/>
          <w:ilvl w:val="1"/>
        </w:numPr>
      </w:pPr>
      <w:r>
        <w:t xml:space="preserve">fadeout</w:t>
      </w:r>
    </w:p>
    <w:p>
      <w:pPr>
        <w:pStyle w:val="Compact"/>
        <w:numPr>
          <w:numId w:val="1115"/>
          <w:ilvl w:val="1"/>
        </w:numPr>
      </w:pPr>
      <w:r>
        <w:t xml:space="preserve">fade</w:t>
      </w:r>
    </w:p>
    <w:p>
      <w:pPr>
        <w:pStyle w:val="Compact"/>
        <w:numPr>
          <w:numId w:val="1115"/>
          <w:ilvl w:val="1"/>
        </w:numPr>
      </w:pPr>
      <w:r>
        <w:t xml:space="preserve">spin</w:t>
      </w:r>
    </w:p>
    <w:p>
      <w:pPr>
        <w:pStyle w:val="Compact"/>
        <w:numPr>
          <w:numId w:val="1115"/>
          <w:ilvl w:val="1"/>
        </w:numPr>
      </w:pPr>
      <w:r>
        <w:t xml:space="preserve">mix</w:t>
      </w:r>
    </w:p>
    <w:p>
      <w:pPr>
        <w:pStyle w:val="Compact"/>
        <w:numPr>
          <w:numId w:val="1115"/>
          <w:ilvl w:val="1"/>
        </w:numPr>
      </w:pPr>
      <w:r>
        <w:t xml:space="preserve">greyscale</w:t>
      </w:r>
    </w:p>
    <w:p>
      <w:pPr>
        <w:pStyle w:val="Compact"/>
        <w:numPr>
          <w:numId w:val="1115"/>
          <w:ilvl w:val="1"/>
        </w:numPr>
      </w:pPr>
      <w:r>
        <w:t xml:space="preserve">contrast</w:t>
      </w:r>
    </w:p>
    <w:p>
      <w:pPr>
        <w:pStyle w:val="Heading2"/>
      </w:pPr>
      <w:bookmarkStart w:id="110" w:name="color-blending-functions"/>
      <w:bookmarkEnd w:id="110"/>
      <w:r>
        <w:t xml:space="preserve">Color Blending Functions</w:t>
      </w:r>
    </w:p>
    <w:p>
      <w:pPr>
        <w:numPr>
          <w:numId w:val="1116"/>
          <w:ilvl w:val="0"/>
        </w:numPr>
      </w:pPr>
      <w:hyperlink r:id="rId111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7"/>
          <w:ilvl w:val="1"/>
        </w:numPr>
      </w:pPr>
      <w:r>
        <w:t xml:space="preserve">multiply</w:t>
      </w:r>
    </w:p>
    <w:p>
      <w:pPr>
        <w:pStyle w:val="Compact"/>
        <w:numPr>
          <w:numId w:val="1117"/>
          <w:ilvl w:val="1"/>
        </w:numPr>
      </w:pPr>
      <w:r>
        <w:t xml:space="preserve">screen</w:t>
      </w:r>
    </w:p>
    <w:p>
      <w:pPr>
        <w:pStyle w:val="Compact"/>
        <w:numPr>
          <w:numId w:val="1117"/>
          <w:ilvl w:val="1"/>
        </w:numPr>
      </w:pPr>
      <w:r>
        <w:t xml:space="preserve">overlay</w:t>
      </w:r>
    </w:p>
    <w:p>
      <w:pPr>
        <w:pStyle w:val="Compact"/>
        <w:numPr>
          <w:numId w:val="1117"/>
          <w:ilvl w:val="1"/>
        </w:numPr>
      </w:pPr>
      <w:r>
        <w:t xml:space="preserve">softlight</w:t>
      </w:r>
    </w:p>
    <w:p>
      <w:pPr>
        <w:pStyle w:val="Compact"/>
        <w:numPr>
          <w:numId w:val="1117"/>
          <w:ilvl w:val="1"/>
        </w:numPr>
      </w:pPr>
      <w:r>
        <w:t xml:space="preserve">hardlight</w:t>
      </w:r>
    </w:p>
    <w:p>
      <w:pPr>
        <w:pStyle w:val="Compact"/>
        <w:numPr>
          <w:numId w:val="1117"/>
          <w:ilvl w:val="1"/>
        </w:numPr>
      </w:pPr>
      <w:r>
        <w:t xml:space="preserve">difference</w:t>
      </w:r>
    </w:p>
    <w:p>
      <w:pPr>
        <w:pStyle w:val="Compact"/>
        <w:numPr>
          <w:numId w:val="1117"/>
          <w:ilvl w:val="1"/>
        </w:numPr>
      </w:pPr>
      <w:r>
        <w:t xml:space="preserve">exclusion</w:t>
      </w:r>
    </w:p>
    <w:p>
      <w:pPr>
        <w:pStyle w:val="Compact"/>
        <w:numPr>
          <w:numId w:val="1117"/>
          <w:ilvl w:val="1"/>
        </w:numPr>
      </w:pPr>
      <w:r>
        <w:t xml:space="preserve">average</w:t>
      </w:r>
    </w:p>
    <w:p>
      <w:pPr>
        <w:pStyle w:val="Compact"/>
        <w:numPr>
          <w:numId w:val="1117"/>
          <w:ilvl w:val="1"/>
        </w:numPr>
      </w:pPr>
      <w:r>
        <w:t xml:space="preserve">negation</w:t>
      </w:r>
    </w:p>
    <w:p>
      <w:pPr>
        <w:pStyle w:val="Heading1"/>
      </w:pPr>
      <w:bookmarkStart w:id="112" w:name="acerca-de"/>
      <w:bookmarkEnd w:id="112"/>
      <w:r>
        <w:t xml:space="preserve">Acerca de</w:t>
      </w:r>
    </w:p>
    <w:p>
      <w:pPr>
        <w:pStyle w:val="Heading2"/>
      </w:pPr>
      <w:bookmarkStart w:id="113" w:name="licencia"/>
      <w:bookmarkEnd w:id="11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1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5" w:name="fuentes"/>
      <w:bookmarkEnd w:id="11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16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Ejercicios:</w:t>
      </w:r>
    </w:p>
    <w:p>
      <w:pPr>
        <w:pStyle w:val="Compact"/>
        <w:numPr>
          <w:numId w:val="1123"/>
          <w:ilvl w:val="1"/>
        </w:numPr>
      </w:pPr>
      <w:hyperlink r:id="rId117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118" w:name="bibliografía"/>
      <w:bookmarkEnd w:id="11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5"/>
          <w:ilvl w:val="1"/>
        </w:numPr>
      </w:pPr>
      <w:hyperlink r:id="rId119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0682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6bed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6/tree/master/04-preprocesadores-css/04.01-less/slides" TargetMode="External" /><Relationship Type="http://schemas.openxmlformats.org/officeDocument/2006/relationships/hyperlink" Id="rId117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6/tree/master/04-preprocesadores-css/04.01-less/slides" TargetMode="External" /><Relationship Type="http://schemas.openxmlformats.org/officeDocument/2006/relationships/hyperlink" Id="rId117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