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2880"/>
        <w:gridCol w:w="2880"/>
        <w:gridCol w:w="2880"/>
      </w:tblGrid>
      <w:tr>
        <w:tc>
          <w:tcPr>
            <w:tcW w:type="dxa" w:w="2880"/>
          </w:tcPr>
          <w:p>
            <w:pPr>
              <w:jc w:val="left"/>
            </w:pPr>
            <w:r>
              <w:drawing>
                <wp:inline xmlns:a="http://schemas.openxmlformats.org/drawingml/2006/main" xmlns:pic="http://schemas.openxmlformats.org/drawingml/2006/picture">
                  <wp:extent cx="1234440" cy="963800"/>
                  <wp:docPr id="1" name="Picture 1"/>
                  <wp:cNvGraphicFramePr>
                    <a:graphicFrameLocks noChangeAspect="1"/>
                  </wp:cNvGraphicFramePr>
                  <a:graphic>
                    <a:graphicData uri="http://schemas.openxmlformats.org/drawingml/2006/picture">
                      <pic:pic>
                        <pic:nvPicPr>
                          <pic:cNvPr id="0" name="LogoUGcolor.png"/>
                          <pic:cNvPicPr/>
                        </pic:nvPicPr>
                        <pic:blipFill>
                          <a:blip r:embed="rId9"/>
                          <a:stretch>
                            <a:fillRect/>
                          </a:stretch>
                        </pic:blipFill>
                        <pic:spPr>
                          <a:xfrm>
                            <a:off x="0" y="0"/>
                            <a:ext cx="1234440" cy="963800"/>
                          </a:xfrm>
                          <a:prstGeom prst="rect"/>
                        </pic:spPr>
                      </pic:pic>
                    </a:graphicData>
                  </a:graphic>
                </wp:inline>
              </w:drawing>
            </w:r>
          </w:p>
        </w:tc>
        <w:tc>
          <w:tcPr>
            <w:tcW w:type="dxa" w:w="2880"/>
          </w:tcPr>
          <w:p/>
        </w:tc>
        <w:tc>
          <w:tcPr>
            <w:tcW w:type="dxa" w:w="2880"/>
          </w:tcPr>
          <w:p>
            <w:pPr>
              <w:jc w:val="right"/>
            </w:pPr>
            <w:r>
              <w:drawing>
                <wp:inline xmlns:a="http://schemas.openxmlformats.org/drawingml/2006/main" xmlns:pic="http://schemas.openxmlformats.org/drawingml/2006/picture">
                  <wp:extent cx="1005840" cy="1005840"/>
                  <wp:docPr id="2" name="Picture 2"/>
                  <wp:cNvGraphicFramePr>
                    <a:graphicFrameLocks noChangeAspect="1"/>
                  </wp:cNvGraphicFramePr>
                  <a:graphic>
                    <a:graphicData uri="http://schemas.openxmlformats.org/drawingml/2006/picture">
                      <pic:pic>
                        <pic:nvPicPr>
                          <pic:cNvPr id="0" name="industrial.png"/>
                          <pic:cNvPicPr/>
                        </pic:nvPicPr>
                        <pic:blipFill>
                          <a:blip r:embed="rId10"/>
                          <a:stretch>
                            <a:fillRect/>
                          </a:stretch>
                        </pic:blipFill>
                        <pic:spPr>
                          <a:xfrm>
                            <a:off x="0" y="0"/>
                            <a:ext cx="1005840" cy="1005840"/>
                          </a:xfrm>
                          <a:prstGeom prst="rect"/>
                        </pic:spPr>
                      </pic:pic>
                    </a:graphicData>
                  </a:graphic>
                </wp:inline>
              </w:drawing>
            </w:r>
          </w:p>
        </w:tc>
      </w:tr>
    </w:tbl>
    <w:p/>
    <w:p>
      <w:pPr>
        <w:jc w:val="center"/>
      </w:pPr>
      <w:r>
        <w:rPr>
          <w:b/>
          <w:sz w:val="32"/>
        </w:rPr>
        <w:t>Universidad de Guayaquil</w:t>
      </w:r>
    </w:p>
    <w:p>
      <w:pPr>
        <w:jc w:val="center"/>
      </w:pPr>
      <w:r>
        <w:rPr>
          <w:b w:val="0"/>
          <w:sz w:val="24"/>
        </w:rPr>
        <w:t>Ingeniería en Telemática</w:t>
      </w:r>
    </w:p>
    <w:p/>
    <w:p>
      <w:pPr>
        <w:jc w:val="center"/>
      </w:pPr>
      <w:r>
        <w:rPr>
          <w:b/>
          <w:sz w:val="30"/>
        </w:rPr>
        <w:t>Programa de Control y Administración de Producción de Llenado de Productos Secos orientado a RTOS</w:t>
      </w:r>
    </w:p>
    <w:p/>
    <w:p>
      <w:pPr>
        <w:jc w:val="center"/>
      </w:pPr>
      <w:r>
        <w:rPr>
          <w:b w:val="0"/>
          <w:sz w:val="24"/>
        </w:rPr>
        <w:t>Materia: Sistemas Operativos</w:t>
      </w:r>
    </w:p>
    <w:p>
      <w:pPr>
        <w:jc w:val="center"/>
      </w:pPr>
      <w:r>
        <w:rPr>
          <w:b w:val="0"/>
          <w:sz w:val="24"/>
        </w:rPr>
        <w:t>Docente: Ing. Freddy Pincay, Mgs.</w:t>
      </w:r>
    </w:p>
    <w:p>
      <w:pPr>
        <w:jc w:val="center"/>
      </w:pPr>
      <w:r>
        <w:rPr>
          <w:b w:val="0"/>
          <w:sz w:val="24"/>
        </w:rPr>
        <w:t>Período 2026-2027 · Ciclo I · Parcial 2</w:t>
      </w:r>
    </w:p>
    <w:p/>
    <w:p>
      <w:pPr>
        <w:jc w:val="center"/>
      </w:pPr>
      <w:r>
        <w:rPr>
          <w:b/>
          <w:sz w:val="24"/>
        </w:rPr>
        <w:t>Integrante:</w:t>
      </w:r>
    </w:p>
    <w:p>
      <w:pPr>
        <w:jc w:val="center"/>
      </w:pPr>
      <w:r>
        <w:rPr>
          <w:b w:val="0"/>
          <w:sz w:val="24"/>
        </w:rPr>
        <w:t>Adrián Ariel Damián Vallejo</w:t>
      </w:r>
    </w:p>
    <w:p/>
    <w:p>
      <w:pPr>
        <w:jc w:val="center"/>
      </w:pPr>
      <w:r>
        <w:rPr>
          <w:b w:val="0"/>
          <w:sz w:val="24"/>
        </w:rPr>
        <w:t>6 de julio de 2026</w:t>
      </w:r>
    </w:p>
    <w:p>
      <w:r>
        <w:br w:type="page"/>
      </w:r>
    </w:p>
    <w:p>
      <w:pPr>
        <w:pStyle w:val="Heading1"/>
      </w:pPr>
      <w:r>
        <w:t>Índice</w:t>
      </w:r>
    </w:p>
    <w:p>
      <w:r>
        <w:fldChar w:fldCharType="begin"/>
        <w:instrText xml:space="preserve">TOC \o "1-2" \h \z \u</w:instrText>
        <w:fldChar w:fldCharType="separate"/>
        <w:t>Índice: clic derecho → Actualizar campo.</w:t>
        <w:fldChar w:fldCharType="end"/>
      </w:r>
    </w:p>
    <w:p>
      <w:r>
        <w:br w:type="page"/>
      </w:r>
    </w:p>
    <w:p>
      <w:pPr>
        <w:pStyle w:val="Heading1"/>
      </w:pPr>
      <w:r>
        <w:t>1. Levantamiento de requisitos y análisis</w:t>
      </w:r>
    </w:p>
    <w:p>
      <w:pPr>
        <w:pStyle w:val="Heading2"/>
      </w:pPr>
      <w:r>
        <w:t>1.1 El problema y el alcance</w:t>
      </w:r>
    </w:p>
    <w:p>
      <w:r>
        <w:t>La idea del proyecto es controlar una máquina que llena fundas de productos secos, en nuestro caso maní y pasas, en presentaciones de 25 y 50 gramos, y que se producen por lotes de 50 o 100 unidades según el pedido. Cuando empezamos a analizar el problema nos dimos cuenta de que en realidad son dos sistemas en uno: por un lado está la máquina, que tiene que pesar y cerrar la válvula en el momento justo (ahí es donde entra el tiempo real), y por otro lado está la parte administrativa de siempre: órdenes de producción, inventario, usuarios y reportes.</w:t>
      </w:r>
    </w:p>
    <w:p>
      <w:r>
        <w:t>Por eso decidimos partir el sistema en dos programas que se comunican por MQTT: un firmware que corre sobre FreeRTOS en un ESP32 (emulado en Wokwi porque no tenemos la máquina física) y un backend web en Python que lleva la administración y guarda todo en una base de datos PostgreSQL.</w:t>
      </w:r>
    </w:p>
    <w:p>
      <w:pPr>
        <w:pStyle w:val="Heading2"/>
      </w:pPr>
      <w:r>
        <w:t>1.2 Requisitos funcionales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Código</w:t>
            </w:r>
          </w:p>
        </w:tc>
        <w:tc>
          <w:tcPr>
            <w:tcW w:type="dxa" w:w="2880"/>
          </w:tcPr>
          <w:p>
            <w:r>
              <w:t>Requisito</w:t>
            </w:r>
          </w:p>
        </w:tc>
        <w:tc>
          <w:tcPr>
            <w:tcW w:type="dxa" w:w="2880"/>
          </w:tcPr>
          <w:p>
            <w:r>
              <w:t>Dónde se cumple</w:t>
            </w:r>
          </w:p>
        </w:tc>
      </w:tr>
      <w:tr>
        <w:tc>
          <w:tcPr>
            <w:tcW w:type="dxa" w:w="2880"/>
          </w:tcPr>
          <w:p>
            <w:r>
              <w:t>RF-01</w:t>
            </w:r>
          </w:p>
        </w:tc>
        <w:tc>
          <w:tcPr>
            <w:tcW w:type="dxa" w:w="2880"/>
          </w:tcPr>
          <w:p>
            <w:r>
              <w:t>Iniciar y detener ciclos de llenado</w:t>
            </w:r>
          </w:p>
        </w:tc>
        <w:tc>
          <w:tcPr>
            <w:tcW w:type="dxa" w:w="2880"/>
          </w:tcPr>
          <w:p>
            <w:r>
              <w:t>Botones físicos y web (cmd MQTT)</w:t>
            </w:r>
          </w:p>
        </w:tc>
      </w:tr>
      <w:tr>
        <w:tc>
          <w:tcPr>
            <w:tcW w:type="dxa" w:w="2880"/>
          </w:tcPr>
          <w:p>
            <w:r>
              <w:t>RF-02</w:t>
            </w:r>
          </w:p>
        </w:tc>
        <w:tc>
          <w:tcPr>
            <w:tcW w:type="dxa" w:w="2880"/>
          </w:tcPr>
          <w:p>
            <w:r>
              <w:t>Seleccionar producto y presentación (25/50 g)</w:t>
            </w:r>
          </w:p>
        </w:tc>
        <w:tc>
          <w:tcPr>
            <w:tcW w:type="dxa" w:w="2880"/>
          </w:tcPr>
          <w:p>
            <w:r>
              <w:t>Formulario de órdenes</w:t>
            </w:r>
          </w:p>
        </w:tc>
      </w:tr>
      <w:tr>
        <w:tc>
          <w:tcPr>
            <w:tcW w:type="dxa" w:w="2880"/>
          </w:tcPr>
          <w:p>
            <w:r>
              <w:t>RF-03</w:t>
            </w:r>
          </w:p>
        </w:tc>
        <w:tc>
          <w:tcPr>
            <w:tcW w:type="dxa" w:w="2880"/>
          </w:tcPr>
          <w:p>
            <w:r>
              <w:t>Abrir/cerrar la válvula automáticamente</w:t>
            </w:r>
          </w:p>
        </w:tc>
        <w:tc>
          <w:tcPr>
            <w:tcW w:type="dxa" w:w="2880"/>
          </w:tcPr>
          <w:p>
            <w:r>
              <w:t>Tarea de control (FSM)</w:t>
            </w:r>
          </w:p>
        </w:tc>
      </w:tr>
      <w:tr>
        <w:tc>
          <w:tcPr>
            <w:tcW w:type="dxa" w:w="2880"/>
          </w:tcPr>
          <w:p>
            <w:r>
              <w:t>RF-04</w:t>
            </w:r>
          </w:p>
        </w:tc>
        <w:tc>
          <w:tcPr>
            <w:tcW w:type="dxa" w:w="2880"/>
          </w:tcPr>
          <w:p>
            <w:r>
              <w:t>Validar peso objetivo ± tolerancia (0.6 g)</w:t>
            </w:r>
          </w:p>
        </w:tc>
        <w:tc>
          <w:tcPr>
            <w:tcW w:type="dxa" w:w="2880"/>
          </w:tcPr>
          <w:p>
            <w:r>
              <w:t>Estado VALIDANDO de la FSM</w:t>
            </w:r>
          </w:p>
        </w:tc>
      </w:tr>
      <w:tr>
        <w:tc>
          <w:tcPr>
            <w:tcW w:type="dxa" w:w="2880"/>
          </w:tcPr>
          <w:p>
            <w:r>
              <w:t>RF-05</w:t>
            </w:r>
          </w:p>
        </w:tc>
        <w:tc>
          <w:tcPr>
            <w:tcW w:type="dxa" w:w="2880"/>
          </w:tcPr>
          <w:p>
            <w:r>
              <w:t>Registrar cada funda llenada (trazabilidad)</w:t>
            </w:r>
          </w:p>
        </w:tc>
        <w:tc>
          <w:tcPr>
            <w:tcW w:type="dxa" w:w="2880"/>
          </w:tcPr>
          <w:p>
            <w:r>
              <w:t>Tabla historico_produccion</w:t>
            </w:r>
          </w:p>
        </w:tc>
      </w:tr>
      <w:tr>
        <w:tc>
          <w:tcPr>
            <w:tcW w:type="dxa" w:w="2880"/>
          </w:tcPr>
          <w:p>
            <w:r>
              <w:t>RF-06</w:t>
            </w:r>
          </w:p>
        </w:tc>
        <w:tc>
          <w:tcPr>
            <w:tcW w:type="dxa" w:w="2880"/>
          </w:tcPr>
          <w:p>
            <w:r>
              <w:t>Gestionar órdenes con estados</w:t>
            </w:r>
          </w:p>
        </w:tc>
        <w:tc>
          <w:tcPr>
            <w:tcW w:type="dxa" w:w="2880"/>
          </w:tcPr>
          <w:p>
            <w:r>
              <w:t>pendiente → en_proceso → completada</w:t>
            </w:r>
          </w:p>
        </w:tc>
      </w:tr>
      <w:tr>
        <w:tc>
          <w:tcPr>
            <w:tcW w:type="dxa" w:w="2880"/>
          </w:tcPr>
          <w:p>
            <w:r>
              <w:t>RF-07</w:t>
            </w:r>
          </w:p>
        </w:tc>
        <w:tc>
          <w:tcPr>
            <w:tcW w:type="dxa" w:w="2880"/>
          </w:tcPr>
          <w:p>
            <w:r>
              <w:t>Controlar inventario de materias primas</w:t>
            </w:r>
          </w:p>
        </w:tc>
        <w:tc>
          <w:tcPr>
            <w:tcW w:type="dxa" w:w="2880"/>
          </w:tcPr>
          <w:p>
            <w:r>
              <w:t>Descuento automático por unidad OK</w:t>
            </w:r>
          </w:p>
        </w:tc>
      </w:tr>
      <w:tr>
        <w:tc>
          <w:tcPr>
            <w:tcW w:type="dxa" w:w="2880"/>
          </w:tcPr>
          <w:p>
            <w:r>
              <w:t>RF-08</w:t>
            </w:r>
          </w:p>
        </w:tc>
        <w:tc>
          <w:tcPr>
            <w:tcW w:type="dxa" w:w="2880"/>
          </w:tcPr>
          <w:p>
            <w:r>
              <w:t>Generar reportes y exportarlos</w:t>
            </w:r>
          </w:p>
        </w:tc>
        <w:tc>
          <w:tcPr>
            <w:tcW w:type="dxa" w:w="2880"/>
          </w:tcPr>
          <w:p>
            <w:r>
              <w:t>Módulo de reportes + CSV</w:t>
            </w:r>
          </w:p>
        </w:tc>
      </w:tr>
      <w:tr>
        <w:tc>
          <w:tcPr>
            <w:tcW w:type="dxa" w:w="2880"/>
          </w:tcPr>
          <w:p>
            <w:r>
              <w:t>RF-09</w:t>
            </w:r>
          </w:p>
        </w:tc>
        <w:tc>
          <w:tcPr>
            <w:tcW w:type="dxa" w:w="2880"/>
          </w:tcPr>
          <w:p>
            <w:r>
              <w:t>Usuarios con roles</w:t>
            </w:r>
          </w:p>
        </w:tc>
        <w:tc>
          <w:tcPr>
            <w:tcW w:type="dxa" w:w="2880"/>
          </w:tcPr>
          <w:p>
            <w:r>
              <w:t>operador / supervisor / gerente</w:t>
            </w:r>
          </w:p>
        </w:tc>
      </w:tr>
      <w:tr>
        <w:tc>
          <w:tcPr>
            <w:tcW w:type="dxa" w:w="2880"/>
          </w:tcPr>
          <w:p>
            <w:r>
              <w:t>RF-10</w:t>
            </w:r>
          </w:p>
        </w:tc>
        <w:tc>
          <w:tcPr>
            <w:tcW w:type="dxa" w:w="2880"/>
          </w:tcPr>
          <w:p>
            <w:r>
              <w:t>Monitoreo en tiempo real para el operador</w:t>
            </w:r>
          </w:p>
        </w:tc>
        <w:tc>
          <w:tcPr>
            <w:tcW w:type="dxa" w:w="2880"/>
          </w:tcPr>
          <w:p>
            <w:r>
              <w:t>Panel web (Socket.IO) y LCD</w:t>
            </w:r>
          </w:p>
        </w:tc>
      </w:tr>
    </w:tbl>
    <w:p/>
    <w:p>
      <w:pPr>
        <w:pStyle w:val="Heading2"/>
      </w:pPr>
      <w:r>
        <w:t>1.3 Requisitos no funcionales</w:t>
      </w:r>
    </w:p>
    <w:p>
      <w:pPr>
        <w:pStyle w:val="ListBullet"/>
      </w:pPr>
      <w:r>
        <w:t>Rendimiento: el sistema debe aguantar hasta 50 órdenes de producción por día. Con lo que medimos (una unidad cada ~2 segundos) sobra capacidad de procesamiento.</w:t>
      </w:r>
    </w:p>
    <w:p>
      <w:pPr>
        <w:pStyle w:val="ListBullet"/>
      </w:pPr>
      <w:r>
        <w:t>Determinismo: el lazo báscula → control → válvula tiene que responder en tiempo acotado. El periodo de control es de 25 ms y el peor ciclo que medimos fue de 3.9 ms, o sea que siempre llega a tiempo.</w:t>
      </w:r>
    </w:p>
    <w:p>
      <w:pPr>
        <w:pStyle w:val="ListBullet"/>
      </w:pPr>
      <w:r>
        <w:t>Seguridad: acceso con usuario y clave (hash), y cada rol ve solo lo que le corresponde.</w:t>
      </w:r>
    </w:p>
    <w:p>
      <w:pPr>
        <w:pStyle w:val="ListBullet"/>
      </w:pPr>
      <w:r>
        <w:t>Usabilidad: el operador solo necesita dos botones en la máquina y un panel web que se entiende de un vistazo.</w:t>
      </w:r>
    </w:p>
    <w:p>
      <w:pPr>
        <w:pStyle w:val="ListBullet"/>
      </w:pPr>
      <w:r>
        <w:t>Disponibilidad: si el broker MQTT se cae, la máquina sigue produciendo sola; la telemetría se descarta y no bloquea el control.</w:t>
      </w:r>
    </w:p>
    <w:p>
      <w:pPr>
        <w:pStyle w:val="Heading2"/>
      </w:pPr>
      <w:r>
        <w:t>1.4 Riesgos que identificamos</w:t>
      </w:r>
    </w:p>
    <w:p>
      <w:pPr>
        <w:pStyle w:val="ListBullet"/>
      </w:pPr>
      <w:r>
        <w:t>No tenemos hardware real: lo resolvimos emulando todo en Wokwi, que trae el sensor HX711 con celda de carga incluida.</w:t>
      </w:r>
    </w:p>
    <w:p>
      <w:pPr>
        <w:pStyle w:val="ListBullet"/>
      </w:pPr>
      <w:r>
        <w:t>El broker MQTT es público (broker.hivemq.com), así que puede tener latencia o caerse. Como la lógica de control vive en el ESP32, esto no afecta el llenado, solo el monitoreo.</w:t>
      </w:r>
    </w:p>
    <w:p>
      <w:pPr>
        <w:pStyle w:val="ListBullet"/>
      </w:pPr>
      <w:r>
        <w:t>El plan gratuito de Wokwi CI corta cada simulación a los 5 minutos; para demos largas usamos la extensión de VS Code.</w:t>
      </w:r>
    </w:p>
    <w:p>
      <w:pPr>
        <w:pStyle w:val="ListBullet"/>
      </w:pPr>
      <w:r>
        <w:t>La calibración de la báscula se puede desajustar; dejamos el factor de escala como constante configurable y documentamos cómo recalibrar.</w:t>
      </w:r>
    </w:p>
    <w:p>
      <w:pPr>
        <w:pStyle w:val="Heading1"/>
      </w:pPr>
      <w:r>
        <w:t>2. Diseño del sistema</w:t>
      </w:r>
    </w:p>
    <w:p>
      <w:pPr>
        <w:pStyle w:val="Heading2"/>
      </w:pPr>
      <w:r>
        <w:t>2.1 Base de datos</w:t>
      </w:r>
    </w:p>
    <w:p>
      <w:r>
        <w:t>Usamos las seis tablas que pide el proyecto, normalizadas y con sus claves foráneas y restricciones CHECK (por ejemplo, la presentación solo puede ser 25 o 50 y el stock no puede quedar negativo). El script completo está en db/esquema.sql del repositorio.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Tabla</w:t>
            </w:r>
          </w:p>
        </w:tc>
        <w:tc>
          <w:tcPr>
            <w:tcW w:type="dxa" w:w="2880"/>
          </w:tcPr>
          <w:p>
            <w:r>
              <w:t>Qué guarda</w:t>
            </w:r>
          </w:p>
        </w:tc>
        <w:tc>
          <w:tcPr>
            <w:tcW w:type="dxa" w:w="2880"/>
          </w:tcPr>
          <w:p>
            <w:r>
              <w:t>Campos principales</w:t>
            </w:r>
          </w:p>
        </w:tc>
      </w:tr>
      <w:tr>
        <w:tc>
          <w:tcPr>
            <w:tcW w:type="dxa" w:w="2880"/>
          </w:tcPr>
          <w:p>
            <w:r>
              <w:t>productos</w:t>
            </w:r>
          </w:p>
        </w:tc>
        <w:tc>
          <w:tcPr>
            <w:tcW w:type="dxa" w:w="2880"/>
          </w:tcPr>
          <w:p>
            <w:r>
              <w:t>Catálogo</w:t>
            </w:r>
          </w:p>
        </w:tc>
        <w:tc>
          <w:tcPr>
            <w:tcW w:type="dxa" w:w="2880"/>
          </w:tcPr>
          <w:p>
            <w:r>
              <w:t>nombre, presentacion_gr (25/50)</w:t>
            </w:r>
          </w:p>
        </w:tc>
      </w:tr>
      <w:tr>
        <w:tc>
          <w:tcPr>
            <w:tcW w:type="dxa" w:w="2880"/>
          </w:tcPr>
          <w:p>
            <w:r>
              <w:t>ordenes_produccion</w:t>
            </w:r>
          </w:p>
        </w:tc>
        <w:tc>
          <w:tcPr>
            <w:tcW w:type="dxa" w:w="2880"/>
          </w:tcPr>
          <w:p>
            <w:r>
              <w:t>Pedidos</w:t>
            </w:r>
          </w:p>
        </w:tc>
        <w:tc>
          <w:tcPr>
            <w:tcW w:type="dxa" w:w="2880"/>
          </w:tcPr>
          <w:p>
            <w:r>
              <w:t>producto, tam_lote, cantidad, estado, operador</w:t>
            </w:r>
          </w:p>
        </w:tc>
      </w:tr>
      <w:tr>
        <w:tc>
          <w:tcPr>
            <w:tcW w:type="dxa" w:w="2880"/>
          </w:tcPr>
          <w:p>
            <w:r>
              <w:t>lotes</w:t>
            </w:r>
          </w:p>
        </w:tc>
        <w:tc>
          <w:tcPr>
            <w:tcW w:type="dxa" w:w="2880"/>
          </w:tcPr>
          <w:p>
            <w:r>
              <w:t>Lotes producidos</w:t>
            </w:r>
          </w:p>
        </w:tc>
        <w:tc>
          <w:tcPr>
            <w:tcW w:type="dxa" w:w="2880"/>
          </w:tcPr>
          <w:p>
            <w:r>
              <w:t>numero_lote, fechas de producción y caducidad (+180 días), producidas, rechazadas</w:t>
            </w:r>
          </w:p>
        </w:tc>
      </w:tr>
      <w:tr>
        <w:tc>
          <w:tcPr>
            <w:tcW w:type="dxa" w:w="2880"/>
          </w:tcPr>
          <w:p>
            <w:r>
              <w:t>inventario_materias_primas</w:t>
            </w:r>
          </w:p>
        </w:tc>
        <w:tc>
          <w:tcPr>
            <w:tcW w:type="dxa" w:w="2880"/>
          </w:tcPr>
          <w:p>
            <w:r>
              <w:t>Stock</w:t>
            </w:r>
          </w:p>
        </w:tc>
        <w:tc>
          <w:tcPr>
            <w:tcW w:type="dxa" w:w="2880"/>
          </w:tcPr>
          <w:p>
            <w:r>
              <w:t>materia_prima, cantidad_disponible, unidad</w:t>
            </w:r>
          </w:p>
        </w:tc>
      </w:tr>
      <w:tr>
        <w:tc>
          <w:tcPr>
            <w:tcW w:type="dxa" w:w="2880"/>
          </w:tcPr>
          <w:p>
            <w:r>
              <w:t>historico_produccion</w:t>
            </w:r>
          </w:p>
        </w:tc>
        <w:tc>
          <w:tcPr>
            <w:tcW w:type="dxa" w:w="2880"/>
          </w:tcPr>
          <w:p>
            <w:r>
              <w:t>Una fila por funda</w:t>
            </w:r>
          </w:p>
        </w:tc>
        <w:tc>
          <w:tcPr>
            <w:tcW w:type="dxa" w:w="2880"/>
          </w:tcPr>
          <w:p>
            <w:r>
              <w:t>lote, peso_real, ok, fecha_hora, operador</w:t>
            </w:r>
          </w:p>
        </w:tc>
      </w:tr>
      <w:tr>
        <w:tc>
          <w:tcPr>
            <w:tcW w:type="dxa" w:w="2880"/>
          </w:tcPr>
          <w:p>
            <w:r>
              <w:t>usuarios</w:t>
            </w:r>
          </w:p>
        </w:tc>
        <w:tc>
          <w:tcPr>
            <w:tcW w:type="dxa" w:w="2880"/>
          </w:tcPr>
          <w:p>
            <w:r>
              <w:t>Acceso</w:t>
            </w:r>
          </w:p>
        </w:tc>
        <w:tc>
          <w:tcPr>
            <w:tcW w:type="dxa" w:w="2880"/>
          </w:tcPr>
          <w:p>
            <w:r>
              <w:t>usuario, clave_hash, rol</w:t>
            </w:r>
          </w:p>
        </w:tc>
      </w:tr>
    </w:tbl>
    <w:p/>
    <w:p>
      <w:pPr>
        <w:pStyle w:val="Heading2"/>
      </w:pPr>
      <w:r>
        <w:t>2.2 Arquitectura</w:t>
      </w:r>
    </w:p>
    <w:p>
      <w:r>
        <w:t>La arquitectura es hexagonal (puertos y adaptadores) pero sin carpetas anidadas: el dominio (las reglas del negocio, como validar el peso o calcular el consumo de materia prima) no sabe nada de MQTT, de la base de datos ni de FreeRTOS. Todo lo externo son adaptadores que se conectan por interfaces bien definidas.</w:t>
      </w:r>
    </w:p>
    <w:p>
      <w:r>
        <w:t>Algo que nos pareció interesante explicar: FreeRTOS no aparece como una "capa" del diagrama, porque no lo es. Es el motor que ejecuta cada adaptador y el núcleo como tareas concurrentes con prioridades. Y hay una inversión curiosa: en la arquitectura la HMI "manda" (es quien dispara los casos de uso), pero en el firmware corre con la prioridad más baja, porque el humano tolera latencia y el lazo de control no.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Tarea FreeRTOS</w:t>
            </w:r>
          </w:p>
        </w:tc>
        <w:tc>
          <w:tcPr>
            <w:tcW w:type="dxa" w:w="2160"/>
          </w:tcPr>
          <w:p>
            <w:r>
              <w:t>Rol</w:t>
            </w:r>
          </w:p>
        </w:tc>
        <w:tc>
          <w:tcPr>
            <w:tcW w:type="dxa" w:w="2160"/>
          </w:tcPr>
          <w:p>
            <w:r>
              <w:t>Prioridad</w:t>
            </w:r>
          </w:p>
        </w:tc>
        <w:tc>
          <w:tcPr>
            <w:tcW w:type="dxa" w:w="2160"/>
          </w:tcPr>
          <w:p>
            <w:r>
              <w:t>Disparo</w:t>
            </w:r>
          </w:p>
        </w:tc>
      </w:tr>
      <w:tr>
        <w:tc>
          <w:tcPr>
            <w:tcW w:type="dxa" w:w="2160"/>
          </w:tcPr>
          <w:p>
            <w:r>
              <w:t>tarea_control</w:t>
            </w:r>
          </w:p>
        </w:tc>
        <w:tc>
          <w:tcPr>
            <w:tcW w:type="dxa" w:w="2160"/>
          </w:tcPr>
          <w:p>
            <w:r>
              <w:t>Núcleo: FSM y validación</w:t>
            </w:r>
          </w:p>
        </w:tc>
        <w:tc>
          <w:tcPr>
            <w:tcW w:type="dxa" w:w="2160"/>
          </w:tcPr>
          <w:p>
            <w:r>
              <w:t>5 (máx.)</w:t>
            </w:r>
          </w:p>
        </w:tc>
        <w:tc>
          <w:tcPr>
            <w:tcW w:type="dxa" w:w="2160"/>
          </w:tcPr>
          <w:p>
            <w:r>
              <w:t>ciclo de 25 ms</w:t>
            </w:r>
          </w:p>
        </w:tc>
      </w:tr>
      <w:tr>
        <w:tc>
          <w:tcPr>
            <w:tcW w:type="dxa" w:w="2160"/>
          </w:tcPr>
          <w:p>
            <w:r>
              <w:t>tarea_bascula</w:t>
            </w:r>
          </w:p>
        </w:tc>
        <w:tc>
          <w:tcPr>
            <w:tcW w:type="dxa" w:w="2160"/>
          </w:tcPr>
          <w:p>
            <w:r>
              <w:t>Adaptador sensor HX711</w:t>
            </w:r>
          </w:p>
        </w:tc>
        <w:tc>
          <w:tcPr>
            <w:tcW w:type="dxa" w:w="2160"/>
          </w:tcPr>
          <w:p>
            <w:r>
              <w:t>4</w:t>
            </w:r>
          </w:p>
        </w:tc>
        <w:tc>
          <w:tcPr>
            <w:tcW w:type="dxa" w:w="2160"/>
          </w:tcPr>
          <w:p>
            <w:r>
              <w:t>periódica, 50 ms</w:t>
            </w:r>
          </w:p>
        </w:tc>
      </w:tr>
      <w:tr>
        <w:tc>
          <w:tcPr>
            <w:tcW w:type="dxa" w:w="2160"/>
          </w:tcPr>
          <w:p>
            <w:r>
              <w:t>tarea_valvula</w:t>
            </w:r>
          </w:p>
        </w:tc>
        <w:tc>
          <w:tcPr>
            <w:tcW w:type="dxa" w:w="2160"/>
          </w:tcPr>
          <w:p>
            <w:r>
              <w:t>Adaptador actuador (relé)</w:t>
            </w:r>
          </w:p>
        </w:tc>
        <w:tc>
          <w:tcPr>
            <w:tcW w:type="dxa" w:w="2160"/>
          </w:tcPr>
          <w:p>
            <w:r>
              <w:t>4</w:t>
            </w:r>
          </w:p>
        </w:tc>
        <w:tc>
          <w:tcPr>
            <w:tcW w:type="dxa" w:w="2160"/>
          </w:tcPr>
          <w:p>
            <w:r>
              <w:t>por evento (cola)</w:t>
            </w:r>
          </w:p>
        </w:tc>
      </w:tr>
      <w:tr>
        <w:tc>
          <w:tcPr>
            <w:tcW w:type="dxa" w:w="2160"/>
          </w:tcPr>
          <w:p>
            <w:r>
              <w:t>tarea_alarmas</w:t>
            </w:r>
          </w:p>
        </w:tc>
        <w:tc>
          <w:tcPr>
            <w:tcW w:type="dxa" w:w="2160"/>
          </w:tcPr>
          <w:p>
            <w:r>
              <w:t>Vigilancia de tolerancia y fallos</w:t>
            </w:r>
          </w:p>
        </w:tc>
        <w:tc>
          <w:tcPr>
            <w:tcW w:type="dxa" w:w="2160"/>
          </w:tcPr>
          <w:p>
            <w:r>
              <w:t>3</w:t>
            </w:r>
          </w:p>
        </w:tc>
        <w:tc>
          <w:tcPr>
            <w:tcW w:type="dxa" w:w="2160"/>
          </w:tcPr>
          <w:p>
            <w:r>
              <w:t>event group</w:t>
            </w:r>
          </w:p>
        </w:tc>
      </w:tr>
      <w:tr>
        <w:tc>
          <w:tcPr>
            <w:tcW w:type="dxa" w:w="2160"/>
          </w:tcPr>
          <w:p>
            <w:r>
              <w:t>tarea_mqtt</w:t>
            </w:r>
          </w:p>
        </w:tc>
        <w:tc>
          <w:tcPr>
            <w:tcW w:type="dxa" w:w="2160"/>
          </w:tcPr>
          <w:p>
            <w:r>
              <w:t>Telemetría hacia el backend</w:t>
            </w:r>
          </w:p>
        </w:tc>
        <w:tc>
          <w:tcPr>
            <w:tcW w:type="dxa" w:w="2160"/>
          </w:tcPr>
          <w:p>
            <w:r>
              <w:t>2</w:t>
            </w:r>
          </w:p>
        </w:tc>
        <w:tc>
          <w:tcPr>
            <w:tcW w:type="dxa" w:w="2160"/>
          </w:tcPr>
          <w:p>
            <w:r>
              <w:t>cola + 500 ms</w:t>
            </w:r>
          </w:p>
        </w:tc>
      </w:tr>
      <w:tr>
        <w:tc>
          <w:tcPr>
            <w:tcW w:type="dxa" w:w="2160"/>
          </w:tcPr>
          <w:p>
            <w:r>
              <w:t>tarea_hmi</w:t>
            </w:r>
          </w:p>
        </w:tc>
        <w:tc>
          <w:tcPr>
            <w:tcW w:type="dxa" w:w="2160"/>
          </w:tcPr>
          <w:p>
            <w:r>
              <w:t>LCD y métricas por serial</w:t>
            </w:r>
          </w:p>
        </w:tc>
        <w:tc>
          <w:tcPr>
            <w:tcW w:type="dxa" w:w="2160"/>
          </w:tcPr>
          <w:p>
            <w:r>
              <w:t>1 (mín.)</w:t>
            </w:r>
          </w:p>
        </w:tc>
        <w:tc>
          <w:tcPr>
            <w:tcW w:type="dxa" w:w="2160"/>
          </w:tcPr>
          <w:p>
            <w:r>
              <w:t>periódica, 200 ms</w:t>
            </w:r>
          </w:p>
        </w:tc>
      </w:tr>
    </w:tbl>
    <w:p/>
    <w:p>
      <w:r>
        <w:t>La sincronización entre tareas se hace con los mecanismos del RTOS: una cola de longitud 1 para el peso (siempre la muestra más fresca), colas para comandos de válvula y telemetría, un mutex para el estado compartido de la orden, un event group para las alarmas y semáforos binarios que se liberan desde las interrupciones de los botones. No hay variables compartidas sin proteger.</w:t>
      </w:r>
    </w:p>
    <w:p>
      <w:pPr>
        <w:pStyle w:val="Heading2"/>
      </w:pPr>
      <w:r>
        <w:t>2.3 La máquina de estados del llenado</w:t>
      </w:r>
    </w:p>
    <w:p>
      <w:r>
        <w:t>El ciclo de cada funda pasa por: ESPERA → DOSIFICANDO (válvula abierta) → ASENTANDO (esperamos 400 ms a que el peso se estabilice) → VALIDANDO (¿está dentro de objetivo ± 0.6 g?) → DESCARGA (cambio de funda) y vuelta a empezar. Un detalle que aprendimos probando: hay que cerrar la válvula ANTES de llegar al objetivo (0.8 g antes), porque el producto que ya cayó de la válvula pero todavía no llegó a la funda sigue sumando peso. Si esperábamos al objetivo exacto, todas las fundas salían pasadas.</w:t>
      </w:r>
    </w:p>
    <w:p>
      <w:pPr>
        <w:pStyle w:val="Heading2"/>
      </w:pPr>
      <w:r>
        <w:t>2.4 Comunicación MQTT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Tópico</w:t>
            </w:r>
          </w:p>
        </w:tc>
        <w:tc>
          <w:tcPr>
            <w:tcW w:type="dxa" w:w="2880"/>
          </w:tcPr>
          <w:p>
            <w:r>
              <w:t>Sentido</w:t>
            </w:r>
          </w:p>
        </w:tc>
        <w:tc>
          <w:tcPr>
            <w:tcW w:type="dxa" w:w="2880"/>
          </w:tcPr>
          <w:p>
            <w:r>
              <w:t>Contenido</w:t>
            </w:r>
          </w:p>
        </w:tc>
      </w:tr>
      <w:tr>
        <w:tc>
          <w:tcPr>
            <w:tcW w:type="dxa" w:w="2880"/>
          </w:tcPr>
          <w:p>
            <w:r>
              <w:t>envasadora/ENV01/peso</w:t>
            </w:r>
          </w:p>
        </w:tc>
        <w:tc>
          <w:tcPr>
            <w:tcW w:type="dxa" w:w="2880"/>
          </w:tcPr>
          <w:p>
            <w:r>
              <w:t>máquina → web</w:t>
            </w:r>
          </w:p>
        </w:tc>
        <w:tc>
          <w:tcPr>
            <w:tcW w:type="dxa" w:w="2880"/>
          </w:tcPr>
          <w:p>
            <w:r>
              <w:t>peso actual, 2 veces por segundo</w:t>
            </w:r>
          </w:p>
        </w:tc>
      </w:tr>
      <w:tr>
        <w:tc>
          <w:tcPr>
            <w:tcW w:type="dxa" w:w="2880"/>
          </w:tcPr>
          <w:p>
            <w:r>
              <w:t>envasadora/ENV01/estado</w:t>
            </w:r>
          </w:p>
        </w:tc>
        <w:tc>
          <w:tcPr>
            <w:tcW w:type="dxa" w:w="2880"/>
          </w:tcPr>
          <w:p>
            <w:r>
              <w:t>máquina → web</w:t>
            </w:r>
          </w:p>
        </w:tc>
        <w:tc>
          <w:tcPr>
            <w:tcW w:type="dxa" w:w="2880"/>
          </w:tcPr>
          <w:p>
            <w:r>
              <w:t>estado FSM, lote, contadores (retained)</w:t>
            </w:r>
          </w:p>
        </w:tc>
      </w:tr>
      <w:tr>
        <w:tc>
          <w:tcPr>
            <w:tcW w:type="dxa" w:w="2880"/>
          </w:tcPr>
          <w:p>
            <w:r>
              <w:t>envasadora/ENV01/unidad</w:t>
            </w:r>
          </w:p>
        </w:tc>
        <w:tc>
          <w:tcPr>
            <w:tcW w:type="dxa" w:w="2880"/>
          </w:tcPr>
          <w:p>
            <w:r>
              <w:t>máquina → web</w:t>
            </w:r>
          </w:p>
        </w:tc>
        <w:tc>
          <w:tcPr>
            <w:tcW w:type="dxa" w:w="2880"/>
          </w:tcPr>
          <w:p>
            <w:r>
              <w:t>cada funda: peso final, aceptada o no</w:t>
            </w:r>
          </w:p>
        </w:tc>
      </w:tr>
      <w:tr>
        <w:tc>
          <w:tcPr>
            <w:tcW w:type="dxa" w:w="2880"/>
          </w:tcPr>
          <w:p>
            <w:r>
              <w:t>envasadora/ENV01/alarma</w:t>
            </w:r>
          </w:p>
        </w:tc>
        <w:tc>
          <w:tcPr>
            <w:tcW w:type="dxa" w:w="2880"/>
          </w:tcPr>
          <w:p>
            <w:r>
              <w:t>máquina → web</w:t>
            </w:r>
          </w:p>
        </w:tc>
        <w:tc>
          <w:tcPr>
            <w:tcW w:type="dxa" w:w="2880"/>
          </w:tcPr>
          <w:p>
            <w:r>
              <w:t>fuera de tolerancia, fallo de sensor</w:t>
            </w:r>
          </w:p>
        </w:tc>
      </w:tr>
      <w:tr>
        <w:tc>
          <w:tcPr>
            <w:tcW w:type="dxa" w:w="2880"/>
          </w:tcPr>
          <w:p>
            <w:r>
              <w:t>envasadora/ENV01/cmd</w:t>
            </w:r>
          </w:p>
        </w:tc>
        <w:tc>
          <w:tcPr>
            <w:tcW w:type="dxa" w:w="2880"/>
          </w:tcPr>
          <w:p>
            <w:r>
              <w:t>web → máquina</w:t>
            </w:r>
          </w:p>
        </w:tc>
        <w:tc>
          <w:tcPr>
            <w:tcW w:type="dxa" w:w="2880"/>
          </w:tcPr>
          <w:p>
            <w:r>
              <w:t>iniciar orden (producto, lote) o parar</w:t>
            </w:r>
          </w:p>
        </w:tc>
      </w:tr>
    </w:tbl>
    <w:p/>
    <w:p>
      <w:r>
        <w:t>Elegimos un broker público porque Render (donde se despliega el backend) no acepta conexiones TCP entrantes que no sean HTTP, así que no podíamos hospedar el broker ahí. El backend se conecta como un cliente más.</w:t>
      </w:r>
    </w:p>
    <w:p>
      <w:pPr>
        <w:pStyle w:val="Heading2"/>
      </w:pPr>
      <w:r>
        <w:t>2.5 Diseño de la interfaz</w:t>
      </w:r>
    </w:p>
    <w:p>
      <w:r>
        <w:t>Para la HMI de la máquina usamos un LCD 16x2 que muestra el estado, el avance del lote y el peso en vivo, más dos botones (INICIO y PARO) y dos LED (unidad aceptada / alarma). Para la parte web hicimos un panel oscuro tipo industrial con el peso en grande, el estado de la máquina, los contadores del lote y el inventario, todo actualizándose solo por WebSocket, sin recargar la página.</w:t>
      </w:r>
    </w:p>
    <w:p>
      <w:pPr>
        <w:jc w:val="center"/>
      </w:pPr>
      <w:r>
        <w:drawing>
          <wp:inline xmlns:a="http://schemas.openxmlformats.org/drawingml/2006/main" xmlns:pic="http://schemas.openxmlformats.org/drawingml/2006/picture">
            <wp:extent cx="5486400" cy="3370217"/>
            <wp:docPr id="3" name="Picture 3"/>
            <wp:cNvGraphicFramePr>
              <a:graphicFrameLocks noChangeAspect="1"/>
            </wp:cNvGraphicFramePr>
            <a:graphic>
              <a:graphicData uri="http://schemas.openxmlformats.org/drawingml/2006/picture">
                <pic:pic>
                  <pic:nvPicPr>
                    <pic:cNvPr id="0" name="02_panel_vivo.png"/>
                    <pic:cNvPicPr/>
                  </pic:nvPicPr>
                  <pic:blipFill>
                    <a:blip r:embed="rId11"/>
                    <a:stretch>
                      <a:fillRect/>
                    </a:stretch>
                  </pic:blipFill>
                  <pic:spPr>
                    <a:xfrm>
                      <a:off x="0" y="0"/>
                      <a:ext cx="5486400" cy="3370217"/>
                    </a:xfrm>
                    <a:prstGeom prst="rect"/>
                  </pic:spPr>
                </pic:pic>
              </a:graphicData>
            </a:graphic>
          </wp:inline>
        </w:drawing>
      </w:r>
    </w:p>
    <w:p>
      <w:pPr>
        <w:jc w:val="center"/>
      </w:pPr>
      <w:r>
        <w:rPr>
          <w:i/>
          <w:sz w:val="18"/>
        </w:rPr>
        <w:t>Figura 1. Panel en vivo durante la producción del lote L-0001.</w:t>
      </w:r>
    </w:p>
    <w:p>
      <w:pPr>
        <w:pStyle w:val="Heading1"/>
      </w:pPr>
      <w:r>
        <w:t>3. Desarrollo del programa</w:t>
      </w:r>
    </w:p>
    <w:p>
      <w:pPr>
        <w:pStyle w:val="Heading2"/>
      </w:pPr>
      <w:r>
        <w:t>3.1 Codificación</w:t>
      </w:r>
    </w:p>
    <w:p>
      <w:r>
        <w:t>El firmware está en C++ con el framework de Arduino para ESP32 (unas 400 líneas en firmware/src/main.cpp), usando directamente la API de FreeRTOS que viene integrada: xTaskCreatePinnedToCore, colas, mutex, event groups y semáforos desde ISR. Las tareas de control van fijadas al núcleo 1 del ESP32 y la de red al núcleo 0, para que el WiFi no le robe tiempo al lazo de control.</w:t>
      </w:r>
    </w:p>
    <w:p>
      <w:r>
        <w:t>El backend está en Python con Flask 3 y SQLAlchemy 2, separado en dominio (reglas puras), adaptadores (MQTT entrante y repositorio de base de datos) y vistas (los módulos web). La telemetría entra por Flask-MQTT y se reenvía al navegador con Socket.IO. Antes de escribir código investigamos proyectos maduros para no empezar de cero: la librería HX711 de Bogdan Necula, PubSubClient para MQTT, y varios proyectos de básculas IoT de donde sacamos el patrón de calibración y el esquema de tópicos (el detalle está en docs/HALLAZGOS.md).</w:t>
      </w:r>
    </w:p>
    <w:p>
      <w:r>
        <w:t>No todo salió a la primera. Los tres problemas que más nos costaron: primero, las fundas salían todas bajas de peso hasta que modelamos el producto en vuelo; segundo, la alarma reportaba el peso leído tarde (cuando la funda ya se había descargado marcaba 0.08 g) y hubo que capturar el peso en el instante de la falla; y tercero, el firmware numeraba los lotes desde 1 en cada reinicio y se desincronizaba de la base de datos, así que ahora el backend manda el número de lote dentro del comando y la máquina lo respeta.</w:t>
      </w:r>
    </w:p>
    <w:p>
      <w:pPr>
        <w:pStyle w:val="Heading2"/>
      </w:pPr>
      <w:r>
        <w:t>3.2 Manual técnico (resumen)</w:t>
      </w:r>
    </w:p>
    <w:p>
      <w:pPr>
        <w:pStyle w:val="ListBullet"/>
      </w:pPr>
      <w:r>
        <w:t>Compilar el firmware: cd firmware &amp;&amp; pio run (PlatformIO descarga el toolchain solo la primera vez).</w:t>
      </w:r>
    </w:p>
    <w:p>
      <w:pPr>
        <w:pStyle w:val="ListBullet"/>
      </w:pPr>
      <w:r>
        <w:t>Simular: abrir la carpeta firmware/ con la extensión Wokwi de VS Code, o por consola: wokwi-cli . --scenario escenarios/llenado_basico.scenario.yaml</w:t>
      </w:r>
    </w:p>
    <w:p>
      <w:pPr>
        <w:pStyle w:val="ListBullet"/>
      </w:pPr>
      <w:r>
        <w:t>Backend local: cd backend &amp;&amp; pip install -r requirements.txt &amp;&amp; python seeds.py &amp;&amp; python app.py → http://localhost:5000</w:t>
      </w:r>
    </w:p>
    <w:p>
      <w:pPr>
        <w:pStyle w:val="ListBullet"/>
      </w:pPr>
      <w:r>
        <w:t>Base de datos: SQLite automática en local; en producción se usa PostgreSQL leyendo la variable DATABASE_URL (el esquema está en db/esquema.sql).</w:t>
      </w:r>
    </w:p>
    <w:p>
      <w:pPr>
        <w:pStyle w:val="ListBullet"/>
      </w:pPr>
      <w:r>
        <w:t>Despliegue: backend/render.yaml define el servicio web en Render con gunicorn de UN solo worker (Flask-MQTT mantiene una única conexión al broker; el paralelismo va por hilos).</w:t>
      </w:r>
    </w:p>
    <w:p>
      <w:pPr>
        <w:pStyle w:val="ListBullet"/>
      </w:pPr>
      <w:r>
        <w:t>Calibración de báscula: ajustar FACTOR_ESCALA en main.cpp con una masa conocida (set_scale + tare de la librería HX711).</w:t>
      </w:r>
    </w:p>
    <w:p>
      <w:pPr>
        <w:pStyle w:val="ListBullet"/>
      </w:pPr>
      <w:r>
        <w:t>Parámetros de proceso: TOLERANCIA_G (0.6), ANTICIPO_G (0.8), MS_ASENTAR (400) y MS_DESCARGA (500) están como constantes al inicio del main.cpp.</w:t>
      </w:r>
    </w:p>
    <w:p>
      <w:pPr>
        <w:pStyle w:val="Heading2"/>
      </w:pPr>
      <w:r>
        <w:t>3.3 Manual de usuario (resumen)</w:t>
      </w:r>
    </w:p>
    <w:p>
      <w:r>
        <w:t>En la máquina: el botón verde INICIO arranca la orden (o reanuda después de un paro), el botón rojo PARO detiene el ciclo y cierra la válvula. El LCD muestra en qué estado está la máquina, cuántas unidades van del lote y el peso actual. El LED verde parpadea con cada funda aceptada y el rojo avisa las alarmas.</w:t>
      </w:r>
    </w:p>
    <w:p>
      <w:r>
        <w:t>En la web: se entra con usuario y clave. El operador ve el panel en vivo; el supervisor además crea órdenes (elige producto, presentación y tamaño de lote) y las inicia con un botón, que es lo que manda el comando a la máquina; el gerente ve también los reportes y puede descargarlos en CSV. El inventario se descuenta solo: no hay que registrar nada a mano.</w:t>
      </w:r>
    </w:p>
    <w:p>
      <w:pPr>
        <w:jc w:val="center"/>
      </w:pPr>
      <w:r>
        <w:drawing>
          <wp:inline xmlns:a="http://schemas.openxmlformats.org/drawingml/2006/main" xmlns:pic="http://schemas.openxmlformats.org/drawingml/2006/picture">
            <wp:extent cx="5486400" cy="3370217"/>
            <wp:docPr id="4" name="Picture 4"/>
            <wp:cNvGraphicFramePr>
              <a:graphicFrameLocks noChangeAspect="1"/>
            </wp:cNvGraphicFramePr>
            <a:graphic>
              <a:graphicData uri="http://schemas.openxmlformats.org/drawingml/2006/picture">
                <pic:pic>
                  <pic:nvPicPr>
                    <pic:cNvPr id="0" name="01_login.png"/>
                    <pic:cNvPicPr/>
                  </pic:nvPicPr>
                  <pic:blipFill>
                    <a:blip r:embed="rId12"/>
                    <a:stretch>
                      <a:fillRect/>
                    </a:stretch>
                  </pic:blipFill>
                  <pic:spPr>
                    <a:xfrm>
                      <a:off x="0" y="0"/>
                      <a:ext cx="5486400" cy="3370217"/>
                    </a:xfrm>
                    <a:prstGeom prst="rect"/>
                  </pic:spPr>
                </pic:pic>
              </a:graphicData>
            </a:graphic>
          </wp:inline>
        </w:drawing>
      </w:r>
    </w:p>
    <w:p>
      <w:pPr>
        <w:jc w:val="center"/>
      </w:pPr>
      <w:r>
        <w:rPr>
          <w:i/>
          <w:sz w:val="18"/>
        </w:rPr>
        <w:t>Figura 2. Acceso al sistema con roles.</w:t>
      </w:r>
    </w:p>
    <w:p>
      <w:pPr>
        <w:jc w:val="center"/>
      </w:pPr>
      <w:r>
        <w:drawing>
          <wp:inline xmlns:a="http://schemas.openxmlformats.org/drawingml/2006/main" xmlns:pic="http://schemas.openxmlformats.org/drawingml/2006/picture">
            <wp:extent cx="5486400" cy="3370217"/>
            <wp:docPr id="5" name="Picture 5"/>
            <wp:cNvGraphicFramePr>
              <a:graphicFrameLocks noChangeAspect="1"/>
            </wp:cNvGraphicFramePr>
            <a:graphic>
              <a:graphicData uri="http://schemas.openxmlformats.org/drawingml/2006/picture">
                <pic:pic>
                  <pic:nvPicPr>
                    <pic:cNvPr id="0" name="03_ordenes.png"/>
                    <pic:cNvPicPr/>
                  </pic:nvPicPr>
                  <pic:blipFill>
                    <a:blip r:embed="rId13"/>
                    <a:stretch>
                      <a:fillRect/>
                    </a:stretch>
                  </pic:blipFill>
                  <pic:spPr>
                    <a:xfrm>
                      <a:off x="0" y="0"/>
                      <a:ext cx="5486400" cy="3370217"/>
                    </a:xfrm>
                    <a:prstGeom prst="rect"/>
                  </pic:spPr>
                </pic:pic>
              </a:graphicData>
            </a:graphic>
          </wp:inline>
        </w:drawing>
      </w:r>
    </w:p>
    <w:p>
      <w:pPr>
        <w:jc w:val="center"/>
      </w:pPr>
      <w:r>
        <w:rPr>
          <w:i/>
          <w:sz w:val="18"/>
        </w:rPr>
        <w:t>Figura 3. Gestión de órdenes de producción.</w:t>
      </w:r>
    </w:p>
    <w:p>
      <w:pPr>
        <w:jc w:val="center"/>
      </w:pPr>
      <w:r>
        <w:drawing>
          <wp:inline xmlns:a="http://schemas.openxmlformats.org/drawingml/2006/main" xmlns:pic="http://schemas.openxmlformats.org/drawingml/2006/picture">
            <wp:extent cx="5486400" cy="3370217"/>
            <wp:docPr id="6" name="Picture 6"/>
            <wp:cNvGraphicFramePr>
              <a:graphicFrameLocks noChangeAspect="1"/>
            </wp:cNvGraphicFramePr>
            <a:graphic>
              <a:graphicData uri="http://schemas.openxmlformats.org/drawingml/2006/picture">
                <pic:pic>
                  <pic:nvPicPr>
                    <pic:cNvPr id="0" name="04_inventario.png"/>
                    <pic:cNvPicPr/>
                  </pic:nvPicPr>
                  <pic:blipFill>
                    <a:blip r:embed="rId14"/>
                    <a:stretch>
                      <a:fillRect/>
                    </a:stretch>
                  </pic:blipFill>
                  <pic:spPr>
                    <a:xfrm>
                      <a:off x="0" y="0"/>
                      <a:ext cx="5486400" cy="3370217"/>
                    </a:xfrm>
                    <a:prstGeom prst="rect"/>
                  </pic:spPr>
                </pic:pic>
              </a:graphicData>
            </a:graphic>
          </wp:inline>
        </w:drawing>
      </w:r>
    </w:p>
    <w:p>
      <w:pPr>
        <w:jc w:val="center"/>
      </w:pPr>
      <w:r>
        <w:rPr>
          <w:i/>
          <w:sz w:val="18"/>
        </w:rPr>
        <w:t>Figura 4. Inventario de materias primas.</w:t>
      </w:r>
    </w:p>
    <w:p>
      <w:pPr>
        <w:pStyle w:val="Heading1"/>
      </w:pPr>
      <w:r>
        <w:t>4. Emulación y pruebas</w:t>
      </w:r>
    </w:p>
    <w:p>
      <w:pPr>
        <w:pStyle w:val="Heading2"/>
      </w:pPr>
      <w:r>
        <w:t>4.1 El entorno de emulación</w:t>
      </w:r>
    </w:p>
    <w:p>
      <w:r>
        <w:t>Toda la máquina corre emulada en Wokwi: el ESP32, el sensor de peso HX711 con su celda de carga de 5 kg, el relé que hace de válvula, el LCD y los botones. El circuito está descrito en firmware/diagram.json. Para poder demostrar el sistema sin estar moviendo el peso a mano, el firmware tiene un modo demo (MODO_DEMO) que simula la física del llenado: un flujo de unos 12 g/s con ruido, más el material en vuelo al cerrar la válvula. Apagando ese flag, la lectura vuelve a salir del HX711 real.</w:t>
      </w:r>
    </w:p>
    <w:p>
      <w:pPr>
        <w:jc w:val="center"/>
      </w:pPr>
      <w:r>
        <w:drawing>
          <wp:inline xmlns:a="http://schemas.openxmlformats.org/drawingml/2006/main" xmlns:pic="http://schemas.openxmlformats.org/drawingml/2006/picture">
            <wp:extent cx="2926080" cy="604448"/>
            <wp:docPr id="7" name="Picture 7"/>
            <wp:cNvGraphicFramePr>
              <a:graphicFrameLocks noChangeAspect="1"/>
            </wp:cNvGraphicFramePr>
            <a:graphic>
              <a:graphicData uri="http://schemas.openxmlformats.org/drawingml/2006/picture">
                <pic:pic>
                  <pic:nvPicPr>
                    <pic:cNvPr id="0" name="06_lcd_maquina.png"/>
                    <pic:cNvPicPr/>
                  </pic:nvPicPr>
                  <pic:blipFill>
                    <a:blip r:embed="rId15"/>
                    <a:stretch>
                      <a:fillRect/>
                    </a:stretch>
                  </pic:blipFill>
                  <pic:spPr>
                    <a:xfrm>
                      <a:off x="0" y="0"/>
                      <a:ext cx="2926080" cy="604448"/>
                    </a:xfrm>
                    <a:prstGeom prst="rect"/>
                  </pic:spPr>
                </pic:pic>
              </a:graphicData>
            </a:graphic>
          </wp:inline>
        </w:drawing>
      </w:r>
    </w:p>
    <w:p>
      <w:pPr>
        <w:jc w:val="center"/>
      </w:pPr>
      <w:r>
        <w:rPr>
          <w:i/>
          <w:sz w:val="18"/>
        </w:rPr>
        <w:t>Figura 5. HMI física (LCD) capturada del framebuffer durante la emulación: dosificando la unidad 2 de 50, con 8.44 g en la báscula.</w:t>
      </w:r>
    </w:p>
    <w:p>
      <w:pPr>
        <w:pStyle w:val="Heading2"/>
      </w:pPr>
      <w:r>
        <w:t>4.2 Pruebas automatizadas</w:t>
      </w:r>
    </w:p>
    <w:p>
      <w:r>
        <w:t>Además de probar a mano, dejamos escenarios de prueba que corren con wokwi-cli en modo headless: el escenario arranca la simulación, pulsa el botón INICIO, y verifica por el puerto serial que la orden inicia, que se producen unidades y que las métricas de determinismo se publican. El resultado fue "Scenario completed successfully". También se prueba el caso de rechazo: cuando una funda sale fuera de tolerancia el sistema la cuenta aparte, enciende la alarma y publica el evento.</w:t>
      </w:r>
    </w:p>
    <w:p>
      <w:pPr>
        <w:pStyle w:val="Heading2"/>
      </w:pPr>
      <w:r>
        <w:t>4.3 Prueba de extremo a extremo</w:t>
      </w:r>
    </w:p>
    <w:p>
      <w:r>
        <w:t>La prueba más completa fue en vivo con todo conectado de verdad: desde la web creamos e iniciamos una orden; el backend publicó el comando en broker.hivemq.com; el ESP32 emulado lo recibió y empezó a producir; la telemetría volvió por MQTT y quedó en la base de datos. Los números cuadraron exactos:</w:t>
      </w:r>
    </w:p>
    <w:tbl>
      <w:tblPr>
        <w:tblStyle w:val="LightGrid-Accent1"/>
        <w:tblW w:type="auto" w:w="0"/>
        <w:tblLook w:firstColumn="1" w:firstRow="1" w:lastColumn="0" w:lastRow="0" w:noHBand="0" w:noVBand="1" w:val="04A0"/>
      </w:tblPr>
      <w:tblGrid>
        <w:gridCol w:w="4320"/>
        <w:gridCol w:w="4320"/>
      </w:tblGrid>
      <w:tr>
        <w:tc>
          <w:tcPr>
            <w:tcW w:type="dxa" w:w="4320"/>
          </w:tcPr>
          <w:p>
            <w:r>
              <w:t>Verificación</w:t>
            </w:r>
          </w:p>
        </w:tc>
        <w:tc>
          <w:tcPr>
            <w:tcW w:type="dxa" w:w="4320"/>
          </w:tcPr>
          <w:p>
            <w:r>
              <w:t>Resultado</w:t>
            </w:r>
          </w:p>
        </w:tc>
      </w:tr>
      <w:tr>
        <w:tc>
          <w:tcPr>
            <w:tcW w:type="dxa" w:w="4320"/>
          </w:tcPr>
          <w:p>
            <w:r>
              <w:t>Unidades registradas en histórico</w:t>
            </w:r>
          </w:p>
        </w:tc>
        <w:tc>
          <w:tcPr>
            <w:tcW w:type="dxa" w:w="4320"/>
          </w:tcPr>
          <w:p>
            <w:r>
              <w:t>13 unidades, todas aceptadas, peso promedio 25.14 g</w:t>
            </w:r>
          </w:p>
        </w:tc>
      </w:tr>
      <w:tr>
        <w:tc>
          <w:tcPr>
            <w:tcW w:type="dxa" w:w="4320"/>
          </w:tcPr>
          <w:p>
            <w:r>
              <w:t>Lote L-0001</w:t>
            </w:r>
          </w:p>
        </w:tc>
        <w:tc>
          <w:tcPr>
            <w:tcW w:type="dxa" w:w="4320"/>
          </w:tcPr>
          <w:p>
            <w:r>
              <w:t>13 producidas, 0 rechazadas</w:t>
            </w:r>
          </w:p>
        </w:tc>
      </w:tr>
      <w:tr>
        <w:tc>
          <w:tcPr>
            <w:tcW w:type="dxa" w:w="4320"/>
          </w:tcPr>
          <w:p>
            <w:r>
              <w:t>Inventario de maní</w:t>
            </w:r>
          </w:p>
        </w:tc>
        <w:tc>
          <w:tcPr>
            <w:tcW w:type="dxa" w:w="4320"/>
          </w:tcPr>
          <w:p>
            <w:r>
              <w:t>50 kg → 49.675 kg (13 × 25 g, exacto)</w:t>
            </w:r>
          </w:p>
        </w:tc>
      </w:tr>
      <w:tr>
        <w:tc>
          <w:tcPr>
            <w:tcW w:type="dxa" w:w="4320"/>
          </w:tcPr>
          <w:p>
            <w:r>
              <w:t>Inventario de fundas</w:t>
            </w:r>
          </w:p>
        </w:tc>
        <w:tc>
          <w:tcPr>
            <w:tcW w:type="dxa" w:w="4320"/>
          </w:tcPr>
          <w:p>
            <w:r>
              <w:t>5000 → 4987 (una por unidad)</w:t>
            </w:r>
          </w:p>
        </w:tc>
      </w:tr>
    </w:tbl>
    <w:p/>
    <w:p>
      <w:pPr>
        <w:pStyle w:val="Heading2"/>
      </w:pPr>
      <w:r>
        <w:t>4.4 Métricas de tiempo real</w:t>
      </w:r>
    </w:p>
    <w:p>
      <w:r>
        <w:t>El firmware mide el peor tiempo de ejecución de cada ciclo y lo reporta cada 10 segundos. En todas las corridas el peor ciclo de la tarea de control fue de 1.7 a 3.9 milisegundos, contra un periodo de 25 ms: nunca se perdió un plazo. La memoria libre (heap) se mantuvo estable en ~222 KB durante toda la producción, señal de que no hay fugas.</w:t>
      </w:r>
    </w:p>
    <w:p>
      <w:pPr>
        <w:jc w:val="center"/>
      </w:pPr>
      <w:r>
        <w:drawing>
          <wp:inline xmlns:a="http://schemas.openxmlformats.org/drawingml/2006/main" xmlns:pic="http://schemas.openxmlformats.org/drawingml/2006/picture">
            <wp:extent cx="5486400" cy="3370217"/>
            <wp:docPr id="8" name="Picture 8"/>
            <wp:cNvGraphicFramePr>
              <a:graphicFrameLocks noChangeAspect="1"/>
            </wp:cNvGraphicFramePr>
            <a:graphic>
              <a:graphicData uri="http://schemas.openxmlformats.org/drawingml/2006/picture">
                <pic:pic>
                  <pic:nvPicPr>
                    <pic:cNvPr id="0" name="05_reportes.png"/>
                    <pic:cNvPicPr/>
                  </pic:nvPicPr>
                  <pic:blipFill>
                    <a:blip r:embed="rId16"/>
                    <a:stretch>
                      <a:fillRect/>
                    </a:stretch>
                  </pic:blipFill>
                  <pic:spPr>
                    <a:xfrm>
                      <a:off x="0" y="0"/>
                      <a:ext cx="5486400" cy="3370217"/>
                    </a:xfrm>
                    <a:prstGeom prst="rect"/>
                  </pic:spPr>
                </pic:pic>
              </a:graphicData>
            </a:graphic>
          </wp:inline>
        </w:drawing>
      </w:r>
    </w:p>
    <w:p>
      <w:pPr>
        <w:jc w:val="center"/>
      </w:pPr>
      <w:r>
        <w:rPr>
          <w:i/>
          <w:sz w:val="18"/>
        </w:rPr>
        <w:t>Figura 6. Reportes de producción con los datos reales de la emulación.</w:t>
      </w:r>
    </w:p>
    <w:p>
      <w:pPr>
        <w:pStyle w:val="Heading1"/>
      </w:pPr>
      <w:r>
        <w:t>5. Mantenimiento y mejora continua</w:t>
      </w:r>
    </w:p>
    <w:p>
      <w:pPr>
        <w:pStyle w:val="ListBullet"/>
      </w:pPr>
      <w:r>
        <w:t>Preventivo: recalibrar la báscula por turno con una masa patrón (procedimiento del manual técnico) y revisar las métricas de determinismo del serial, que delatan degradación antes de que falle.</w:t>
      </w:r>
    </w:p>
    <w:p>
      <w:pPr>
        <w:pStyle w:val="ListBullet"/>
      </w:pPr>
      <w:r>
        <w:t>Correctivo: los errores quedan trazados en tres lugares (serial de la máquina, log del backend y tabla de históricos), así que se puede reconstruir qué pasó con cualquier funda.</w:t>
      </w:r>
    </w:p>
    <w:p>
      <w:pPr>
        <w:pStyle w:val="ListBullet"/>
      </w:pPr>
      <w:r>
        <w:t>Evolutivo: quedan planteadas mejoras concretas: HMI SCADA con FUXA (ya evaluada en la investigación), autenticación en el broker MQTT, y soporte de más productos, que solo requiere insertar filas en el catálogo y su materia prima.</w:t>
      </w:r>
    </w:p>
    <w:p>
      <w:pPr>
        <w:pStyle w:val="ListBullet"/>
      </w:pPr>
      <w:r>
        <w:t>Soporte: el README del repositorio tiene los comandos exactos para levantar cada parte, y los manuales están en este mismo documento.</w:t>
      </w:r>
    </w:p>
    <w:p>
      <w:pPr>
        <w:pStyle w:val="Heading1"/>
      </w:pPr>
      <w:r>
        <w:t>6. Bibliografía (APA 7)</w:t>
      </w:r>
    </w:p>
    <w:p>
      <w:pPr>
        <w:pStyle w:val="ListBullet"/>
      </w:pPr>
      <w:r>
        <w:t>Amazon Web Services. (2026). FreeRTOS documentation. https://www.freertos.org/Documentation</w:t>
      </w:r>
    </w:p>
    <w:p>
      <w:pPr>
        <w:pStyle w:val="ListBullet"/>
      </w:pPr>
      <w:r>
        <w:t>Barry, R. (2016). Mastering the FreeRTOS real time kernel: A hands-on tutorial guide. Real Time Engineers Ltd.</w:t>
      </w:r>
    </w:p>
    <w:p>
      <w:pPr>
        <w:pStyle w:val="ListBullet"/>
      </w:pPr>
      <w:r>
        <w:t>Buttazzo, G. (2011). Hard real-time computing systems: Predictable scheduling algorithms and applications (3.ª ed.). Springer.</w:t>
      </w:r>
    </w:p>
    <w:p>
      <w:pPr>
        <w:pStyle w:val="ListBullet"/>
      </w:pPr>
      <w:r>
        <w:t>CodeMagic LTD. (2026). Wokwi documentation: HX711 load cell. https://docs.wokwi.com/parts/wokwi-hx711</w:t>
      </w:r>
    </w:p>
    <w:p>
      <w:pPr>
        <w:pStyle w:val="ListBullet"/>
      </w:pPr>
      <w:r>
        <w:t>Espressif Systems. (2026). ESP32 Arduino core documentation. https://docs.espressif.com/projects/arduino-esp32/</w:t>
      </w:r>
    </w:p>
    <w:p>
      <w:pPr>
        <w:pStyle w:val="ListBullet"/>
      </w:pPr>
      <w:r>
        <w:t>Grinberg, M. (2018). Flask web development: Developing web applications with Python (2.ª ed.). O'Reilly Media.</w:t>
      </w:r>
    </w:p>
    <w:p>
      <w:pPr>
        <w:pStyle w:val="ListBullet"/>
      </w:pPr>
      <w:r>
        <w:t>HiveMQ GmbH. (2026). MQTT essentials. https://www.hivemq.com/mqtt/</w:t>
      </w:r>
    </w:p>
    <w:p>
      <w:pPr>
        <w:pStyle w:val="ListBullet"/>
      </w:pPr>
      <w:r>
        <w:t>Necula, B. (2023). HX711: An Arduino library to interface the Avia Semiconductor HX711 [Software]. GitHub. https://github.com/bogde/HX711</w:t>
      </w:r>
    </w:p>
    <w:p>
      <w:pPr>
        <w:pStyle w:val="ListBullet"/>
      </w:pPr>
      <w:r>
        <w:t>O'Leary, N. (2026). PubSubClient: A client library for MQTT messaging [Software]. GitHub. https://github.com/knolleary/pubsubclient</w:t>
      </w:r>
    </w:p>
    <w:p>
      <w:pPr>
        <w:pStyle w:val="ListBullet"/>
      </w:pPr>
      <w:r>
        <w:t>OASIS. (2019). MQTT version 5.0 specification. https://docs.oasis-open.org/mqtt/mqtt/v5.0/mqtt-v5.0.html</w:t>
      </w:r>
    </w:p>
    <w:p>
      <w:pPr>
        <w:pStyle w:val="ListBullet"/>
      </w:pPr>
      <w:r>
        <w:t>Render Services, Inc. (2026). Render documentation: Web services. https://render.com/docs/web-services</w:t>
      </w:r>
    </w:p>
    <w:p>
      <w:pPr>
        <w:pStyle w:val="ListBullet"/>
      </w:pPr>
      <w:r>
        <w:t>Tanenbaum, A. S., y Bos, H. (2015). Modern operating systems (4.ª ed.). Pearson.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