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5" w:rsidRPr="00B75841" w:rsidRDefault="0007549F" w:rsidP="00D978CD">
      <w:pPr>
        <w:pStyle w:val="Title"/>
      </w:pPr>
      <w:r>
        <w:t>Semester Proposal</w:t>
      </w:r>
      <w:r w:rsidR="00EE18B8" w:rsidRPr="00B75841">
        <w:t xml:space="preserve"> Rubric</w:t>
      </w:r>
    </w:p>
    <w:tbl>
      <w:tblPr>
        <w:tblW w:w="136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29" w:type="dxa"/>
          <w:left w:w="14" w:type="dxa"/>
          <w:bottom w:w="29" w:type="dxa"/>
          <w:right w:w="14" w:type="dxa"/>
        </w:tblCellMar>
        <w:tblLook w:val="04A0" w:firstRow="1" w:lastRow="0" w:firstColumn="1" w:lastColumn="0" w:noHBand="0" w:noVBand="1"/>
      </w:tblPr>
      <w:tblGrid>
        <w:gridCol w:w="2060"/>
        <w:gridCol w:w="3870"/>
        <w:gridCol w:w="3780"/>
        <w:gridCol w:w="3970"/>
      </w:tblGrid>
      <w:tr w:rsidR="0007549F" w:rsidTr="0071699C">
        <w:trPr>
          <w:trHeight w:val="1130"/>
          <w:jc w:val="center"/>
        </w:trPr>
        <w:tc>
          <w:tcPr>
            <w:tcW w:w="206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Introduction/</w:t>
            </w:r>
          </w:p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Project Charter</w:t>
            </w:r>
          </w:p>
        </w:tc>
        <w:tc>
          <w:tcPr>
            <w:tcW w:w="3870" w:type="dxa"/>
            <w:shd w:val="clear" w:color="auto" w:fill="auto"/>
            <w:tcMar>
              <w:left w:w="72" w:type="dxa"/>
              <w:right w:w="72" w:type="dxa"/>
            </w:tcMar>
            <w:hideMark/>
          </w:tcPr>
          <w:p w:rsidR="0007549F" w:rsidRPr="00B75841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Proficient-6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Need </w:t>
            </w:r>
            <w:proofErr w:type="gramStart"/>
            <w:r>
              <w:rPr>
                <w:rFonts w:cs="Calibri"/>
                <w:color w:val="000000"/>
                <w:szCs w:val="18"/>
              </w:rPr>
              <w:t>being addressed</w:t>
            </w:r>
            <w:proofErr w:type="gramEnd"/>
            <w:r>
              <w:rPr>
                <w:rFonts w:cs="Calibri"/>
                <w:color w:val="000000"/>
                <w:szCs w:val="18"/>
              </w:rPr>
              <w:t>, problem definition, proposed solution, and deliverable are clearly defined. Clearly identifies who will benefit from the project and how i</w:t>
            </w:r>
            <w:r w:rsidRPr="0000306B">
              <w:t xml:space="preserve">ncluding </w:t>
            </w:r>
            <w:r>
              <w:t>economically</w:t>
            </w:r>
            <w:r w:rsidRPr="0000306B">
              <w:t xml:space="preserve"> </w:t>
            </w:r>
            <w:r>
              <w:t xml:space="preserve">and </w:t>
            </w:r>
            <w:r w:rsidRPr="0000306B">
              <w:t>adding capacity to organization</w:t>
            </w:r>
            <w:r>
              <w:t>.</w:t>
            </w:r>
          </w:p>
        </w:tc>
        <w:tc>
          <w:tcPr>
            <w:tcW w:w="3780" w:type="dxa"/>
            <w:shd w:val="clear" w:color="auto" w:fill="auto"/>
            <w:tcMar>
              <w:left w:w="72" w:type="dxa"/>
              <w:right w:w="72" w:type="dxa"/>
            </w:tcMar>
            <w:hideMark/>
          </w:tcPr>
          <w:p w:rsidR="0007549F" w:rsidRPr="00B75841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Basic-3</w:t>
            </w:r>
          </w:p>
          <w:p w:rsidR="0007549F" w:rsidRPr="00201976" w:rsidRDefault="0007549F" w:rsidP="0071699C">
            <w:pPr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Need </w:t>
            </w:r>
            <w:proofErr w:type="gramStart"/>
            <w:r>
              <w:rPr>
                <w:rFonts w:cs="Calibri"/>
                <w:color w:val="000000"/>
                <w:szCs w:val="18"/>
              </w:rPr>
              <w:t>being addressed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, problem definition, proposed solution, and deliverable are ambiguous.  </w:t>
            </w:r>
            <w:r w:rsidRPr="0000306B">
              <w:t>Somewhat identifies who will benef</w:t>
            </w:r>
            <w:r>
              <w:t>it from the project and/or how i</w:t>
            </w:r>
            <w:r w:rsidRPr="0000306B">
              <w:t xml:space="preserve">ncluding economically </w:t>
            </w:r>
            <w:r>
              <w:t xml:space="preserve">and </w:t>
            </w:r>
            <w:r w:rsidRPr="0000306B">
              <w:t>adding capacity to organization</w:t>
            </w:r>
            <w:r>
              <w:t>.</w:t>
            </w:r>
          </w:p>
        </w:tc>
        <w:tc>
          <w:tcPr>
            <w:tcW w:w="3970" w:type="dxa"/>
            <w:shd w:val="clear" w:color="auto" w:fill="auto"/>
            <w:tcMar>
              <w:left w:w="72" w:type="dxa"/>
              <w:right w:w="72" w:type="dxa"/>
            </w:tcMar>
            <w:hideMark/>
          </w:tcPr>
          <w:p w:rsidR="0007549F" w:rsidRPr="00B75841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2"/>
                <w:szCs w:val="18"/>
              </w:rPr>
            </w:pPr>
            <w:r w:rsidRPr="00B75841">
              <w:rPr>
                <w:rFonts w:ascii="Kievit SC Offc Pro Book" w:hAnsi="Kievit SC Offc Pro Book"/>
                <w:b/>
                <w:bCs/>
                <w:color w:val="000000"/>
                <w:sz w:val="20"/>
                <w:szCs w:val="18"/>
              </w:rPr>
              <w:t>Unacceptable-1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 xml:space="preserve">Need </w:t>
            </w:r>
            <w:proofErr w:type="gramStart"/>
            <w:r>
              <w:rPr>
                <w:rFonts w:cs="Calibri"/>
                <w:color w:val="000000"/>
                <w:szCs w:val="18"/>
              </w:rPr>
              <w:t>being addressed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, problem definition, proposed solution, and deliverable are not identified.  </w:t>
            </w:r>
            <w:r>
              <w:t xml:space="preserve">Does not </w:t>
            </w:r>
            <w:r w:rsidRPr="0000306B">
              <w:t>identif</w:t>
            </w:r>
            <w:r>
              <w:t>y</w:t>
            </w:r>
            <w:r w:rsidRPr="0000306B">
              <w:t xml:space="preserve"> who will benef</w:t>
            </w:r>
            <w:r>
              <w:t>it from the project and/or how i</w:t>
            </w:r>
            <w:r w:rsidRPr="0000306B">
              <w:t xml:space="preserve">ncluding economically </w:t>
            </w:r>
            <w:r>
              <w:t xml:space="preserve">and </w:t>
            </w:r>
            <w:r w:rsidRPr="0000306B">
              <w:t>adding capacity to organization</w:t>
            </w:r>
            <w:r>
              <w:t>.</w:t>
            </w:r>
          </w:p>
        </w:tc>
      </w:tr>
      <w:tr w:rsidR="0007549F" w:rsidTr="0071699C">
        <w:trPr>
          <w:trHeight w:val="599"/>
          <w:jc w:val="center"/>
        </w:trPr>
        <w:tc>
          <w:tcPr>
            <w:tcW w:w="206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Current Phase of Project</w:t>
            </w:r>
          </w:p>
        </w:tc>
        <w:tc>
          <w:tcPr>
            <w:tcW w:w="38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Proficient-2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>Current phase in the design process is clear and precise with examples.</w:t>
            </w:r>
          </w:p>
        </w:tc>
        <w:tc>
          <w:tcPr>
            <w:tcW w:w="378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Basic-1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>Current phase in the design process is ambiguous and imprecise or has no examples.</w:t>
            </w:r>
          </w:p>
        </w:tc>
        <w:tc>
          <w:tcPr>
            <w:tcW w:w="39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Unacceptable-0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>Current phase in the design process is unclear and has no examples.</w:t>
            </w:r>
          </w:p>
        </w:tc>
      </w:tr>
      <w:tr w:rsidR="0007549F" w:rsidTr="0071699C">
        <w:trPr>
          <w:trHeight w:val="825"/>
          <w:jc w:val="center"/>
        </w:trPr>
        <w:tc>
          <w:tcPr>
            <w:tcW w:w="206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Semester Goal</w:t>
            </w:r>
          </w:p>
        </w:tc>
        <w:tc>
          <w:tcPr>
            <w:tcW w:w="38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Proficient-2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 xml:space="preserve">Semester goal is </w:t>
            </w:r>
            <w:r>
              <w:rPr>
                <w:rFonts w:cs="Calibri"/>
                <w:b/>
                <w:bCs/>
                <w:color w:val="000000"/>
                <w:szCs w:val="18"/>
              </w:rPr>
              <w:t>S</w:t>
            </w:r>
            <w:r>
              <w:rPr>
                <w:rFonts w:cs="Calibri"/>
                <w:color w:val="000000"/>
                <w:szCs w:val="18"/>
              </w:rPr>
              <w:t xml:space="preserve">pecific, </w:t>
            </w:r>
            <w:r>
              <w:rPr>
                <w:rFonts w:cs="Calibri"/>
                <w:b/>
                <w:bCs/>
                <w:color w:val="000000"/>
                <w:szCs w:val="18"/>
              </w:rPr>
              <w:t>M</w:t>
            </w:r>
            <w:r>
              <w:rPr>
                <w:rFonts w:cs="Calibri"/>
                <w:color w:val="000000"/>
                <w:szCs w:val="18"/>
              </w:rPr>
              <w:t xml:space="preserve">easurable, </w:t>
            </w:r>
            <w:r>
              <w:rPr>
                <w:rFonts w:cs="Calibri"/>
                <w:b/>
                <w:bCs/>
                <w:color w:val="000000"/>
                <w:szCs w:val="18"/>
              </w:rPr>
              <w:t>A</w:t>
            </w:r>
            <w:r>
              <w:rPr>
                <w:rFonts w:cs="Calibri"/>
                <w:color w:val="000000"/>
                <w:szCs w:val="18"/>
              </w:rPr>
              <w:t xml:space="preserve">ction-oriented, </w:t>
            </w:r>
            <w:r>
              <w:rPr>
                <w:rFonts w:cs="Calibri"/>
                <w:b/>
                <w:bCs/>
                <w:color w:val="000000"/>
                <w:szCs w:val="18"/>
              </w:rPr>
              <w:t>R</w:t>
            </w:r>
            <w:r>
              <w:rPr>
                <w:rFonts w:cs="Calibri"/>
                <w:color w:val="000000"/>
                <w:szCs w:val="18"/>
              </w:rPr>
              <w:t xml:space="preserve">ealistic, </w:t>
            </w:r>
            <w:proofErr w:type="gramStart"/>
            <w:r>
              <w:rPr>
                <w:rFonts w:cs="Calibri"/>
                <w:b/>
                <w:bCs/>
                <w:color w:val="000000"/>
                <w:szCs w:val="18"/>
              </w:rPr>
              <w:t>T</w:t>
            </w:r>
            <w:r>
              <w:rPr>
                <w:rFonts w:cs="Calibri"/>
                <w:color w:val="000000"/>
                <w:szCs w:val="18"/>
              </w:rPr>
              <w:t>ime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-sensitive </w:t>
            </w:r>
            <w:r w:rsidRPr="00CD10DE">
              <w:rPr>
                <w:rFonts w:cs="Calibri"/>
                <w:b/>
                <w:color w:val="000000"/>
                <w:szCs w:val="18"/>
              </w:rPr>
              <w:t>(SMART).</w:t>
            </w:r>
          </w:p>
        </w:tc>
        <w:tc>
          <w:tcPr>
            <w:tcW w:w="378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Basic-1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 xml:space="preserve">Semester goal is mostly </w:t>
            </w:r>
            <w:r>
              <w:rPr>
                <w:rFonts w:cs="Calibri"/>
                <w:b/>
                <w:bCs/>
                <w:color w:val="000000"/>
                <w:szCs w:val="18"/>
              </w:rPr>
              <w:t>S</w:t>
            </w:r>
            <w:r>
              <w:rPr>
                <w:rFonts w:cs="Calibri"/>
                <w:color w:val="000000"/>
                <w:szCs w:val="18"/>
              </w:rPr>
              <w:t xml:space="preserve">pecific, </w:t>
            </w:r>
            <w:r>
              <w:rPr>
                <w:rFonts w:cs="Calibri"/>
                <w:b/>
                <w:bCs/>
                <w:color w:val="000000"/>
                <w:szCs w:val="18"/>
              </w:rPr>
              <w:t>M</w:t>
            </w:r>
            <w:r>
              <w:rPr>
                <w:rFonts w:cs="Calibri"/>
                <w:color w:val="000000"/>
                <w:szCs w:val="18"/>
              </w:rPr>
              <w:t xml:space="preserve">easurable, </w:t>
            </w:r>
            <w:r>
              <w:rPr>
                <w:rFonts w:cs="Calibri"/>
                <w:b/>
                <w:bCs/>
                <w:color w:val="000000"/>
                <w:szCs w:val="18"/>
              </w:rPr>
              <w:t>A</w:t>
            </w:r>
            <w:r>
              <w:rPr>
                <w:rFonts w:cs="Calibri"/>
                <w:color w:val="000000"/>
                <w:szCs w:val="18"/>
              </w:rPr>
              <w:t xml:space="preserve">ction-oriented, </w:t>
            </w:r>
            <w:r>
              <w:rPr>
                <w:rFonts w:cs="Calibri"/>
                <w:b/>
                <w:bCs/>
                <w:color w:val="000000"/>
                <w:szCs w:val="18"/>
              </w:rPr>
              <w:t>R</w:t>
            </w:r>
            <w:r>
              <w:rPr>
                <w:rFonts w:cs="Calibri"/>
                <w:color w:val="000000"/>
                <w:szCs w:val="18"/>
              </w:rPr>
              <w:t xml:space="preserve">ealistic, </w:t>
            </w:r>
            <w:proofErr w:type="gramStart"/>
            <w:r>
              <w:rPr>
                <w:rFonts w:cs="Calibri"/>
                <w:b/>
                <w:bCs/>
                <w:color w:val="000000"/>
                <w:szCs w:val="18"/>
              </w:rPr>
              <w:t>T</w:t>
            </w:r>
            <w:r>
              <w:rPr>
                <w:rFonts w:cs="Calibri"/>
                <w:color w:val="000000"/>
                <w:szCs w:val="18"/>
              </w:rPr>
              <w:t>ime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-sensitive </w:t>
            </w:r>
            <w:r w:rsidRPr="00CD10DE">
              <w:rPr>
                <w:rFonts w:cs="Calibri"/>
                <w:b/>
                <w:color w:val="000000"/>
                <w:szCs w:val="18"/>
              </w:rPr>
              <w:t>(</w:t>
            </w:r>
            <w:r w:rsidRPr="00CD10DE">
              <w:rPr>
                <w:rFonts w:cs="Calibri"/>
                <w:b/>
                <w:bCs/>
                <w:color w:val="000000"/>
                <w:szCs w:val="18"/>
              </w:rPr>
              <w:t>SMART</w:t>
            </w:r>
            <w:r w:rsidRPr="00CD10DE">
              <w:rPr>
                <w:rFonts w:cs="Calibri"/>
                <w:b/>
                <w:color w:val="000000"/>
                <w:szCs w:val="18"/>
              </w:rPr>
              <w:t>).</w:t>
            </w:r>
          </w:p>
        </w:tc>
        <w:tc>
          <w:tcPr>
            <w:tcW w:w="39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Unacceptable-0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 xml:space="preserve">Semester goal is not </w:t>
            </w:r>
            <w:r>
              <w:rPr>
                <w:rFonts w:cs="Calibri"/>
                <w:b/>
                <w:bCs/>
                <w:color w:val="000000"/>
                <w:szCs w:val="18"/>
              </w:rPr>
              <w:t>S</w:t>
            </w:r>
            <w:r>
              <w:rPr>
                <w:rFonts w:cs="Calibri"/>
                <w:color w:val="000000"/>
                <w:szCs w:val="18"/>
              </w:rPr>
              <w:t xml:space="preserve">pecific, </w:t>
            </w:r>
            <w:r>
              <w:rPr>
                <w:rFonts w:cs="Calibri"/>
                <w:b/>
                <w:bCs/>
                <w:color w:val="000000"/>
                <w:szCs w:val="18"/>
              </w:rPr>
              <w:t>M</w:t>
            </w:r>
            <w:r>
              <w:rPr>
                <w:rFonts w:cs="Calibri"/>
                <w:color w:val="000000"/>
                <w:szCs w:val="18"/>
              </w:rPr>
              <w:t xml:space="preserve">easurable, </w:t>
            </w:r>
            <w:r>
              <w:rPr>
                <w:rFonts w:cs="Calibri"/>
                <w:b/>
                <w:bCs/>
                <w:color w:val="000000"/>
                <w:szCs w:val="18"/>
              </w:rPr>
              <w:t>A</w:t>
            </w:r>
            <w:r>
              <w:rPr>
                <w:rFonts w:cs="Calibri"/>
                <w:color w:val="000000"/>
                <w:szCs w:val="18"/>
              </w:rPr>
              <w:t xml:space="preserve">ction-oriented, </w:t>
            </w:r>
            <w:r>
              <w:rPr>
                <w:rFonts w:cs="Calibri"/>
                <w:b/>
                <w:bCs/>
                <w:color w:val="000000"/>
                <w:szCs w:val="18"/>
              </w:rPr>
              <w:t>R</w:t>
            </w:r>
            <w:r>
              <w:rPr>
                <w:rFonts w:cs="Calibri"/>
                <w:color w:val="000000"/>
                <w:szCs w:val="18"/>
              </w:rPr>
              <w:t xml:space="preserve">ealistic, </w:t>
            </w:r>
            <w:proofErr w:type="gramStart"/>
            <w:r>
              <w:rPr>
                <w:rFonts w:cs="Calibri"/>
                <w:b/>
                <w:bCs/>
                <w:color w:val="000000"/>
                <w:szCs w:val="18"/>
              </w:rPr>
              <w:t>T</w:t>
            </w:r>
            <w:r>
              <w:rPr>
                <w:rFonts w:cs="Calibri"/>
                <w:color w:val="000000"/>
                <w:szCs w:val="18"/>
              </w:rPr>
              <w:t>ime</w:t>
            </w:r>
            <w:proofErr w:type="gramEnd"/>
            <w:r>
              <w:rPr>
                <w:rFonts w:cs="Calibri"/>
                <w:color w:val="000000"/>
                <w:szCs w:val="18"/>
              </w:rPr>
              <w:t xml:space="preserve">-sensitive </w:t>
            </w:r>
            <w:r w:rsidRPr="00CD10DE">
              <w:rPr>
                <w:rFonts w:cs="Calibri"/>
                <w:b/>
                <w:color w:val="000000"/>
                <w:szCs w:val="18"/>
              </w:rPr>
              <w:t>(</w:t>
            </w:r>
            <w:r w:rsidRPr="00CD10DE">
              <w:rPr>
                <w:rFonts w:cs="Calibri"/>
                <w:b/>
                <w:bCs/>
                <w:color w:val="000000"/>
                <w:szCs w:val="18"/>
              </w:rPr>
              <w:t>SMART</w:t>
            </w:r>
            <w:r w:rsidRPr="00CD10DE">
              <w:rPr>
                <w:rFonts w:cs="Calibri"/>
                <w:b/>
                <w:color w:val="000000"/>
                <w:szCs w:val="18"/>
              </w:rPr>
              <w:t>).</w:t>
            </w:r>
          </w:p>
        </w:tc>
      </w:tr>
      <w:tr w:rsidR="0007549F" w:rsidTr="0071699C">
        <w:trPr>
          <w:trHeight w:val="635"/>
          <w:jc w:val="center"/>
        </w:trPr>
        <w:tc>
          <w:tcPr>
            <w:tcW w:w="206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  <w:t>Semester Timeline</w:t>
            </w:r>
          </w:p>
        </w:tc>
        <w:tc>
          <w:tcPr>
            <w:tcW w:w="38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Proficient-6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 xml:space="preserve">Semester timeline with description and milestones are </w:t>
            </w:r>
            <w:r>
              <w:rPr>
                <w:rFonts w:cs="Calibri"/>
                <w:b/>
                <w:bCs/>
                <w:color w:val="000000"/>
                <w:szCs w:val="18"/>
              </w:rPr>
              <w:t>SMART</w:t>
            </w:r>
            <w:r>
              <w:rPr>
                <w:rFonts w:cs="Calibri"/>
                <w:color w:val="000000"/>
                <w:szCs w:val="18"/>
              </w:rPr>
              <w:t>.</w:t>
            </w:r>
          </w:p>
        </w:tc>
        <w:tc>
          <w:tcPr>
            <w:tcW w:w="378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Basic-3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 xml:space="preserve">Semester timeline with description or milestones are not </w:t>
            </w:r>
            <w:r>
              <w:rPr>
                <w:rFonts w:cs="Calibri"/>
                <w:b/>
                <w:bCs/>
                <w:color w:val="000000"/>
                <w:szCs w:val="18"/>
              </w:rPr>
              <w:t>SMART</w:t>
            </w:r>
            <w:r>
              <w:rPr>
                <w:rFonts w:cs="Calibri"/>
                <w:color w:val="000000"/>
                <w:szCs w:val="18"/>
              </w:rPr>
              <w:t>.</w:t>
            </w:r>
          </w:p>
        </w:tc>
        <w:tc>
          <w:tcPr>
            <w:tcW w:w="39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Unacceptable-1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>Semester timeline with description and milestones are not SMART.</w:t>
            </w:r>
          </w:p>
        </w:tc>
      </w:tr>
      <w:tr w:rsidR="0007549F" w:rsidTr="0071699C">
        <w:trPr>
          <w:trHeight w:val="554"/>
          <w:jc w:val="center"/>
        </w:trPr>
        <w:tc>
          <w:tcPr>
            <w:tcW w:w="206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18"/>
              </w:rPr>
              <w:t>Tasks Description</w:t>
            </w:r>
          </w:p>
        </w:tc>
        <w:tc>
          <w:tcPr>
            <w:tcW w:w="38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Proficient-</w:t>
            </w: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1</w:t>
            </w: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2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>Task descriptions provided for all tasks and are SMART</w:t>
            </w:r>
          </w:p>
        </w:tc>
        <w:tc>
          <w:tcPr>
            <w:tcW w:w="378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Basic-6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>Task descriptions provided for all tasks and are not SMART</w:t>
            </w:r>
          </w:p>
        </w:tc>
        <w:tc>
          <w:tcPr>
            <w:tcW w:w="39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Unacceptable-1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 xml:space="preserve">Task descriptions not provided some tasks </w:t>
            </w:r>
            <w:r w:rsidRPr="00865059">
              <w:rPr>
                <w:rFonts w:cs="Calibri"/>
                <w:color w:val="000000"/>
                <w:szCs w:val="18"/>
              </w:rPr>
              <w:t xml:space="preserve">and/or not </w:t>
            </w:r>
            <w:r w:rsidRPr="00865059">
              <w:rPr>
                <w:rFonts w:cs="Calibri"/>
                <w:bCs/>
                <w:color w:val="000000"/>
                <w:szCs w:val="18"/>
              </w:rPr>
              <w:t>SMART.</w:t>
            </w:r>
          </w:p>
        </w:tc>
      </w:tr>
      <w:tr w:rsidR="0007549F" w:rsidTr="0071699C">
        <w:trPr>
          <w:trHeight w:val="410"/>
          <w:jc w:val="center"/>
        </w:trPr>
        <w:tc>
          <w:tcPr>
            <w:tcW w:w="206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Spelling and Grammar</w:t>
            </w:r>
          </w:p>
        </w:tc>
        <w:tc>
          <w:tcPr>
            <w:tcW w:w="38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Proficient-2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>No spelling or grammar errors</w:t>
            </w:r>
          </w:p>
        </w:tc>
        <w:tc>
          <w:tcPr>
            <w:tcW w:w="378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 w:rsidRPr="00715799"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Basic-1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>Few spelling or grammatical errors</w:t>
            </w:r>
          </w:p>
        </w:tc>
        <w:tc>
          <w:tcPr>
            <w:tcW w:w="3970" w:type="dxa"/>
            <w:shd w:val="clear" w:color="auto" w:fill="auto"/>
            <w:tcMar>
              <w:left w:w="72" w:type="dxa"/>
              <w:right w:w="72" w:type="dxa"/>
            </w:tcMar>
            <w:vAlign w:val="center"/>
            <w:hideMark/>
          </w:tcPr>
          <w:p w:rsidR="0007549F" w:rsidRPr="00715799" w:rsidRDefault="0007549F" w:rsidP="0071699C">
            <w:pPr>
              <w:jc w:val="center"/>
              <w:rPr>
                <w:rFonts w:ascii="Kievit SC Offc Pro Book" w:hAnsi="Kievit SC Offc Pro Boo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Kievit SC Offc Pro Book" w:hAnsi="Kievit SC Offc Pro Book"/>
                <w:b/>
                <w:bCs/>
                <w:color w:val="000000"/>
                <w:sz w:val="20"/>
                <w:szCs w:val="20"/>
              </w:rPr>
              <w:t>Unacceptable-0</w:t>
            </w:r>
          </w:p>
          <w:p w:rsidR="0007549F" w:rsidRDefault="0007549F" w:rsidP="0071699C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Cs w:val="18"/>
              </w:rPr>
              <w:t>Obvious spelling and grammatical errors</w:t>
            </w:r>
          </w:p>
        </w:tc>
      </w:tr>
    </w:tbl>
    <w:p w:rsidR="00DB543A" w:rsidRPr="00B75841" w:rsidRDefault="00B75841" w:rsidP="0007549F">
      <w:pPr>
        <w:ind w:hanging="360"/>
        <w:rPr>
          <w:rFonts w:ascii="Kievit SC Offc Pro Book" w:hAnsi="Kievit SC Offc Pro Book"/>
          <w:b/>
          <w:sz w:val="20"/>
        </w:rPr>
      </w:pPr>
      <w:r w:rsidRPr="00B75841">
        <w:rPr>
          <w:rFonts w:ascii="Kievit SC Offc Pro Book" w:hAnsi="Kievit SC Offc Pro Book"/>
          <w:b/>
          <w:sz w:val="20"/>
        </w:rPr>
        <w:t>Notes:</w:t>
      </w:r>
      <w:bookmarkStart w:id="0" w:name="_GoBack"/>
      <w:bookmarkEnd w:id="0"/>
    </w:p>
    <w:sectPr w:rsidR="00DB543A" w:rsidRPr="00B75841" w:rsidSect="00681241">
      <w:headerReference w:type="default" r:id="rId7"/>
      <w:footerReference w:type="default" r:id="rId8"/>
      <w:pgSz w:w="15840" w:h="12240" w:orient="landscape"/>
      <w:pgMar w:top="117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45C" w:rsidRDefault="0070545C" w:rsidP="00CB354D">
      <w:r>
        <w:separator/>
      </w:r>
    </w:p>
  </w:endnote>
  <w:endnote w:type="continuationSeparator" w:id="0">
    <w:p w:rsidR="0070545C" w:rsidRDefault="0070545C" w:rsidP="00CB3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426" w:rsidRPr="00681241" w:rsidRDefault="00685426" w:rsidP="0007549F">
    <w:pPr>
      <w:pStyle w:val="BodyText"/>
      <w:tabs>
        <w:tab w:val="right" w:pos="13320"/>
      </w:tabs>
      <w:spacing w:after="0" w:line="200" w:lineRule="exact"/>
      <w:ind w:right="-360" w:hanging="360"/>
      <w:rPr>
        <w:sz w:val="20"/>
        <w:szCs w:val="20"/>
      </w:rPr>
    </w:pPr>
    <w:proofErr w:type="gramStart"/>
    <w:r w:rsidRPr="00681241">
      <w:rPr>
        <w:sz w:val="20"/>
        <w:szCs w:val="20"/>
      </w:rPr>
      <w:t>p</w:t>
    </w:r>
    <w:proofErr w:type="gramEnd"/>
    <w:r w:rsidRPr="00681241">
      <w:rPr>
        <w:sz w:val="20"/>
        <w:szCs w:val="20"/>
      </w:rPr>
      <w:t>:</w:t>
    </w:r>
    <w:r w:rsidRPr="00681241">
      <w:rPr>
        <w:spacing w:val="2"/>
        <w:sz w:val="20"/>
        <w:szCs w:val="20"/>
      </w:rPr>
      <w:t xml:space="preserve"> </w:t>
    </w:r>
    <w:r w:rsidRPr="00681241">
      <w:rPr>
        <w:sz w:val="20"/>
        <w:szCs w:val="20"/>
      </w:rPr>
      <w:t>209-756-7869</w:t>
    </w:r>
    <w:r w:rsidRPr="00681241">
      <w:rPr>
        <w:sz w:val="20"/>
        <w:szCs w:val="20"/>
      </w:rPr>
      <w:tab/>
      <w:t xml:space="preserve">Revised: </w:t>
    </w:r>
    <w:r w:rsidR="00D978CD">
      <w:rPr>
        <w:sz w:val="20"/>
        <w:szCs w:val="20"/>
      </w:rPr>
      <w:t>June 13, 2017</w:t>
    </w:r>
  </w:p>
  <w:p w:rsidR="00685426" w:rsidRPr="00681241" w:rsidRDefault="00685426" w:rsidP="0007549F">
    <w:pPr>
      <w:pStyle w:val="BodyText"/>
      <w:tabs>
        <w:tab w:val="right" w:pos="9450"/>
        <w:tab w:val="right" w:pos="13320"/>
      </w:tabs>
      <w:spacing w:after="0" w:line="200" w:lineRule="exact"/>
      <w:ind w:right="-360" w:hanging="360"/>
      <w:rPr>
        <w:sz w:val="20"/>
        <w:szCs w:val="20"/>
      </w:rPr>
    </w:pPr>
    <w:proofErr w:type="gramStart"/>
    <w:r w:rsidRPr="00681241">
      <w:rPr>
        <w:sz w:val="20"/>
        <w:szCs w:val="20"/>
      </w:rPr>
      <w:t>e</w:t>
    </w:r>
    <w:proofErr w:type="gramEnd"/>
    <w:r w:rsidRPr="00681241">
      <w:rPr>
        <w:sz w:val="20"/>
        <w:szCs w:val="20"/>
      </w:rPr>
      <w:t>: engsl@ucmerced.edu</w:t>
    </w:r>
  </w:p>
  <w:p w:rsidR="009760F7" w:rsidRPr="00681241" w:rsidRDefault="00685426" w:rsidP="0007549F">
    <w:pPr>
      <w:pStyle w:val="BodyText"/>
      <w:tabs>
        <w:tab w:val="right" w:pos="9450"/>
        <w:tab w:val="right" w:pos="13320"/>
      </w:tabs>
      <w:spacing w:after="0" w:line="200" w:lineRule="exact"/>
      <w:ind w:right="-360" w:hanging="360"/>
      <w:rPr>
        <w:sz w:val="20"/>
        <w:szCs w:val="20"/>
      </w:rPr>
    </w:pPr>
    <w:proofErr w:type="gramStart"/>
    <w:r w:rsidRPr="00681241">
      <w:rPr>
        <w:spacing w:val="-1"/>
        <w:sz w:val="20"/>
        <w:szCs w:val="20"/>
      </w:rPr>
      <w:t>w</w:t>
    </w:r>
    <w:proofErr w:type="gramEnd"/>
    <w:r w:rsidRPr="00681241">
      <w:rPr>
        <w:spacing w:val="-2"/>
        <w:sz w:val="20"/>
        <w:szCs w:val="20"/>
      </w:rPr>
      <w:t>:</w:t>
    </w:r>
    <w:r w:rsidRPr="00681241">
      <w:rPr>
        <w:spacing w:val="-1"/>
        <w:sz w:val="20"/>
        <w:szCs w:val="20"/>
      </w:rPr>
      <w:t xml:space="preserve"> engineeringservicelearning.ucmerced.edu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45C" w:rsidRDefault="0070545C" w:rsidP="00CB354D">
      <w:r>
        <w:separator/>
      </w:r>
    </w:p>
  </w:footnote>
  <w:footnote w:type="continuationSeparator" w:id="0">
    <w:p w:rsidR="0070545C" w:rsidRDefault="0070545C" w:rsidP="00CB3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670" w:rsidRPr="009612C3" w:rsidRDefault="003C0670" w:rsidP="003C0670">
    <w:pPr>
      <w:pStyle w:val="BodyText"/>
      <w:tabs>
        <w:tab w:val="right" w:pos="12859"/>
      </w:tabs>
      <w:spacing w:after="0" w:line="240" w:lineRule="auto"/>
      <w:ind w:right="101"/>
      <w:rPr>
        <w:sz w:val="20"/>
        <w:szCs w:val="20"/>
      </w:rPr>
    </w:pPr>
    <w:r w:rsidRPr="009612C3">
      <w:rPr>
        <w:sz w:val="20"/>
        <w:szCs w:val="20"/>
      </w:rPr>
      <w:tab/>
    </w:r>
    <w:r w:rsidR="003B05E1" w:rsidRPr="009612C3">
      <w:rPr>
        <w:noProof/>
        <w:color w:val="2980B9"/>
        <w:sz w:val="20"/>
        <w:szCs w:val="20"/>
      </w:rPr>
      <w:drawing>
        <wp:inline distT="0" distB="0" distL="0" distR="0" wp14:anchorId="5ADAC43A" wp14:editId="15A6BDF0">
          <wp:extent cx="2540271" cy="731520"/>
          <wp:effectExtent l="0" t="0" r="0" b="0"/>
          <wp:docPr id="21" name="Picture 21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27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12C3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47F8"/>
    <w:multiLevelType w:val="multilevel"/>
    <w:tmpl w:val="2CC6FD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E75497"/>
    <w:multiLevelType w:val="hybridMultilevel"/>
    <w:tmpl w:val="495E085C"/>
    <w:lvl w:ilvl="0" w:tplc="246A7ED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07F30"/>
    <w:rsid w:val="00010D45"/>
    <w:rsid w:val="00012827"/>
    <w:rsid w:val="0007549F"/>
    <w:rsid w:val="0008797A"/>
    <w:rsid w:val="000926B6"/>
    <w:rsid w:val="00097291"/>
    <w:rsid w:val="000979CE"/>
    <w:rsid w:val="0011765C"/>
    <w:rsid w:val="001632F8"/>
    <w:rsid w:val="001D2451"/>
    <w:rsid w:val="001E316C"/>
    <w:rsid w:val="001F43E9"/>
    <w:rsid w:val="00201976"/>
    <w:rsid w:val="00222C99"/>
    <w:rsid w:val="00260F2E"/>
    <w:rsid w:val="002B5F21"/>
    <w:rsid w:val="002E21D9"/>
    <w:rsid w:val="002F4B81"/>
    <w:rsid w:val="00312245"/>
    <w:rsid w:val="0032292E"/>
    <w:rsid w:val="003246EE"/>
    <w:rsid w:val="00324A1F"/>
    <w:rsid w:val="003261AD"/>
    <w:rsid w:val="0033119E"/>
    <w:rsid w:val="00385DB4"/>
    <w:rsid w:val="003B05E1"/>
    <w:rsid w:val="003C0670"/>
    <w:rsid w:val="003E1E7F"/>
    <w:rsid w:val="0040575A"/>
    <w:rsid w:val="0048601D"/>
    <w:rsid w:val="004A396F"/>
    <w:rsid w:val="005267A7"/>
    <w:rsid w:val="0056582C"/>
    <w:rsid w:val="005959DD"/>
    <w:rsid w:val="005B20D9"/>
    <w:rsid w:val="005C7D31"/>
    <w:rsid w:val="005D6687"/>
    <w:rsid w:val="00633EA1"/>
    <w:rsid w:val="006534A1"/>
    <w:rsid w:val="00681241"/>
    <w:rsid w:val="00685426"/>
    <w:rsid w:val="0070545C"/>
    <w:rsid w:val="00727B8C"/>
    <w:rsid w:val="007934CA"/>
    <w:rsid w:val="007E5DAB"/>
    <w:rsid w:val="007F0C5E"/>
    <w:rsid w:val="007F6DBD"/>
    <w:rsid w:val="00813DE2"/>
    <w:rsid w:val="008A6F68"/>
    <w:rsid w:val="008B009B"/>
    <w:rsid w:val="008C33FC"/>
    <w:rsid w:val="008E6555"/>
    <w:rsid w:val="008F1F2F"/>
    <w:rsid w:val="009048AE"/>
    <w:rsid w:val="0090676F"/>
    <w:rsid w:val="009612C3"/>
    <w:rsid w:val="009760F7"/>
    <w:rsid w:val="009D741A"/>
    <w:rsid w:val="00A13EC5"/>
    <w:rsid w:val="00A265AA"/>
    <w:rsid w:val="00A3466C"/>
    <w:rsid w:val="00A54049"/>
    <w:rsid w:val="00AB58AD"/>
    <w:rsid w:val="00AF7B59"/>
    <w:rsid w:val="00B1339C"/>
    <w:rsid w:val="00B15182"/>
    <w:rsid w:val="00B156C9"/>
    <w:rsid w:val="00B20507"/>
    <w:rsid w:val="00B2467B"/>
    <w:rsid w:val="00B33489"/>
    <w:rsid w:val="00B34FC2"/>
    <w:rsid w:val="00B75841"/>
    <w:rsid w:val="00BA6D5E"/>
    <w:rsid w:val="00C3464D"/>
    <w:rsid w:val="00C55203"/>
    <w:rsid w:val="00C63D48"/>
    <w:rsid w:val="00CA589B"/>
    <w:rsid w:val="00CB354D"/>
    <w:rsid w:val="00CC67D2"/>
    <w:rsid w:val="00D324A1"/>
    <w:rsid w:val="00D36268"/>
    <w:rsid w:val="00D84422"/>
    <w:rsid w:val="00D978CD"/>
    <w:rsid w:val="00DA2559"/>
    <w:rsid w:val="00DB543A"/>
    <w:rsid w:val="00DE430A"/>
    <w:rsid w:val="00E0138E"/>
    <w:rsid w:val="00E24973"/>
    <w:rsid w:val="00E51980"/>
    <w:rsid w:val="00E65FC9"/>
    <w:rsid w:val="00E707FE"/>
    <w:rsid w:val="00E80907"/>
    <w:rsid w:val="00E92243"/>
    <w:rsid w:val="00E938BC"/>
    <w:rsid w:val="00EA5AFB"/>
    <w:rsid w:val="00EE18B8"/>
    <w:rsid w:val="00F548C6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1E2A2"/>
  <w15:docId w15:val="{A1A9218A-98E4-428A-A69E-B6080A9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CD"/>
    <w:pPr>
      <w:spacing w:before="120" w:after="12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8AE"/>
    <w:pPr>
      <w:keepNext/>
      <w:keepLines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59"/>
    <w:pPr>
      <w:keepNext/>
      <w:keepLines/>
      <w:spacing w:before="20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55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5E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5E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004E4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5E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5E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5E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5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8AE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559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2559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978CD"/>
    <w:pPr>
      <w:pBdr>
        <w:bottom w:val="single" w:sz="8" w:space="4" w:color="0084BC"/>
      </w:pBdr>
      <w:spacing w:after="240"/>
      <w:ind w:left="-360" w:right="-360"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8CD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</w:style>
  <w:style w:type="table" w:styleId="TableGrid">
    <w:name w:val="Table Grid"/>
    <w:basedOn w:val="TableNormal"/>
    <w:uiPriority w:val="9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5E"/>
    <w:rPr>
      <w:rFonts w:asciiTheme="majorHAnsi" w:eastAsiaTheme="majorEastAsia" w:hAnsiTheme="majorHAnsi" w:cstheme="majorBidi"/>
      <w:b/>
      <w:bCs/>
      <w:i/>
      <w:iCs/>
      <w:color w:val="009EA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5E"/>
    <w:rPr>
      <w:rFonts w:asciiTheme="majorHAnsi" w:eastAsiaTheme="majorEastAsia" w:hAnsiTheme="majorHAnsi" w:cstheme="majorBidi"/>
      <w:color w:val="004E4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5E"/>
    <w:rPr>
      <w:rFonts w:asciiTheme="majorHAnsi" w:eastAsiaTheme="majorEastAsia" w:hAnsiTheme="majorHAnsi" w:cstheme="majorBidi"/>
      <w:i/>
      <w:iCs/>
      <w:color w:val="004E4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A6D5E"/>
    <w:rPr>
      <w:rFonts w:cstheme="min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A6D5E"/>
    <w:pPr>
      <w:ind w:left="220"/>
    </w:pPr>
    <w:rPr>
      <w:rFonts w:cstheme="minorBidi"/>
      <w:b/>
    </w:rPr>
  </w:style>
  <w:style w:type="paragraph" w:styleId="TOC3">
    <w:name w:val="toc 3"/>
    <w:basedOn w:val="Normal"/>
    <w:next w:val="Normal"/>
    <w:autoRedefine/>
    <w:uiPriority w:val="39"/>
    <w:unhideWhenUsed/>
    <w:rsid w:val="00BA6D5E"/>
    <w:pPr>
      <w:ind w:left="440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BA6D5E"/>
    <w:pPr>
      <w:numPr>
        <w:numId w:val="2"/>
      </w:numPr>
      <w:spacing w:after="200"/>
      <w:ind w:left="720"/>
    </w:pPr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BA6D5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B354D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685426"/>
    <w:pPr>
      <w:spacing w:after="80" w:line="276" w:lineRule="auto"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8542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3</cp:revision>
  <cp:lastPrinted>2017-05-31T22:39:00Z</cp:lastPrinted>
  <dcterms:created xsi:type="dcterms:W3CDTF">2017-06-01T22:55:00Z</dcterms:created>
  <dcterms:modified xsi:type="dcterms:W3CDTF">2017-06-13T20:26:00Z</dcterms:modified>
</cp:coreProperties>
</file>