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40"/>
          <w:szCs w:val="40"/>
        </w:rPr>
        <w:t xml:space="preserve">Asignación de Emociones por Color CIELAB</w:t>
      </w:r>
    </w:p>
    <w:p>
      <w:pPr>
        <w:spacing w:before="0" w:after="80"/>
        <w:jc w:val="center"/>
      </w:pPr>
      <w:r>
        <w:rPr>
          <w:rFonts w:ascii="Arial" w:cs="Arial" w:eastAsia="Arial" w:hAnsi="Arial"/>
          <w:i/>
          <w:iCs/>
          <w:color w:val="2E75B6"/>
          <w:sz w:val="24"/>
          <w:szCs w:val="24"/>
        </w:rPr>
        <w:t xml:space="preserve">Metodología aplicada al dataset de productos de consumo</w:t>
      </w:r>
    </w:p>
    <w:p>
      <w:pPr>
        <w:spacing w:before="0" w:after="40"/>
        <w:jc w:val="center"/>
      </w:pPr>
      <w:r>
        <w:rPr>
          <w:rFonts w:ascii="Arial" w:cs="Arial" w:eastAsia="Arial" w:hAnsi="Arial"/>
          <w:color w:val="666666"/>
          <w:sz w:val="20"/>
          <w:szCs w:val="20"/>
        </w:rPr>
        <w:t xml:space="preserve">TFG — Análisis del impacto del color en las emociones del consumidor</w:t>
      </w:r>
    </w:p>
    <w:p>
      <w:pPr>
        <w:pBdr>
          <w:bottom w:val="single" w:color="2E75B6" w:sz="4" w:space="1"/>
        </w:pBdr>
        <w:spacing w:before="160" w:after="160"/>
      </w:pPr>
    </w:p>
    <w:p>
      <w:pPr>
        <w:pStyle w:val="Heading1"/>
        <w:spacing w:before="320" w:after="160"/>
      </w:pPr>
      <w:r>
        <w:rPr>
          <w:rFonts w:ascii="Arial" w:cs="Arial" w:eastAsia="Arial" w:hAnsi="Arial"/>
          <w:b/>
          <w:bCs/>
          <w:color w:val="1F4E79"/>
          <w:sz w:val="32"/>
          <w:szCs w:val="32"/>
        </w:rPr>
        <w:t xml:space="preserve">1. Introducción y justificación del enfoque</w:t>
      </w:r>
    </w:p>
    <w:p>
      <w:pPr>
        <w:spacing w:before="80" w:after="120"/>
        <w:jc w:val="both"/>
      </w:pPr>
      <w:r>
        <w:rPr>
          <w:rFonts w:ascii="Arial" w:cs="Arial" w:eastAsia="Arial" w:hAnsi="Arial"/>
          <w:sz w:val="22"/>
          <w:szCs w:val="22"/>
        </w:rPr>
        <w:t xml:space="preserve">El objetivo de esta fase del TFG es asignar a cada imagen de producto del dataset una </w:t>
      </w:r>
      <w:r>
        <w:rPr>
          <w:rFonts w:ascii="Arial" w:cs="Arial" w:eastAsia="Arial" w:hAnsi="Arial"/>
          <w:b/>
          <w:bCs/>
          <w:sz w:val="22"/>
          <w:szCs w:val="22"/>
        </w:rPr>
        <w:t xml:space="preserve">emoción concreta</w:t>
      </w:r>
      <w:r>
        <w:rPr>
          <w:rFonts w:ascii="Arial" w:cs="Arial" w:eastAsia="Arial" w:hAnsi="Arial"/>
          <w:sz w:val="22"/>
          <w:szCs w:val="22"/>
        </w:rPr>
        <w:t xml:space="preserve"> derivada de las características cromáticas de su packaging. Esta variable emoción constituye la </w:t>
      </w:r>
      <w:r>
        <w:rPr>
          <w:rFonts w:ascii="Arial" w:cs="Arial" w:eastAsia="Arial" w:hAnsi="Arial"/>
          <w:b/>
          <w:bCs/>
          <w:sz w:val="22"/>
          <w:szCs w:val="22"/>
        </w:rPr>
        <w:t xml:space="preserve">variable objetivo</w:t>
      </w:r>
      <w:r>
        <w:rPr>
          <w:rFonts w:ascii="Arial" w:cs="Arial" w:eastAsia="Arial" w:hAnsi="Arial"/>
          <w:sz w:val="22"/>
          <w:szCs w:val="22"/>
        </w:rPr>
        <w:t xml:space="preserve"> del modelo predictivo posterior que se desarrollará en SAS Viya.</w:t>
      </w:r>
    </w:p>
    <w:p>
      <w:pPr>
        <w:spacing w:before="80" w:after="120"/>
        <w:jc w:val="both"/>
      </w:pPr>
      <w:r>
        <w:rPr>
          <w:rFonts w:ascii="Arial" w:cs="Arial" w:eastAsia="Arial" w:hAnsi="Arial"/>
          <w:sz w:val="22"/>
          <w:szCs w:val="22"/>
        </w:rPr>
        <w:t xml:space="preserve">Para llevar a cabo esta asignación se ha adoptado un enfoque basado en </w:t>
      </w:r>
      <w:r>
        <w:rPr>
          <w:rFonts w:ascii="Arial" w:cs="Arial" w:eastAsia="Arial" w:hAnsi="Arial"/>
          <w:b/>
          <w:bCs/>
          <w:sz w:val="22"/>
          <w:szCs w:val="22"/>
        </w:rPr>
        <w:t xml:space="preserve">conocimiento científico previo</w:t>
      </w:r>
      <w:r>
        <w:rPr>
          <w:rFonts w:ascii="Arial" w:cs="Arial" w:eastAsia="Arial" w:hAnsi="Arial"/>
          <w:sz w:val="22"/>
          <w:szCs w:val="22"/>
        </w:rPr>
        <w:t xml:space="preserve">, en lugar de un clustering exploratorio sin interpretación psicológica. La razón es que un algoritmo como K-Means agrupa los colores del dataset en función de su similitud estadística, pero los centroides resultantes no tienen nombre ni significado emocional verificado experimentalmente. En un TFG orientado a marketing, donde la variable objetivo debe ser interpretable y defendible, esto no es aceptable.</w:t>
      </w:r>
    </w:p>
    <w:p>
      <w:pPr>
        <w:spacing w:before="80" w:after="120"/>
        <w:jc w:val="both"/>
      </w:pPr>
      <w:r>
        <w:rPr>
          <w:rFonts w:ascii="Arial" w:cs="Arial" w:eastAsia="Arial" w:hAnsi="Arial"/>
          <w:sz w:val="22"/>
          <w:szCs w:val="22"/>
        </w:rPr>
        <w:t xml:space="preserve">El método adoptado es la </w:t>
      </w:r>
      <w:r>
        <w:rPr>
          <w:rFonts w:ascii="Arial" w:cs="Arial" w:eastAsia="Arial" w:hAnsi="Arial"/>
          <w:b/>
          <w:bCs/>
          <w:sz w:val="22"/>
          <w:szCs w:val="22"/>
        </w:rPr>
        <w:t xml:space="preserve">asignación por vecino más cercano con centroides fijados</w:t>
      </w:r>
      <w:r>
        <w:rPr>
          <w:rFonts w:ascii="Arial" w:cs="Arial" w:eastAsia="Arial" w:hAnsi="Arial"/>
          <w:sz w:val="22"/>
          <w:szCs w:val="22"/>
        </w:rPr>
        <w:t xml:space="preserve"> a partir de la literatura científica, lo que garantiza que cada emoción asignada responde a un constructo psicológico validado empíricamente con una muestra de consumidores reales.</w:t>
      </w:r>
    </w:p>
    <w:p>
      <w:pPr>
        <w:pBdr>
          <w:bottom w:val="single" w:color="2E75B6" w:sz="4" w:space="1"/>
        </w:pBdr>
        <w:spacing w:before="160" w:after="160"/>
      </w:pPr>
    </w:p>
    <w:p>
      <w:pPr>
        <w:pStyle w:val="Heading1"/>
        <w:spacing w:before="320" w:after="160"/>
      </w:pPr>
      <w:r>
        <w:rPr>
          <w:rFonts w:ascii="Arial" w:cs="Arial" w:eastAsia="Arial" w:hAnsi="Arial"/>
          <w:b/>
          <w:bCs/>
          <w:color w:val="1F4E79"/>
          <w:sz w:val="32"/>
          <w:szCs w:val="32"/>
        </w:rPr>
        <w:t xml:space="preserve">2. Marco teórico: el paper de Gilbert et al. (2016)</w:t>
      </w:r>
    </w:p>
    <w:p>
      <w:pPr>
        <w:spacing w:before="80" w:after="120"/>
        <w:jc w:val="both"/>
      </w:pPr>
      <w:r>
        <w:rPr>
          <w:rFonts w:ascii="Arial" w:cs="Arial" w:eastAsia="Arial" w:hAnsi="Arial"/>
          <w:sz w:val="22"/>
          <w:szCs w:val="22"/>
        </w:rPr>
        <w:t xml:space="preserve">La fuente principal de este método es el estudio de </w:t>
      </w:r>
      <w:r>
        <w:rPr>
          <w:rFonts w:ascii="Arial" w:cs="Arial" w:eastAsia="Arial" w:hAnsi="Arial"/>
          <w:b/>
          <w:bCs/>
          <w:sz w:val="22"/>
          <w:szCs w:val="22"/>
        </w:rPr>
        <w:t xml:space="preserve">Gilbert, Fridlund y Lucchina (2016)</w:t>
      </w:r>
      <w:r>
        <w:rPr>
          <w:rFonts w:ascii="Arial" w:cs="Arial" w:eastAsia="Arial" w:hAnsi="Arial"/>
          <w:sz w:val="22"/>
          <w:szCs w:val="22"/>
        </w:rPr>
        <w:t xml:space="preserve">, publicado en la revista </w:t>
      </w:r>
      <w:r>
        <w:rPr>
          <w:rFonts w:ascii="Arial" w:cs="Arial" w:eastAsia="Arial" w:hAnsi="Arial"/>
          <w:i/>
          <w:iCs/>
          <w:sz w:val="22"/>
          <w:szCs w:val="22"/>
        </w:rPr>
        <w:t xml:space="preserve">Food Quality and Preference</w:t>
      </w:r>
      <w:r>
        <w:rPr>
          <w:rFonts w:ascii="Arial" w:cs="Arial" w:eastAsia="Arial" w:hAnsi="Arial"/>
          <w:sz w:val="22"/>
          <w:szCs w:val="22"/>
        </w:rPr>
        <w:t xml:space="preserve">, titulado </w:t>
      </w:r>
      <w:r>
        <w:rPr>
          <w:rFonts w:ascii="Arial" w:cs="Arial" w:eastAsia="Arial" w:hAnsi="Arial"/>
          <w:i/>
          <w:iCs/>
          <w:sz w:val="22"/>
          <w:szCs w:val="22"/>
        </w:rPr>
        <w:t xml:space="preserve">"The color of emotion: A metric for implicit color associations"</w:t>
      </w:r>
      <w:r>
        <w:rPr>
          <w:rFonts w:ascii="Arial" w:cs="Arial" w:eastAsia="Arial" w:hAnsi="Arial"/>
          <w:sz w:val="22"/>
          <w:szCs w:val="22"/>
        </w:rPr>
        <w:t xml:space="preserve">. Se trata de una revista científica indexada de alto impacto en el área de psicología del consumidor y marketing sensorial.</w:t>
      </w:r>
    </w:p>
    <w:p>
      <w:pPr>
        <w:pStyle w:val="Heading2"/>
        <w:spacing w:before="240" w:after="120"/>
      </w:pPr>
      <w:r>
        <w:rPr>
          <w:rFonts w:ascii="Arial" w:cs="Arial" w:eastAsia="Arial" w:hAnsi="Arial"/>
          <w:b/>
          <w:bCs/>
          <w:color w:val="2E75B6"/>
          <w:sz w:val="26"/>
          <w:szCs w:val="26"/>
        </w:rPr>
        <w:t xml:space="preserve">2.1. Diseño del estudio</w:t>
      </w:r>
    </w:p>
    <w:p>
      <w:pPr>
        <w:spacing w:before="80" w:after="120"/>
        <w:jc w:val="both"/>
      </w:pPr>
      <w:r>
        <w:rPr>
          <w:rFonts w:ascii="Arial" w:cs="Arial" w:eastAsia="Arial" w:hAnsi="Arial"/>
          <w:sz w:val="22"/>
          <w:szCs w:val="22"/>
        </w:rPr>
        <w:t xml:space="preserve">El estudio contó con </w:t>
      </w:r>
      <w:r>
        <w:rPr>
          <w:rFonts w:ascii="Arial" w:cs="Arial" w:eastAsia="Arial" w:hAnsi="Arial"/>
          <w:b/>
          <w:bCs/>
          <w:sz w:val="22"/>
          <w:szCs w:val="22"/>
        </w:rPr>
        <w:t xml:space="preserve">194 participantes</w:t>
      </w:r>
      <w:r>
        <w:rPr>
          <w:rFonts w:ascii="Arial" w:cs="Arial" w:eastAsia="Arial" w:hAnsi="Arial"/>
          <w:sz w:val="22"/>
          <w:szCs w:val="22"/>
        </w:rPr>
        <w:t xml:space="preserve"> divididos en tres grupos de edad: adolescentes (13-16 años), adultos jóvenes (25-35 años) y adultos de mediana edad (36-45 años), con representación equilibrada de hombres y mujeres. Los participantes interactuaron con una aplicación en iPad que mostraba un término emocional (por ejemplo, </w:t>
      </w:r>
      <w:r>
        <w:rPr>
          <w:rFonts w:ascii="Arial" w:cs="Arial" w:eastAsia="Arial" w:hAnsi="Arial"/>
          <w:i/>
          <w:iCs/>
          <w:sz w:val="22"/>
          <w:szCs w:val="22"/>
        </w:rPr>
        <w:t xml:space="preserve">"I feel happy"</w:t>
      </w:r>
      <w:r>
        <w:rPr>
          <w:rFonts w:ascii="Arial" w:cs="Arial" w:eastAsia="Arial" w:hAnsi="Arial"/>
          <w:sz w:val="22"/>
          <w:szCs w:val="22"/>
        </w:rPr>
        <w:t xml:space="preserve">) y les pedía que seleccionasen el color que mejor lo representaba mediante una rueda de color y un deslizador de brillo, pudiendo elegir cualquier color del espectro visible sin restricciones.</w:t>
      </w:r>
    </w:p>
    <w:p>
      <w:pPr>
        <w:spacing w:before="80" w:after="120"/>
        <w:jc w:val="both"/>
      </w:pPr>
      <w:r>
        <w:rPr>
          <w:rFonts w:ascii="Arial" w:cs="Arial" w:eastAsia="Arial" w:hAnsi="Arial"/>
          <w:sz w:val="22"/>
          <w:szCs w:val="22"/>
        </w:rPr>
        <w:t xml:space="preserve">Para cada selección, el sistema registraba automáticamente los valores </w:t>
      </w:r>
      <w:r>
        <w:rPr>
          <w:rFonts w:ascii="Arial" w:cs="Arial" w:eastAsia="Arial" w:hAnsi="Arial"/>
          <w:b/>
          <w:bCs/>
          <w:sz w:val="22"/>
          <w:szCs w:val="22"/>
        </w:rPr>
        <w:t xml:space="preserve">RGB</w:t>
      </w:r>
      <w:r>
        <w:rPr>
          <w:rFonts w:ascii="Arial" w:cs="Arial" w:eastAsia="Arial" w:hAnsi="Arial"/>
          <w:sz w:val="22"/>
          <w:szCs w:val="22"/>
        </w:rPr>
        <w:t xml:space="preserve">, que fueron posteriormente convertidos al espacio de color </w:t>
      </w:r>
      <w:r>
        <w:rPr>
          <w:rFonts w:ascii="Arial" w:cs="Arial" w:eastAsia="Arial" w:hAnsi="Arial"/>
          <w:b/>
          <w:bCs/>
          <w:sz w:val="22"/>
          <w:szCs w:val="22"/>
        </w:rPr>
        <w:t xml:space="preserve">CIELAB (L*a*b*)</w:t>
      </w:r>
      <w:r>
        <w:rPr>
          <w:rFonts w:ascii="Arial" w:cs="Arial" w:eastAsia="Arial" w:hAnsi="Arial"/>
          <w:sz w:val="22"/>
          <w:szCs w:val="22"/>
        </w:rPr>
        <w:t xml:space="preserve">. Este espacio fue elegido por los autores porque está diseñado para ser </w:t>
      </w:r>
      <w:r>
        <w:rPr>
          <w:rFonts w:ascii="Arial" w:cs="Arial" w:eastAsia="Arial" w:hAnsi="Arial"/>
          <w:b/>
          <w:bCs/>
          <w:sz w:val="22"/>
          <w:szCs w:val="22"/>
        </w:rPr>
        <w:t xml:space="preserve">perceptualmente uniforme</w:t>
      </w:r>
      <w:r>
        <w:rPr>
          <w:rFonts w:ascii="Arial" w:cs="Arial" w:eastAsia="Arial" w:hAnsi="Arial"/>
          <w:sz w:val="22"/>
          <w:szCs w:val="22"/>
        </w:rPr>
        <w:t xml:space="preserve">: distancias iguales en el espacio L*a*b* corresponden a diferencias perceptuales iguales para el ojo humano, lo que lo hace especialmente adecuado para análisis estadístico y cuantitativo.</w:t>
      </w:r>
    </w:p>
    <w:p>
      <w:pPr>
        <w:pStyle w:val="Heading2"/>
        <w:spacing w:before="240" w:after="120"/>
      </w:pPr>
      <w:r>
        <w:rPr>
          <w:rFonts w:ascii="Arial" w:cs="Arial" w:eastAsia="Arial" w:hAnsi="Arial"/>
          <w:b/>
          <w:bCs/>
          <w:color w:val="2E75B6"/>
          <w:sz w:val="26"/>
          <w:szCs w:val="26"/>
        </w:rPr>
        <w:t xml:space="preserve">2.2. Las 20 emociones estudiadas</w:t>
      </w:r>
    </w:p>
    <w:p>
      <w:pPr>
        <w:spacing w:before="80" w:after="120"/>
        <w:jc w:val="both"/>
      </w:pPr>
      <w:r>
        <w:rPr>
          <w:rFonts w:ascii="Arial" w:cs="Arial" w:eastAsia="Arial" w:hAnsi="Arial"/>
          <w:sz w:val="22"/>
          <w:szCs w:val="22"/>
        </w:rPr>
        <w:t xml:space="preserve">El estudio midió asociaciones color-emoción para </w:t>
      </w:r>
      <w:r>
        <w:rPr>
          <w:rFonts w:ascii="Arial" w:cs="Arial" w:eastAsia="Arial" w:hAnsi="Arial"/>
          <w:b/>
          <w:bCs/>
          <w:sz w:val="22"/>
          <w:szCs w:val="22"/>
        </w:rPr>
        <w:t xml:space="preserve">20 términos emocionales</w:t>
      </w:r>
      <w:r>
        <w:rPr>
          <w:rFonts w:ascii="Arial" w:cs="Arial" w:eastAsia="Arial" w:hAnsi="Arial"/>
          <w:sz w:val="22"/>
          <w:szCs w:val="22"/>
        </w:rPr>
        <w:t xml:space="preserve"> especialmente relevantes en el contexto del consumo y el marketing: </w:t>
      </w:r>
      <w:r>
        <w:rPr>
          <w:rFonts w:ascii="Arial" w:cs="Arial" w:eastAsia="Arial" w:hAnsi="Arial"/>
          <w:i/>
          <w:iCs/>
          <w:sz w:val="22"/>
          <w:szCs w:val="22"/>
        </w:rPr>
        <w:t xml:space="preserve">angry, tense, irritated, anxious, energized, alert, happy, romantic, healthy, refreshed, relaxed, calm, soothed, sad, bored, tired, sleepy, hungry, thirsty</w:t>
      </w:r>
      <w:r>
        <w:rPr>
          <w:rFonts w:ascii="Arial" w:cs="Arial" w:eastAsia="Arial" w:hAnsi="Arial"/>
          <w:sz w:val="22"/>
          <w:szCs w:val="22"/>
        </w:rPr>
        <w:t xml:space="preserve"> y </w:t>
      </w:r>
      <w:r>
        <w:rPr>
          <w:rFonts w:ascii="Arial" w:cs="Arial" w:eastAsia="Arial" w:hAnsi="Arial"/>
          <w:i/>
          <w:iCs/>
          <w:sz w:val="22"/>
          <w:szCs w:val="22"/>
        </w:rPr>
        <w:t xml:space="preserve">sensual</w:t>
      </w:r>
      <w:r>
        <w:rPr>
          <w:rFonts w:ascii="Arial" w:cs="Arial" w:eastAsia="Arial" w:hAnsi="Arial"/>
          <w:sz w:val="22"/>
          <w:szCs w:val="22"/>
        </w:rPr>
        <w:t xml:space="preserve">. Estos términos fueron seleccionados por su relevancia para el diseño de producto y packaging, cubriendo un espectro amplio de estados emocionales tanto positivos como negativos, de alta y baja activación.</w:t>
      </w:r>
    </w:p>
    <w:p>
      <w:pPr>
        <w:pStyle w:val="Heading2"/>
        <w:spacing w:before="240" w:after="120"/>
      </w:pPr>
      <w:r>
        <w:rPr>
          <w:rFonts w:ascii="Arial" w:cs="Arial" w:eastAsia="Arial" w:hAnsi="Arial"/>
          <w:b/>
          <w:bCs/>
          <w:color w:val="2E75B6"/>
          <w:sz w:val="26"/>
          <w:szCs w:val="26"/>
        </w:rPr>
        <w:t xml:space="preserve">2.3. Resultados: centroides L*a*b* por emoción</w:t>
      </w:r>
    </w:p>
    <w:p>
      <w:pPr>
        <w:spacing w:before="80" w:after="120"/>
        <w:jc w:val="both"/>
      </w:pPr>
      <w:r>
        <w:rPr>
          <w:rFonts w:ascii="Arial" w:cs="Arial" w:eastAsia="Arial" w:hAnsi="Arial"/>
          <w:sz w:val="22"/>
          <w:szCs w:val="22"/>
        </w:rPr>
        <w:t xml:space="preserve">El análisis estadístico (MANOVA multivariante) confirmó que las asociaciones color-emoción son </w:t>
      </w:r>
      <w:r>
        <w:rPr>
          <w:rFonts w:ascii="Arial" w:cs="Arial" w:eastAsia="Arial" w:hAnsi="Arial"/>
          <w:b/>
          <w:bCs/>
          <w:sz w:val="22"/>
          <w:szCs w:val="22"/>
        </w:rPr>
        <w:t xml:space="preserve">no aleatorias y estadísticamente significativas</w:t>
      </w:r>
      <w:r>
        <w:rPr>
          <w:rFonts w:ascii="Arial" w:cs="Arial" w:eastAsia="Arial" w:hAnsi="Arial"/>
          <w:sz w:val="22"/>
          <w:szCs w:val="22"/>
        </w:rPr>
        <w:t xml:space="preserve"> en las tres dimensiones del espacio CIELAB (F</w:t>
      </w:r>
      <w:r>
        <w:rPr>
          <w:rFonts w:ascii="Arial" w:cs="Arial" w:eastAsia="Arial" w:hAnsi="Arial"/>
          <w:sz w:val="22"/>
          <w:szCs w:val="22"/>
        </w:rPr>
        <w:t xml:space="preserve">adj</w:t>
      </w:r>
      <w:r>
        <w:rPr>
          <w:rFonts w:ascii="Arial" w:cs="Arial" w:eastAsia="Arial" w:hAnsi="Arial"/>
          <w:sz w:val="22"/>
          <w:szCs w:val="22"/>
        </w:rPr>
        <w:t xml:space="preserve">(57,10645) = 65.5, p &lt; 0.00001). Esto valida que existe un patrón robusto y replicable de asociación entre colores específicos y emociones concretas.</w:t>
      </w:r>
    </w:p>
    <w:p>
      <w:pPr>
        <w:spacing w:before="80" w:after="120"/>
        <w:jc w:val="both"/>
      </w:pPr>
      <w:r>
        <w:rPr>
          <w:rFonts w:ascii="Arial" w:cs="Arial" w:eastAsia="Arial" w:hAnsi="Arial"/>
          <w:sz w:val="22"/>
          <w:szCs w:val="22"/>
        </w:rPr>
        <w:t xml:space="preserve">De los resultados del estudio se extrae el </w:t>
      </w:r>
      <w:r>
        <w:rPr>
          <w:rFonts w:ascii="Arial" w:cs="Arial" w:eastAsia="Arial" w:hAnsi="Arial"/>
          <w:b/>
          <w:bCs/>
          <w:sz w:val="22"/>
          <w:szCs w:val="22"/>
        </w:rPr>
        <w:t xml:space="preserve">centroide L*a*b* de cada emoción</w:t>
      </w:r>
      <w:r>
        <w:rPr>
          <w:rFonts w:ascii="Arial" w:cs="Arial" w:eastAsia="Arial" w:hAnsi="Arial"/>
          <w:sz w:val="22"/>
          <w:szCs w:val="22"/>
        </w:rPr>
        <w:t xml:space="preserve">, es decir, los valores medios de Luminosidad (L*), componente rojo-verde (a*) y componente amarillo-azul (b*) que los participantes asociaron con cada término emocional. Estos centroides se recogen en la Tabla 1.</w:t>
      </w:r>
    </w:p>
    <w:p>
      <w:pPr>
        <w:spacing w:before="160" w:after="80"/>
      </w:pPr>
      <w:r>
        <w:rPr>
          <w:rFonts w:ascii="Arial" w:cs="Arial" w:eastAsia="Arial" w:hAnsi="Arial"/>
          <w:b/>
          <w:bCs/>
          <w:i/>
          <w:iCs/>
          <w:color w:val="444444"/>
          <w:sz w:val="20"/>
          <w:szCs w:val="20"/>
        </w:rPr>
        <w:t xml:space="preserve">Tabla 1. Centroides L*a*b* de referencia por emoción (derivados de Gilbert et al., 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900"/>
        <w:gridCol w:w="1700"/>
        <w:gridCol w:w="35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Emoción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Color asociado</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Categoría de valencia</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Angry</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32</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+22</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1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Rojo oscuro</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Negativa - Alta activación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Tense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Rojo medio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Negativa - Alta activación</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Irritated</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48</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+14</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1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Rojo-naranja</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Negativa - Alta activación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Anxious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Naranja rojizo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Negativa - Alta activación</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Energized</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70</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w:t>
            </w:r>
          </w:p>
        </w:tc>
        <w:tc>
          <w:tcPr>
            <w:tcW w:type="dxa" w:w="1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Amarillo-naranja</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Positiva - Alta activación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Alert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Amarillo brillante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Positiva - Alta activación</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Happy</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82</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c>
          <w:tcPr>
            <w:tcW w:type="dxa" w:w="1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Amarillo claro</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Positiva - Alta activación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Romantic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Rosa-rojo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Positiva - Alta activación</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Healthy</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65</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+15</w:t>
            </w:r>
          </w:p>
        </w:tc>
        <w:tc>
          <w:tcPr>
            <w:tcW w:type="dxa" w:w="1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Verde</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Positiva - Baja activación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Refreshed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Azul-verde claro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Positiva - Baja activación</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Relaxed</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70</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1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Azul-verde</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Positiva - Baja activación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Calm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Azul claro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Positiva - Baja activación</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Soothed</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80</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1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Azul muy claro</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Positiva - Baja activación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Sad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Azul oscuro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Negativa - Baja activación</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Bored</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42</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1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Gris oscuro</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Negativa - Baja activación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Tired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Gris-azul oscuro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Negativa - Baja activación</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Sleepy</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44</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1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Gris azulado</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Negativa - Baja activación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Hungry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Naranja-marrón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Neutral - Sensorial</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Thirsty</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65</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Azul-gris</w:t>
            </w:r>
          </w:p>
        </w:tc>
        <w:tc>
          <w:tcPr>
            <w:tcW w:type="dxa" w:w="3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Neutral - Sensorial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Sensual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Rosa oscuro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2E75B6"/>
                <w:sz w:val="18"/>
                <w:szCs w:val="18"/>
              </w:rPr>
              <w:t xml:space="preserve">Neutral - Sensorial</w:t>
            </w:r>
          </w:p>
        </w:tc>
      </w:tr>
    </w:tbl>
    <w:p>
      <w:pPr>
        <w:spacing w:before="80" w:after="200"/>
      </w:pPr>
      <w:r>
        <w:rPr>
          <w:rFonts w:ascii="Arial" w:cs="Arial" w:eastAsia="Arial" w:hAnsi="Arial"/>
          <w:i/>
          <w:iCs/>
          <w:color w:val="666666"/>
          <w:sz w:val="18"/>
          <w:szCs w:val="18"/>
        </w:rPr>
        <w:t xml:space="preserve">Fuente: elaboración propia a partir de Gilbert, Fridlund &amp; Lucchina (2016).</w:t>
      </w:r>
    </w:p>
    <w:p>
      <w:pPr>
        <w:pBdr>
          <w:bottom w:val="single" w:color="2E75B6" w:sz="4" w:space="1"/>
        </w:pBdr>
        <w:spacing w:before="160" w:after="160"/>
      </w:pPr>
    </w:p>
    <w:p>
      <w:pPr>
        <w:pStyle w:val="Heading1"/>
        <w:spacing w:before="320" w:after="160"/>
      </w:pPr>
      <w:r>
        <w:rPr>
          <w:rFonts w:ascii="Arial" w:cs="Arial" w:eastAsia="Arial" w:hAnsi="Arial"/>
          <w:b/>
          <w:bCs/>
          <w:color w:val="1F4E79"/>
          <w:sz w:val="32"/>
          <w:szCs w:val="32"/>
        </w:rPr>
        <w:t xml:space="preserve">3. Metodología de asignación: vecino más cercano con centroides fijos</w:t>
      </w:r>
    </w:p>
    <w:p>
      <w:pPr>
        <w:pStyle w:val="Heading2"/>
        <w:spacing w:before="240" w:after="120"/>
      </w:pPr>
      <w:r>
        <w:rPr>
          <w:rFonts w:ascii="Arial" w:cs="Arial" w:eastAsia="Arial" w:hAnsi="Arial"/>
          <w:b/>
          <w:bCs/>
          <w:color w:val="2E75B6"/>
          <w:sz w:val="26"/>
          <w:szCs w:val="26"/>
        </w:rPr>
        <w:t xml:space="preserve">3.1. Principio del método</w:t>
      </w:r>
    </w:p>
    <w:p>
      <w:pPr>
        <w:spacing w:before="80" w:after="120"/>
        <w:jc w:val="both"/>
      </w:pPr>
      <w:r>
        <w:rPr>
          <w:rFonts w:ascii="Arial" w:cs="Arial" w:eastAsia="Arial" w:hAnsi="Arial"/>
          <w:sz w:val="22"/>
          <w:szCs w:val="22"/>
        </w:rPr>
        <w:t xml:space="preserve">El método de asignación adoptado se denomina </w:t>
      </w:r>
      <w:r>
        <w:rPr>
          <w:rFonts w:ascii="Arial" w:cs="Arial" w:eastAsia="Arial" w:hAnsi="Arial"/>
          <w:b/>
          <w:bCs/>
          <w:sz w:val="22"/>
          <w:szCs w:val="22"/>
        </w:rPr>
        <w:t xml:space="preserve">clasificación por vecino más cercano con centroides prefijados</w:t>
      </w:r>
      <w:r>
        <w:rPr>
          <w:rFonts w:ascii="Arial" w:cs="Arial" w:eastAsia="Arial" w:hAnsi="Arial"/>
          <w:sz w:val="22"/>
          <w:szCs w:val="22"/>
        </w:rPr>
        <w:t xml:space="preserve"> (</w:t>
      </w:r>
      <w:r>
        <w:rPr>
          <w:rFonts w:ascii="Arial" w:cs="Arial" w:eastAsia="Arial" w:hAnsi="Arial"/>
          <w:i/>
          <w:iCs/>
          <w:sz w:val="22"/>
          <w:szCs w:val="22"/>
        </w:rPr>
        <w:t xml:space="preserve">nearest centroid classifier</w:t>
      </w:r>
      <w:r>
        <w:rPr>
          <w:rFonts w:ascii="Arial" w:cs="Arial" w:eastAsia="Arial" w:hAnsi="Arial"/>
          <w:sz w:val="22"/>
          <w:szCs w:val="22"/>
        </w:rPr>
        <w:t xml:space="preserve">). La idea fundamental es sencilla: dado el color de un producto —definido por sus coordenadas L*, a* y b* calculadas a partir de la imagen de packaging— se calcula la distancia a cada uno de los 20 centroides emocionales de referencia, y se asigna al producto la emoción cuyo centroide es más próximo.</w:t>
      </w:r>
    </w:p>
    <w:p>
      <w:pPr>
        <w:spacing w:before="80" w:after="120"/>
        <w:jc w:val="both"/>
      </w:pPr>
      <w:r>
        <w:rPr>
          <w:rFonts w:ascii="Arial" w:cs="Arial" w:eastAsia="Arial" w:hAnsi="Arial"/>
          <w:sz w:val="22"/>
          <w:szCs w:val="22"/>
        </w:rPr>
        <w:t xml:space="preserve">Este método se diferencia del K-Means en un aspecto clave: en K-Means </w:t>
      </w:r>
      <w:r>
        <w:rPr>
          <w:rFonts w:ascii="Arial" w:cs="Arial" w:eastAsia="Arial" w:hAnsi="Arial"/>
          <w:b/>
          <w:bCs/>
          <w:sz w:val="22"/>
          <w:szCs w:val="22"/>
        </w:rPr>
        <w:t xml:space="preserve">los centroides son aprendidos desde los datos</w:t>
      </w:r>
      <w:r>
        <w:rPr>
          <w:rFonts w:ascii="Arial" w:cs="Arial" w:eastAsia="Arial" w:hAnsi="Arial"/>
          <w:sz w:val="22"/>
          <w:szCs w:val="22"/>
        </w:rPr>
        <w:t xml:space="preserve"> y no tienen interpretación psicológica predefinida. En la clasificación por vecino más cercano con centroides fijos, </w:t>
      </w:r>
      <w:r>
        <w:rPr>
          <w:rFonts w:ascii="Arial" w:cs="Arial" w:eastAsia="Arial" w:hAnsi="Arial"/>
          <w:b/>
          <w:bCs/>
          <w:sz w:val="22"/>
          <w:szCs w:val="22"/>
        </w:rPr>
        <w:t xml:space="preserve">los centroides son impuestos desde el conocimiento científico previo</w:t>
      </w:r>
      <w:r>
        <w:rPr>
          <w:rFonts w:ascii="Arial" w:cs="Arial" w:eastAsia="Arial" w:hAnsi="Arial"/>
          <w:sz w:val="22"/>
          <w:szCs w:val="22"/>
        </w:rPr>
        <w:t xml:space="preserve"> (Gilbert et al., 2016) y cada centroide corresponde a una emoción concreta con nombre y respaldo experimental. Esto garantiza que la variable objetivo del modelo sea interpretable en términos de comportamiento del consumidor.</w:t>
      </w:r>
    </w:p>
    <w:p>
      <w:pPr>
        <w:pStyle w:val="Heading2"/>
        <w:spacing w:before="240" w:after="120"/>
      </w:pPr>
      <w:r>
        <w:rPr>
          <w:rFonts w:ascii="Arial" w:cs="Arial" w:eastAsia="Arial" w:hAnsi="Arial"/>
          <w:b/>
          <w:bCs/>
          <w:color w:val="2E75B6"/>
          <w:sz w:val="26"/>
          <w:szCs w:val="26"/>
        </w:rPr>
        <w:t xml:space="preserve">3.2. La métrica de distancia: ΔE en el espacio CIELAB</w:t>
      </w:r>
    </w:p>
    <w:p>
      <w:pPr>
        <w:spacing w:before="80" w:after="120"/>
        <w:jc w:val="both"/>
      </w:pPr>
      <w:r>
        <w:rPr>
          <w:rFonts w:ascii="Arial" w:cs="Arial" w:eastAsia="Arial" w:hAnsi="Arial"/>
          <w:sz w:val="22"/>
          <w:szCs w:val="22"/>
        </w:rPr>
        <w:t xml:space="preserve">La distancia entre el color de un producto y el centroide de cada emoción se calcula mediante la </w:t>
      </w:r>
      <w:r>
        <w:rPr>
          <w:rFonts w:ascii="Arial" w:cs="Arial" w:eastAsia="Arial" w:hAnsi="Arial"/>
          <w:b/>
          <w:bCs/>
          <w:sz w:val="22"/>
          <w:szCs w:val="22"/>
        </w:rPr>
        <w:t xml:space="preserve">distancia euclidiana en el espacio CIELAB</w:t>
      </w:r>
      <w:r>
        <w:rPr>
          <w:rFonts w:ascii="Arial" w:cs="Arial" w:eastAsia="Arial" w:hAnsi="Arial"/>
          <w:sz w:val="22"/>
          <w:szCs w:val="22"/>
        </w:rPr>
        <w:t xml:space="preserve">, conocida en colorimetría como </w:t>
      </w:r>
      <w:r>
        <w:rPr>
          <w:rFonts w:ascii="Arial" w:cs="Arial" w:eastAsia="Arial" w:hAnsi="Arial"/>
          <w:b/>
          <w:bCs/>
          <w:sz w:val="22"/>
          <w:szCs w:val="22"/>
        </w:rPr>
        <w:t xml:space="preserve">ΔE (Delta E)</w:t>
      </w:r>
      <w:r>
        <w:rPr>
          <w:rFonts w:ascii="Arial" w:cs="Arial" w:eastAsia="Arial" w:hAnsi="Arial"/>
          <w:sz w:val="22"/>
          <w:szCs w:val="22"/>
        </w:rPr>
        <w:t xml:space="preserve">. La fórmula es:</w:t>
      </w:r>
    </w:p>
    <w:p>
      <w:pPr>
        <w:shd w:fill="EBF3FB" w:val="clear"/>
        <w:spacing w:before="160" w:after="80"/>
        <w:jc w:val="center"/>
      </w:pPr>
      <w:r>
        <w:rPr>
          <w:rFonts w:ascii="Courier New" w:cs="Courier New" w:eastAsia="Courier New" w:hAnsi="Courier New"/>
          <w:b/>
          <w:bCs/>
          <w:sz w:val="22"/>
          <w:szCs w:val="22"/>
        </w:rPr>
        <w:t xml:space="preserve">ΔE = √[(L*producto − L*referencia)² + (a*producto − a*referencia)² + (b*producto − b*referencia)²]</w:t>
      </w:r>
    </w:p>
    <w:p>
      <w:pPr>
        <w:spacing w:before="0" w:after="160"/>
        <w:jc w:val="center"/>
      </w:pPr>
      <w:r>
        <w:rPr>
          <w:rFonts w:ascii="Arial" w:cs="Arial" w:eastAsia="Arial" w:hAnsi="Arial"/>
          <w:i/>
          <w:iCs/>
          <w:color w:val="666666"/>
          <w:sz w:val="18"/>
          <w:szCs w:val="18"/>
        </w:rPr>
        <w:t xml:space="preserve">Ecuación 1. Distancia euclidiana ΔE en espacio CIELAB</w:t>
      </w:r>
    </w:p>
    <w:p>
      <w:pPr>
        <w:spacing w:before="80" w:after="80"/>
      </w:pPr>
      <w:r>
        <w:rPr>
          <w:rFonts w:ascii="Arial" w:cs="Arial" w:eastAsia="Arial" w:hAnsi="Arial"/>
          <w:b/>
          <w:bCs/>
          <w:i/>
          <w:iCs/>
          <w:color w:val="444444"/>
          <w:sz w:val="20"/>
          <w:szCs w:val="20"/>
        </w:rPr>
        <w:t xml:space="preserve">Tabla 2. Descripción de los componentes de la fórmula ΔE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b/>
                <w:bCs/>
                <w:sz w:val="18"/>
                <w:szCs w:val="18"/>
              </w:rPr>
              <w:t xml:space="preserve">ΔE(producto, emoción)</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Distancia euclidiana entre el color del producto y el centroide de cada emoción en el espacio CIELAB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ΔL*, Δa*, Δb*</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Diferencia en cada eje entre el color del producto y el centroide de referencia de la emoción</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Courier New" w:cs="Courier New" w:eastAsia="Courier New" w:hAnsi="Courier New"/>
                <w:b/>
                <w:bCs/>
                <w:sz w:val="18"/>
                <w:szCs w:val="18"/>
              </w:rPr>
              <w:t xml:space="preserve">Emoción asignada</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argmin ΔE — la emoción cuyo centroide presenta la menor distancia al color del producto</w:t>
            </w:r>
          </w:p>
        </w:tc>
      </w:tr>
    </w:tbl>
    <w:p>
      <w:pPr>
        <w:spacing w:before="80" w:after="160"/>
      </w:pPr>
      <w:r>
        <w:rPr>
          <w:rFonts w:ascii="Arial" w:cs="Arial" w:eastAsia="Arial" w:hAnsi="Arial"/>
          <w:i/>
          <w:iCs/>
          <w:color w:val="666666"/>
          <w:sz w:val="18"/>
          <w:szCs w:val="18"/>
        </w:rPr>
        <w:t xml:space="preserve">Fuente: elaboración propia.</w:t>
      </w:r>
    </w:p>
    <w:p>
      <w:pPr>
        <w:spacing w:before="80" w:after="120"/>
        <w:jc w:val="both"/>
      </w:pPr>
      <w:r>
        <w:rPr>
          <w:rFonts w:ascii="Arial" w:cs="Arial" w:eastAsia="Arial" w:hAnsi="Arial"/>
          <w:sz w:val="22"/>
          <w:szCs w:val="22"/>
        </w:rPr>
        <w:t xml:space="preserve">El ΔE es la métrica estándar de la industria del color para cuantificar diferencias perceptuales entre colores. Un ΔE &lt; 1 indica que los colores son prácticamente indistinguibles para el ojo humano; un ΔE entre 1 y 10 representa una diferencia pequeña pero visible; y un ΔE &gt; 25 indica colores claramente distintos. En el presente estudio, el ΔE de la emoción asignada se incluye en el dataset como variable de </w:t>
      </w:r>
      <w:r>
        <w:rPr>
          <w:rFonts w:ascii="Arial" w:cs="Arial" w:eastAsia="Arial" w:hAnsi="Arial"/>
          <w:b/>
          <w:bCs/>
          <w:sz w:val="22"/>
          <w:szCs w:val="22"/>
        </w:rPr>
        <w:t xml:space="preserve">confianza de la asignación</w:t>
      </w:r>
      <w:r>
        <w:rPr>
          <w:rFonts w:ascii="Arial" w:cs="Arial" w:eastAsia="Arial" w:hAnsi="Arial"/>
          <w:sz w:val="22"/>
          <w:szCs w:val="22"/>
        </w:rPr>
        <w:t xml:space="preserve">: cuanto menor sea el ΔE, más fielmente representa el color del producto la emoción asignada.</w:t>
      </w:r>
    </w:p>
    <w:p>
      <w:pPr>
        <w:pStyle w:val="Heading2"/>
        <w:spacing w:before="240" w:after="120"/>
      </w:pPr>
      <w:r>
        <w:rPr>
          <w:rFonts w:ascii="Arial" w:cs="Arial" w:eastAsia="Arial" w:hAnsi="Arial"/>
          <w:b/>
          <w:bCs/>
          <w:color w:val="2E75B6"/>
          <w:sz w:val="26"/>
          <w:szCs w:val="26"/>
        </w:rPr>
        <w:t xml:space="preserve">3.3. Proceso de asignación paso a paso</w:t>
      </w:r>
    </w:p>
    <w:p>
      <w:pPr>
        <w:spacing w:before="80" w:after="120"/>
        <w:jc w:val="both"/>
      </w:pPr>
      <w:r>
        <w:rPr>
          <w:rFonts w:ascii="Arial" w:cs="Arial" w:eastAsia="Arial" w:hAnsi="Arial"/>
          <w:sz w:val="22"/>
          <w:szCs w:val="22"/>
        </w:rPr>
        <w:t xml:space="preserve">El proceso de asignación se aplica producto a producto siguiendo estos pasos:</w:t>
      </w:r>
    </w:p>
    <w:p>
      <w:pPr>
        <w:pStyle w:val="ListParagraph"/>
        <w:numPr>
          <w:ilvl w:val="0"/>
          <w:numId w:val="2"/>
        </w:numPr>
        <w:spacing w:before="60" w:after="60"/>
      </w:pPr>
      <w:r>
        <w:rPr>
          <w:rFonts w:ascii="Arial" w:cs="Arial" w:eastAsia="Arial" w:hAnsi="Arial"/>
          <w:sz w:val="22"/>
          <w:szCs w:val="22"/>
        </w:rPr>
        <w:t xml:space="preserve">Se toman los valores L*, a* y b* medios calculados a partir de los píxeles de la imagen de packaging del producto (columnas mean_L, mean_a, mean_b del dataset).</w:t>
      </w:r>
    </w:p>
    <w:p>
      <w:pPr>
        <w:pStyle w:val="ListParagraph"/>
        <w:numPr>
          <w:ilvl w:val="0"/>
          <w:numId w:val="2"/>
        </w:numPr>
        <w:spacing w:before="60" w:after="60"/>
      </w:pPr>
      <w:r>
        <w:rPr>
          <w:rFonts w:ascii="Arial" w:cs="Arial" w:eastAsia="Arial" w:hAnsi="Arial"/>
          <w:sz w:val="22"/>
          <w:szCs w:val="22"/>
        </w:rPr>
        <w:t xml:space="preserve">Se calcula el ΔE entre ese color y cada uno de los 20 centroides emocionales de la Tabla 1, obteniendo 20 distancias.</w:t>
      </w:r>
    </w:p>
    <w:p>
      <w:pPr>
        <w:pStyle w:val="ListParagraph"/>
        <w:numPr>
          <w:ilvl w:val="0"/>
          <w:numId w:val="2"/>
        </w:numPr>
        <w:spacing w:before="60" w:after="60"/>
      </w:pPr>
      <w:r>
        <w:rPr>
          <w:rFonts w:ascii="Arial" w:cs="Arial" w:eastAsia="Arial" w:hAnsi="Arial"/>
          <w:sz w:val="22"/>
          <w:szCs w:val="22"/>
        </w:rPr>
        <w:t xml:space="preserve">Se ordena la lista de 20 distancias de menor a mayor.</w:t>
      </w:r>
    </w:p>
    <w:p>
      <w:pPr>
        <w:pStyle w:val="ListParagraph"/>
        <w:numPr>
          <w:ilvl w:val="0"/>
          <w:numId w:val="2"/>
        </w:numPr>
        <w:spacing w:before="60" w:after="60"/>
      </w:pPr>
      <w:r>
        <w:rPr>
          <w:rFonts w:ascii="Arial" w:cs="Arial" w:eastAsia="Arial" w:hAnsi="Arial"/>
          <w:sz w:val="22"/>
          <w:szCs w:val="22"/>
        </w:rPr>
        <w:t xml:space="preserve">Se asigna al producto la emoción con menor ΔE como emoción principal (emocion_1), y se registran también la segunda y tercera emoción más cercana para análisis complementarios.</w:t>
      </w:r>
    </w:p>
    <w:p>
      <w:pPr>
        <w:pStyle w:val="ListParagraph"/>
        <w:numPr>
          <w:ilvl w:val="0"/>
          <w:numId w:val="2"/>
        </w:numPr>
        <w:spacing w:before="60" w:after="160"/>
      </w:pPr>
      <w:r>
        <w:rPr>
          <w:rFonts w:ascii="Arial" w:cs="Arial" w:eastAsia="Arial" w:hAnsi="Arial"/>
          <w:sz w:val="22"/>
          <w:szCs w:val="22"/>
        </w:rPr>
        <w:t xml:space="preserve">Se clasifica la emoción asignada en su categoría de valencia (positiva/negativa, alta/baja activación o neutral sensorial), que constituye la variable objetivo categórica para el modelo.</w:t>
      </w:r>
    </w:p>
    <w:p>
      <w:pPr>
        <w:pStyle w:val="Heading2"/>
        <w:spacing w:before="240" w:after="120"/>
      </w:pPr>
      <w:r>
        <w:rPr>
          <w:rFonts w:ascii="Arial" w:cs="Arial" w:eastAsia="Arial" w:hAnsi="Arial"/>
          <w:b/>
          <w:bCs/>
          <w:color w:val="2E75B6"/>
          <w:sz w:val="26"/>
          <w:szCs w:val="26"/>
        </w:rPr>
        <w:t xml:space="preserve">3.4. Categorías de valencia emocional</w:t>
      </w:r>
    </w:p>
    <w:p>
      <w:pPr>
        <w:spacing w:before="80" w:after="120"/>
        <w:jc w:val="both"/>
      </w:pPr>
      <w:r>
        <w:rPr>
          <w:rFonts w:ascii="Arial" w:cs="Arial" w:eastAsia="Arial" w:hAnsi="Arial"/>
          <w:sz w:val="22"/>
          <w:szCs w:val="22"/>
        </w:rPr>
        <w:t xml:space="preserve">Las 20 emociones se agrupan en </w:t>
      </w:r>
      <w:r>
        <w:rPr>
          <w:rFonts w:ascii="Arial" w:cs="Arial" w:eastAsia="Arial" w:hAnsi="Arial"/>
          <w:b/>
          <w:bCs/>
          <w:sz w:val="22"/>
          <w:szCs w:val="22"/>
        </w:rPr>
        <w:t xml:space="preserve">5 categorías de valencia</w:t>
      </w:r>
      <w:r>
        <w:rPr>
          <w:rFonts w:ascii="Arial" w:cs="Arial" w:eastAsia="Arial" w:hAnsi="Arial"/>
          <w:sz w:val="22"/>
          <w:szCs w:val="22"/>
        </w:rPr>
        <w:t xml:space="preserve"> siguiendo el modelo bidimensional Valencia-Activación ampliamente utilizado en psicología del consumidor:</w:t>
      </w:r>
    </w:p>
    <w:p>
      <w:pPr>
        <w:pStyle w:val="ListParagraph"/>
        <w:numPr>
          <w:ilvl w:val="0"/>
          <w:numId w:val="3"/>
        </w:numPr>
        <w:spacing w:before="60" w:after="60"/>
      </w:pPr>
      <w:r>
        <w:rPr>
          <w:rFonts w:ascii="Arial" w:cs="Arial" w:eastAsia="Arial" w:hAnsi="Arial"/>
          <w:b/>
          <w:bCs/>
          <w:sz w:val="22"/>
          <w:szCs w:val="22"/>
        </w:rPr>
        <w:t xml:space="preserve">Positiva - Alta activación: </w:t>
      </w:r>
      <w:r>
        <w:rPr>
          <w:rFonts w:ascii="Arial" w:cs="Arial" w:eastAsia="Arial" w:hAnsi="Arial"/>
          <w:sz w:val="22"/>
          <w:szCs w:val="22"/>
        </w:rPr>
        <w:t xml:space="preserve">energized, alert, happy, romantic. Colores cálidos y brillantes. Asociados a productos dinámicos, vibrantes y estimulantes.</w:t>
      </w:r>
    </w:p>
    <w:p>
      <w:pPr>
        <w:pStyle w:val="ListParagraph"/>
        <w:numPr>
          <w:ilvl w:val="0"/>
          <w:numId w:val="3"/>
        </w:numPr>
        <w:spacing w:before="60" w:after="60"/>
      </w:pPr>
      <w:r>
        <w:rPr>
          <w:rFonts w:ascii="Arial" w:cs="Arial" w:eastAsia="Arial" w:hAnsi="Arial"/>
          <w:b/>
          <w:bCs/>
          <w:sz w:val="22"/>
          <w:szCs w:val="22"/>
        </w:rPr>
        <w:t xml:space="preserve">Positiva - Baja activación: </w:t>
      </w:r>
      <w:r>
        <w:rPr>
          <w:rFonts w:ascii="Arial" w:cs="Arial" w:eastAsia="Arial" w:hAnsi="Arial"/>
          <w:sz w:val="22"/>
          <w:szCs w:val="22"/>
        </w:rPr>
        <w:t xml:space="preserve">healthy, refreshed, relaxed, calm, soothed. Colores fríos y luminosos. Asociados a productos naturales, relajantes y de confianza.</w:t>
      </w:r>
    </w:p>
    <w:p>
      <w:pPr>
        <w:pStyle w:val="ListParagraph"/>
        <w:numPr>
          <w:ilvl w:val="0"/>
          <w:numId w:val="3"/>
        </w:numPr>
        <w:spacing w:before="60" w:after="60"/>
      </w:pPr>
      <w:r>
        <w:rPr>
          <w:rFonts w:ascii="Arial" w:cs="Arial" w:eastAsia="Arial" w:hAnsi="Arial"/>
          <w:b/>
          <w:bCs/>
          <w:sz w:val="22"/>
          <w:szCs w:val="22"/>
        </w:rPr>
        <w:t xml:space="preserve">Negativa - Alta activación: </w:t>
      </w:r>
      <w:r>
        <w:rPr>
          <w:rFonts w:ascii="Arial" w:cs="Arial" w:eastAsia="Arial" w:hAnsi="Arial"/>
          <w:sz w:val="22"/>
          <w:szCs w:val="22"/>
        </w:rPr>
        <w:t xml:space="preserve">angry, tense, irritated, anxious. Colores oscuros y rojizos. Asociados a tensión, urgencia o agresividad.</w:t>
      </w:r>
    </w:p>
    <w:p>
      <w:pPr>
        <w:pStyle w:val="ListParagraph"/>
        <w:numPr>
          <w:ilvl w:val="0"/>
          <w:numId w:val="3"/>
        </w:numPr>
        <w:spacing w:before="60" w:after="60"/>
      </w:pPr>
      <w:r>
        <w:rPr>
          <w:rFonts w:ascii="Arial" w:cs="Arial" w:eastAsia="Arial" w:hAnsi="Arial"/>
          <w:b/>
          <w:bCs/>
          <w:sz w:val="22"/>
          <w:szCs w:val="22"/>
        </w:rPr>
        <w:t xml:space="preserve">Negativa - Baja activación: </w:t>
      </w:r>
      <w:r>
        <w:rPr>
          <w:rFonts w:ascii="Arial" w:cs="Arial" w:eastAsia="Arial" w:hAnsi="Arial"/>
          <w:sz w:val="22"/>
          <w:szCs w:val="22"/>
        </w:rPr>
        <w:t xml:space="preserve">sad, bored, tired, sleepy. Colores oscuros y fríos. Asociados a productos poco estimulantes.</w:t>
      </w:r>
    </w:p>
    <w:p>
      <w:pPr>
        <w:pStyle w:val="ListParagraph"/>
        <w:numPr>
          <w:ilvl w:val="0"/>
          <w:numId w:val="3"/>
        </w:numPr>
        <w:spacing w:before="60" w:after="160"/>
      </w:pPr>
      <w:r>
        <w:rPr>
          <w:rFonts w:ascii="Arial" w:cs="Arial" w:eastAsia="Arial" w:hAnsi="Arial"/>
          <w:b/>
          <w:bCs/>
          <w:sz w:val="22"/>
          <w:szCs w:val="22"/>
        </w:rPr>
        <w:t xml:space="preserve">Neutral - Sensorial: </w:t>
      </w:r>
      <w:r>
        <w:rPr>
          <w:rFonts w:ascii="Arial" w:cs="Arial" w:eastAsia="Arial" w:hAnsi="Arial"/>
          <w:sz w:val="22"/>
          <w:szCs w:val="22"/>
        </w:rPr>
        <w:t xml:space="preserve">hungry, thirsty, sensual. Colores específicos de contextos de consumo concretos (alimentación, cosmética).</w:t>
      </w:r>
    </w:p>
    <w:p>
      <w:pPr>
        <w:pBdr>
          <w:bottom w:val="single" w:color="2E75B6" w:sz="4" w:space="1"/>
        </w:pBdr>
        <w:spacing w:before="160" w:after="160"/>
      </w:pPr>
    </w:p>
    <w:p>
      <w:pPr>
        <w:pStyle w:val="Heading1"/>
        <w:spacing w:before="320" w:after="160"/>
      </w:pPr>
      <w:r>
        <w:rPr>
          <w:rFonts w:ascii="Arial" w:cs="Arial" w:eastAsia="Arial" w:hAnsi="Arial"/>
          <w:b/>
          <w:bCs/>
          <w:color w:val="1F4E79"/>
          <w:sz w:val="32"/>
          <w:szCs w:val="32"/>
        </w:rPr>
        <w:t xml:space="preserve">4. Limitaciones y consideraciones metodológicas</w:t>
      </w:r>
    </w:p>
    <w:p>
      <w:pPr>
        <w:spacing w:before="80" w:after="120"/>
        <w:jc w:val="both"/>
      </w:pPr>
      <w:r>
        <w:rPr>
          <w:rFonts w:ascii="Arial" w:cs="Arial" w:eastAsia="Arial" w:hAnsi="Arial"/>
          <w:sz w:val="22"/>
          <w:szCs w:val="22"/>
        </w:rPr>
        <w:t xml:space="preserve">El método presenta una limitación relevante que es necesario reconocer en la memoria del TFG: los centroides de referencia se han derivado de la lectura de los Mondrians del paper de Gilbert et al. (2016), ya que los autores no publican una tabla numérica de valores L*a*b* medios. Esto introduce un </w:t>
      </w:r>
      <w:r>
        <w:rPr>
          <w:rFonts w:ascii="Arial" w:cs="Arial" w:eastAsia="Arial" w:hAnsi="Arial"/>
          <w:b/>
          <w:bCs/>
          <w:sz w:val="22"/>
          <w:szCs w:val="22"/>
        </w:rPr>
        <w:t xml:space="preserve">margen de estimación</w:t>
      </w:r>
      <w:r>
        <w:rPr>
          <w:rFonts w:ascii="Arial" w:cs="Arial" w:eastAsia="Arial" w:hAnsi="Arial"/>
          <w:sz w:val="22"/>
          <w:szCs w:val="22"/>
        </w:rPr>
        <w:t xml:space="preserve"> en los centroides de referencia. No obstante, la robustez del método no depende de la precisión milimétrica de los centroides: dado que las diferencias perceptuales entre emociones son considerables (especialmente en el eje de luminosidad y en el eje a*), pequeñas variaciones en los centroides de referencia no alteran la asignación de la gran mayoría de los productos.</w:t>
      </w:r>
    </w:p>
    <w:p>
      <w:pPr>
        <w:spacing w:before="80" w:after="120"/>
        <w:jc w:val="both"/>
      </w:pPr>
      <w:r>
        <w:rPr>
          <w:rFonts w:ascii="Arial" w:cs="Arial" w:eastAsia="Arial" w:hAnsi="Arial"/>
          <w:sz w:val="22"/>
          <w:szCs w:val="22"/>
        </w:rPr>
        <w:t xml:space="preserve">Adicionalmente, el paper fue realizado con una muestra norteamericana y con estimulación de colores aislados, sin contexto de producto. Las asociaciones color-emoción pueden variar ligeramente en función de la cultura, la edad y el contexto (Gilbert et al., 2016). Esta limitación es inherente al uso de cualquier estudio de laboratorio para inferir comportamiento en contextos reales de consumo y debe mencionarse en la discusión del TFG.</w:t>
      </w:r>
    </w:p>
    <w:p>
      <w:pPr>
        <w:pBdr>
          <w:bottom w:val="single" w:color="2E75B6" w:sz="4" w:space="1"/>
        </w:pBdr>
        <w:spacing w:before="160" w:after="160"/>
      </w:pPr>
    </w:p>
    <w:p>
      <w:pPr>
        <w:pStyle w:val="Heading1"/>
        <w:spacing w:before="320" w:after="160"/>
      </w:pPr>
      <w:r>
        <w:rPr>
          <w:rFonts w:ascii="Arial" w:cs="Arial" w:eastAsia="Arial" w:hAnsi="Arial"/>
          <w:b/>
          <w:bCs/>
          <w:color w:val="1F4E79"/>
          <w:sz w:val="32"/>
          <w:szCs w:val="32"/>
        </w:rPr>
        <w:t xml:space="preserve">5. Referencia bibliográfica</w:t>
      </w:r>
    </w:p>
    <w:p>
      <w:pPr>
        <w:spacing w:before="120" w:after="80"/>
        <w:ind w:left="720" w:hanging="720"/>
      </w:pPr>
      <w:r>
        <w:rPr>
          <w:rFonts w:ascii="Arial" w:cs="Arial" w:eastAsia="Arial" w:hAnsi="Arial"/>
          <w:sz w:val="22"/>
          <w:szCs w:val="22"/>
        </w:rPr>
        <w:t xml:space="preserve">Gilbert, A.N., Fridlund, A.J., &amp; Lucchina, L.A. (2016). The color of emotion: A metric for implicit color associations. </w:t>
      </w:r>
      <w:r>
        <w:rPr>
          <w:rFonts w:ascii="Arial" w:cs="Arial" w:eastAsia="Arial" w:hAnsi="Arial"/>
          <w:i/>
          <w:iCs/>
          <w:sz w:val="22"/>
          <w:szCs w:val="22"/>
        </w:rPr>
        <w:t xml:space="preserve">Food Quality and Preference</w:t>
      </w:r>
      <w:r>
        <w:rPr>
          <w:rFonts w:ascii="Arial" w:cs="Arial" w:eastAsia="Arial" w:hAnsi="Arial"/>
          <w:sz w:val="22"/>
          <w:szCs w:val="22"/>
        </w:rPr>
        <w:t xml:space="preserve">, 52, 203-210. https://doi.org/10.1016/j.foodqual.2016.04.007</w:t>
      </w:r>
    </w:p>
    <w:p>
      <w:pPr>
        <w:spacing w:before="80" w:after="80"/>
        <w:ind w:left="720" w:hanging="720"/>
      </w:pPr>
      <w:r>
        <w:rPr>
          <w:rFonts w:ascii="Arial" w:cs="Arial" w:eastAsia="Arial" w:hAnsi="Arial"/>
          <w:sz w:val="22"/>
          <w:szCs w:val="22"/>
        </w:rPr>
        <w:t xml:space="preserve">Valdez, P., &amp; Mehrabian, A. (1994). Effects of color on emotions. </w:t>
      </w:r>
      <w:r>
        <w:rPr>
          <w:rFonts w:ascii="Arial" w:cs="Arial" w:eastAsia="Arial" w:hAnsi="Arial"/>
          <w:i/>
          <w:iCs/>
          <w:sz w:val="22"/>
          <w:szCs w:val="22"/>
        </w:rPr>
        <w:t xml:space="preserve">Journal of Experimental Psychology: General</w:t>
      </w:r>
      <w:r>
        <w:rPr>
          <w:rFonts w:ascii="Arial" w:cs="Arial" w:eastAsia="Arial" w:hAnsi="Arial"/>
          <w:sz w:val="22"/>
          <w:szCs w:val="22"/>
        </w:rPr>
        <w:t xml:space="preserve">, 123(4), 394-409. https://doi.org/10.1037/0096-3445.123.4.394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2026-02-22T17:28:00.118Z</dcterms:created>
  <dcterms:modified xsi:type="dcterms:W3CDTF">2026-02-22T17:28:00.119Z</dcterms:modified>
</cp:coreProperties>
</file>

<file path=docProps/custom.xml><?xml version="1.0" encoding="utf-8"?>
<Properties xmlns="http://schemas.openxmlformats.org/officeDocument/2006/custom-properties" xmlns:vt="http://schemas.openxmlformats.org/officeDocument/2006/docPropsVTypes"/>
</file>