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62BF4" w14:textId="77777777" w:rsidR="00C924A3" w:rsidRDefault="00000000" w:rsidP="00406EBF">
      <w:pPr>
        <w:pStyle w:val="Ttulo1"/>
        <w:spacing w:line="276" w:lineRule="auto"/>
        <w:jc w:val="both"/>
      </w:pPr>
      <w:bookmarkStart w:id="0" w:name="Xca301ff5978ac2861eed86e8a3922d1fa12f101"/>
      <w:r>
        <w:t>EPISTEMOLOGICAL CLERGIES: WHEN ORTHODOXY BLOCKS RATIONAL DEBATE</w:t>
      </w:r>
    </w:p>
    <w:p w14:paraId="42710E5A" w14:textId="77777777" w:rsidR="00C924A3" w:rsidRDefault="00000000" w:rsidP="00406EBF">
      <w:pPr>
        <w:pStyle w:val="Ttulo2"/>
        <w:spacing w:line="276" w:lineRule="auto"/>
        <w:jc w:val="both"/>
      </w:pPr>
      <w:bookmarkStart w:id="1" w:name="X4fd1f2a740d6175c1f49334f4d63cda6f229b63"/>
      <w:r>
        <w:t>Subtitle: The Memetic Architecture of Reform Impossibility in Criminal and Labor Law</w:t>
      </w:r>
    </w:p>
    <w:p w14:paraId="06405CF4" w14:textId="77777777" w:rsidR="00C924A3" w:rsidRDefault="00000000" w:rsidP="00776C06">
      <w:pPr>
        <w:pStyle w:val="FirstParagraph"/>
        <w:spacing w:line="276" w:lineRule="auto"/>
      </w:pPr>
      <w:r>
        <w:rPr>
          <w:b/>
          <w:bCs/>
        </w:rPr>
        <w:t>Author:</w:t>
      </w:r>
      <w:r>
        <w:t xml:space="preserve"> Ignacio Adrián Lerer</w:t>
      </w:r>
      <w:r>
        <w:br/>
      </w:r>
      <w:r>
        <w:rPr>
          <w:b/>
          <w:bCs/>
        </w:rPr>
        <w:t>Affiliation:</w:t>
      </w:r>
      <w:r>
        <w:t xml:space="preserve"> Independent Researcher, Buenos Aires, Argentina</w:t>
      </w:r>
      <w:r>
        <w:br/>
      </w:r>
      <w:r>
        <w:rPr>
          <w:b/>
          <w:bCs/>
        </w:rPr>
        <w:t>Email:</w:t>
      </w:r>
      <w:r>
        <w:t xml:space="preserve"> adrian@lerer.com.ar</w:t>
      </w:r>
      <w:r>
        <w:br/>
      </w:r>
      <w:r>
        <w:rPr>
          <w:b/>
          <w:bCs/>
        </w:rPr>
        <w:t>ORCID:</w:t>
      </w:r>
      <w:r>
        <w:t xml:space="preserve"> https://orcid.org/0009-0007-6378-9749</w:t>
      </w:r>
      <w:r>
        <w:br/>
      </w:r>
      <w:r>
        <w:rPr>
          <w:b/>
          <w:bCs/>
        </w:rPr>
        <w:t>Date:</w:t>
      </w:r>
      <w:r>
        <w:t xml:space="preserve"> November 2025</w:t>
      </w:r>
      <w:r>
        <w:br/>
      </w:r>
      <w:r>
        <w:rPr>
          <w:b/>
          <w:bCs/>
        </w:rPr>
        <w:t>Version:</w:t>
      </w:r>
      <w:r>
        <w:t xml:space="preserve"> 2.0 (SSRN Final)</w:t>
      </w:r>
    </w:p>
    <w:p w14:paraId="6E3AB057" w14:textId="77777777" w:rsidR="00C924A3" w:rsidRDefault="00CD0ECB" w:rsidP="00406EBF">
      <w:pPr>
        <w:spacing w:line="276" w:lineRule="auto"/>
        <w:jc w:val="both"/>
      </w:pPr>
      <w:r>
        <w:rPr>
          <w:noProof/>
        </w:rPr>
        <w:pict w14:anchorId="4BE6A976">
          <v:rect id="_x0000_i1025" alt="" style="width:441.9pt;height:.05pt;mso-width-percent:0;mso-height-percent:0;mso-width-percent:0;mso-height-percent:0" o:hralign="center" o:hrstd="t" o:hr="t"/>
        </w:pict>
      </w:r>
    </w:p>
    <w:p w14:paraId="6F3F3839" w14:textId="77777777" w:rsidR="00776C06" w:rsidRDefault="00776C06" w:rsidP="00776C06">
      <w:pPr>
        <w:pStyle w:val="Ttulo2"/>
        <w:spacing w:line="276" w:lineRule="auto"/>
        <w:jc w:val="both"/>
      </w:pPr>
      <w:bookmarkStart w:id="2" w:name="metadata"/>
      <w:bookmarkEnd w:id="1"/>
      <w:r>
        <w:t>ABSTRACT</w:t>
      </w:r>
    </w:p>
    <w:p w14:paraId="675CD2B9" w14:textId="77777777" w:rsidR="00776C06" w:rsidRPr="00497102" w:rsidRDefault="00776C06" w:rsidP="00497102">
      <w:pPr>
        <w:pStyle w:val="FirstParagraph"/>
        <w:spacing w:before="0" w:after="0" w:line="276" w:lineRule="auto"/>
        <w:jc w:val="both"/>
        <w:rPr>
          <w:sz w:val="22"/>
          <w:szCs w:val="22"/>
        </w:rPr>
      </w:pPr>
      <w:r w:rsidRPr="00497102">
        <w:rPr>
          <w:sz w:val="22"/>
          <w:szCs w:val="22"/>
        </w:rPr>
        <w:t xml:space="preserve">Why is rational debate about criminal or labor law reform impossible in certain jurisdictions? This article proposes that </w:t>
      </w:r>
      <w:r w:rsidRPr="00497102">
        <w:rPr>
          <w:b/>
          <w:bCs/>
          <w:sz w:val="22"/>
          <w:szCs w:val="22"/>
        </w:rPr>
        <w:t>dominant legal doctrines function as secular religions</w:t>
      </w:r>
      <w:r w:rsidRPr="00497102">
        <w:rPr>
          <w:sz w:val="22"/>
          <w:szCs w:val="22"/>
        </w:rPr>
        <w:t xml:space="preserve"> that have developed memetic architectures immune to rational debate.</w:t>
      </w:r>
    </w:p>
    <w:p w14:paraId="6F0CF253" w14:textId="77777777" w:rsidR="00776C06" w:rsidRPr="00497102" w:rsidRDefault="00776C06" w:rsidP="00497102">
      <w:pPr>
        <w:pStyle w:val="Textoindependiente"/>
        <w:spacing w:before="0" w:after="0" w:line="276" w:lineRule="auto"/>
        <w:jc w:val="both"/>
        <w:rPr>
          <w:sz w:val="22"/>
          <w:szCs w:val="22"/>
        </w:rPr>
      </w:pPr>
      <w:r w:rsidRPr="00497102">
        <w:rPr>
          <w:sz w:val="22"/>
          <w:szCs w:val="22"/>
        </w:rPr>
        <w:t>Applying Daniel Dennett’s framework on religion as a natural phenomenon, I argue that extreme criminal guarantism, orthodox abolitionism, and unconditional defense of labor ultraactivity exhibit religious system structures: (1) sacralization of foundational concepts, (2) conversion of empirical disagreements into moral transgressions, (3) exclusion of heretics through costly signaling, and (4) blocking of gradualism by ideological purity demands.</w:t>
      </w:r>
    </w:p>
    <w:p w14:paraId="5EB9424D" w14:textId="77777777" w:rsidR="00776C06" w:rsidRPr="00497102" w:rsidRDefault="00776C06" w:rsidP="00497102">
      <w:pPr>
        <w:pStyle w:val="Textoindependiente"/>
        <w:spacing w:before="0" w:after="0" w:line="276" w:lineRule="auto"/>
        <w:jc w:val="both"/>
        <w:rPr>
          <w:sz w:val="22"/>
          <w:szCs w:val="22"/>
        </w:rPr>
      </w:pPr>
      <w:r w:rsidRPr="00497102">
        <w:rPr>
          <w:sz w:val="22"/>
          <w:szCs w:val="22"/>
        </w:rPr>
        <w:t xml:space="preserve">This is validated through three evidence types. </w:t>
      </w:r>
      <w:r w:rsidRPr="00497102">
        <w:rPr>
          <w:b/>
          <w:bCs/>
          <w:sz w:val="22"/>
          <w:szCs w:val="22"/>
        </w:rPr>
        <w:t>Phenomenologically</w:t>
      </w:r>
      <w:r w:rsidRPr="00497102">
        <w:rPr>
          <w:sz w:val="22"/>
          <w:szCs w:val="22"/>
        </w:rPr>
        <w:t xml:space="preserve">, I document systematic debate impossibility across jurisdictions, where resistance is epistemological rather than political. </w:t>
      </w:r>
      <w:r w:rsidRPr="00497102">
        <w:rPr>
          <w:b/>
          <w:bCs/>
          <w:sz w:val="22"/>
          <w:szCs w:val="22"/>
        </w:rPr>
        <w:t>Comparatively</w:t>
      </w:r>
      <w:r w:rsidRPr="00497102">
        <w:rPr>
          <w:sz w:val="22"/>
          <w:szCs w:val="22"/>
        </w:rPr>
        <w:t xml:space="preserve">, Argentina (Constitutional Lock-in Index 0.89) achieves 0% successful reforms versus Chile (CLI 0.23) with 63% success; Uruguay eliminated ultraactivity achieving superior worker outcomes; jurisdictions with orthodox abolitionist discourse paradoxically experience higher pretrial detention than pragmatic reform jurisdictions. Across 50 jurisdictions, ideological purity correlates negatively with reform effectiveness (r = -0.73, p &lt; 0.001). </w:t>
      </w:r>
      <w:r w:rsidRPr="00497102">
        <w:rPr>
          <w:b/>
          <w:bCs/>
          <w:sz w:val="22"/>
          <w:szCs w:val="22"/>
        </w:rPr>
        <w:t>Structurally</w:t>
      </w:r>
      <w:r w:rsidRPr="00497102">
        <w:rPr>
          <w:sz w:val="22"/>
          <w:szCs w:val="22"/>
        </w:rPr>
        <w:t>, I identify institutions functioning as “epistemological clergies” (journals, academic chairs, associations) with endogamic citation rates in law (87.3%) doubling those of hard sciences (34-42%).</w:t>
      </w:r>
    </w:p>
    <w:p w14:paraId="0431703F" w14:textId="77777777" w:rsidR="00776C06" w:rsidRDefault="00776C06" w:rsidP="00497102">
      <w:pPr>
        <w:pStyle w:val="Textoindependiente"/>
        <w:spacing w:before="0" w:after="0" w:line="276" w:lineRule="auto"/>
        <w:jc w:val="both"/>
        <w:rPr>
          <w:sz w:val="22"/>
          <w:szCs w:val="22"/>
        </w:rPr>
      </w:pPr>
      <w:r w:rsidRPr="00497102">
        <w:rPr>
          <w:sz w:val="22"/>
          <w:szCs w:val="22"/>
        </w:rPr>
        <w:t>I propose a Pragmatic Harm-Reduction Framework measuring success by verifiable harm reduction rather than doctrinal purity. This requires recognizing that debate impossibility is not accidental but an adaptive mechanism protecting memeplexes from competition.</w:t>
      </w:r>
    </w:p>
    <w:p w14:paraId="6F92AF6A" w14:textId="7266C315" w:rsidR="00CF10AA" w:rsidRPr="00497102" w:rsidRDefault="00CF10AA" w:rsidP="00497102">
      <w:pPr>
        <w:pStyle w:val="Textoindependiente"/>
        <w:spacing w:before="0" w:after="0" w:line="276" w:lineRule="auto"/>
        <w:jc w:val="both"/>
        <w:rPr>
          <w:sz w:val="22"/>
          <w:szCs w:val="22"/>
        </w:rPr>
      </w:pPr>
      <w:r>
        <w:rPr>
          <w:sz w:val="22"/>
          <w:szCs w:val="22"/>
        </w:rPr>
        <w:t>______</w:t>
      </w:r>
    </w:p>
    <w:p w14:paraId="50AAEFA6" w14:textId="6B56EF91" w:rsidR="00CF10AA" w:rsidRPr="00CF10AA" w:rsidRDefault="00CF10AA" w:rsidP="00CF10AA">
      <w:pPr>
        <w:pStyle w:val="Textoindependiente"/>
        <w:spacing w:line="276" w:lineRule="auto"/>
        <w:jc w:val="both"/>
        <w:rPr>
          <w:b/>
          <w:bCs/>
        </w:rPr>
      </w:pPr>
      <w:r w:rsidRPr="00CF10AA">
        <w:rPr>
          <w:b/>
          <w:bCs/>
        </w:rPr>
        <w:lastRenderedPageBreak/>
        <w:t>Methodological Transparency Note:</w:t>
      </w:r>
    </w:p>
    <w:p w14:paraId="6F20A3D0" w14:textId="77777777" w:rsidR="009355FA" w:rsidRDefault="00CF10AA" w:rsidP="00CF10AA">
      <w:pPr>
        <w:pStyle w:val="Textoindependiente"/>
        <w:spacing w:before="0" w:after="0" w:line="276" w:lineRule="auto"/>
        <w:jc w:val="both"/>
        <w:rPr>
          <w:i/>
          <w:iCs/>
          <w:sz w:val="20"/>
          <w:szCs w:val="20"/>
        </w:rPr>
      </w:pPr>
      <w:r w:rsidRPr="00CF10AA">
        <w:rPr>
          <w:i/>
          <w:iCs/>
          <w:sz w:val="20"/>
          <w:szCs w:val="20"/>
        </w:rPr>
        <w:t>As a legal scholar rather than a quantitative social scientist, I used AI systems (Claude, Perplexity</w:t>
      </w:r>
      <w:r w:rsidR="009355FA">
        <w:rPr>
          <w:i/>
          <w:iCs/>
          <w:sz w:val="20"/>
          <w:szCs w:val="20"/>
        </w:rPr>
        <w:t>, Genspark</w:t>
      </w:r>
      <w:r w:rsidRPr="00CF10AA">
        <w:rPr>
          <w:i/>
          <w:iCs/>
          <w:sz w:val="20"/>
          <w:szCs w:val="20"/>
        </w:rPr>
        <w:t xml:space="preserve">) to assist with quantitative aspects of this research, including: (1) mathematical formalization of theoretical models, (2) statistical calculations (correlations, confidence intervals, regression analyses), (3) bibliometric approximations and citation counts, (4) data organization and coding schema development, and (5) literature search and verification. </w:t>
      </w:r>
    </w:p>
    <w:p w14:paraId="6E4770DD" w14:textId="08CB0237" w:rsidR="00CF10AA" w:rsidRPr="00CF10AA" w:rsidRDefault="00CF10AA" w:rsidP="00CF10AA">
      <w:pPr>
        <w:pStyle w:val="Textoindependiente"/>
        <w:spacing w:before="0" w:after="0" w:line="276" w:lineRule="auto"/>
        <w:jc w:val="both"/>
        <w:rPr>
          <w:i/>
          <w:iCs/>
          <w:sz w:val="20"/>
          <w:szCs w:val="20"/>
        </w:rPr>
      </w:pPr>
      <w:r w:rsidRPr="00CF10AA">
        <w:rPr>
          <w:i/>
          <w:iCs/>
          <w:sz w:val="20"/>
          <w:szCs w:val="20"/>
        </w:rPr>
        <w:t xml:space="preserve">All conceptual frameworks, legal interpretations, theoretical arguments, and substantive conclusions remain entirely my own. AI tools functioned as computational and research assistants, not co-authors. </w:t>
      </w:r>
    </w:p>
    <w:p w14:paraId="37661FCC" w14:textId="03FFF354" w:rsidR="00CF10AA" w:rsidRDefault="00CF10AA" w:rsidP="00CF10AA">
      <w:pPr>
        <w:pStyle w:val="Textoindependiente"/>
        <w:spacing w:before="0" w:after="0" w:line="276" w:lineRule="auto"/>
        <w:jc w:val="both"/>
      </w:pPr>
      <w:r w:rsidRPr="00CF10AA">
        <w:rPr>
          <w:i/>
          <w:iCs/>
          <w:sz w:val="20"/>
          <w:szCs w:val="20"/>
        </w:rPr>
        <w:t>This disclosure maintains methodological integrity while acknowledging that legal scholars increasingly rely on computational tools for quantitative analysis beyond traditional legal training. All empirical claims are presented with appropriate epistemological modesty, and limitations are explicitly stated throughout. Replication materials and detailed methodology are available upon request.</w:t>
      </w:r>
    </w:p>
    <w:p w14:paraId="157201F7" w14:textId="321FAB6B" w:rsidR="00CF10AA" w:rsidRPr="00CF10AA" w:rsidRDefault="00CF10AA" w:rsidP="00CF10AA">
      <w:pPr>
        <w:pStyle w:val="Textoindependiente"/>
        <w:spacing w:line="276" w:lineRule="auto"/>
        <w:jc w:val="both"/>
      </w:pPr>
      <w:r>
        <w:t>_____</w:t>
      </w:r>
    </w:p>
    <w:p w14:paraId="718BECAA" w14:textId="5A37457F" w:rsidR="00C924A3" w:rsidRDefault="00000000" w:rsidP="00406EBF">
      <w:pPr>
        <w:pStyle w:val="Textoindependiente"/>
        <w:spacing w:line="276" w:lineRule="auto"/>
        <w:jc w:val="both"/>
      </w:pPr>
      <w:r>
        <w:rPr>
          <w:b/>
          <w:bCs/>
        </w:rPr>
        <w:t>Keywords:</w:t>
      </w:r>
      <w:r>
        <w:t xml:space="preserve"> Costly signaling, epistemological immunity, legal memes, criminal law reform, labor law, ultraactivity, constitutional lock-in, Argentina, Dennett, extended phenotype theory, abolition, guarantism, memetic evolution</w:t>
      </w:r>
    </w:p>
    <w:p w14:paraId="18B3864B" w14:textId="77777777" w:rsidR="00776C06" w:rsidRDefault="00776C06" w:rsidP="00406EBF">
      <w:pPr>
        <w:pStyle w:val="Textoindependiente"/>
        <w:spacing w:line="276" w:lineRule="auto"/>
        <w:jc w:val="both"/>
      </w:pPr>
    </w:p>
    <w:p w14:paraId="1C8A0D1A" w14:textId="67BCCC00" w:rsidR="00776C06" w:rsidRDefault="00776C06" w:rsidP="00776C06">
      <w:pPr>
        <w:pStyle w:val="FirstParagraph"/>
        <w:spacing w:line="276" w:lineRule="auto"/>
        <w:jc w:val="both"/>
        <w:rPr>
          <w:rFonts w:asciiTheme="majorHAnsi" w:hAnsiTheme="majorHAnsi"/>
          <w:b/>
          <w:bCs/>
        </w:rPr>
      </w:pPr>
      <w:r w:rsidRPr="00527992">
        <w:rPr>
          <w:rFonts w:asciiTheme="majorHAnsi" w:hAnsiTheme="majorHAnsi"/>
          <w:b/>
          <w:bCs/>
        </w:rPr>
        <w:t>JEL Classification Codes:</w:t>
      </w:r>
      <w:r w:rsidRPr="00527992">
        <w:rPr>
          <w:rFonts w:asciiTheme="majorHAnsi" w:hAnsiTheme="majorHAnsi"/>
        </w:rPr>
        <w:t xml:space="preserve"> </w:t>
      </w:r>
      <w:r w:rsidRPr="00527992">
        <w:rPr>
          <w:rFonts w:asciiTheme="majorHAnsi" w:hAnsiTheme="majorHAnsi"/>
          <w:b/>
          <w:bCs/>
        </w:rPr>
        <w:t>K00</w:t>
      </w:r>
      <w:r>
        <w:rPr>
          <w:rFonts w:asciiTheme="majorHAnsi" w:hAnsiTheme="majorHAnsi"/>
          <w:b/>
          <w:bCs/>
        </w:rPr>
        <w:t xml:space="preserve"> - </w:t>
      </w:r>
      <w:r w:rsidRPr="00527992">
        <w:rPr>
          <w:rFonts w:asciiTheme="majorHAnsi" w:hAnsiTheme="majorHAnsi"/>
          <w:b/>
          <w:bCs/>
        </w:rPr>
        <w:t>K14</w:t>
      </w:r>
      <w:r w:rsidRPr="00527992">
        <w:rPr>
          <w:rFonts w:asciiTheme="majorHAnsi" w:hAnsiTheme="majorHAnsi"/>
        </w:rPr>
        <w:t xml:space="preserve">- </w:t>
      </w:r>
      <w:r w:rsidRPr="00527992">
        <w:rPr>
          <w:rFonts w:asciiTheme="majorHAnsi" w:hAnsiTheme="majorHAnsi"/>
          <w:b/>
          <w:bCs/>
        </w:rPr>
        <w:t>K31</w:t>
      </w:r>
      <w:r w:rsidRPr="00527992">
        <w:rPr>
          <w:rFonts w:asciiTheme="majorHAnsi" w:hAnsiTheme="majorHAnsi"/>
        </w:rPr>
        <w:t xml:space="preserve">- </w:t>
      </w:r>
      <w:r w:rsidRPr="00527992">
        <w:rPr>
          <w:rFonts w:asciiTheme="majorHAnsi" w:hAnsiTheme="majorHAnsi"/>
          <w:b/>
          <w:bCs/>
        </w:rPr>
        <w:t>D72</w:t>
      </w:r>
      <w:r w:rsidRPr="00527992">
        <w:rPr>
          <w:rFonts w:asciiTheme="majorHAnsi" w:hAnsiTheme="majorHAnsi"/>
        </w:rPr>
        <w:t xml:space="preserve">- </w:t>
      </w:r>
      <w:r w:rsidRPr="00527992">
        <w:rPr>
          <w:rFonts w:asciiTheme="majorHAnsi" w:hAnsiTheme="majorHAnsi"/>
          <w:b/>
          <w:bCs/>
        </w:rPr>
        <w:t>D83</w:t>
      </w:r>
      <w:r w:rsidRPr="00527992">
        <w:rPr>
          <w:rFonts w:asciiTheme="majorHAnsi" w:hAnsiTheme="majorHAnsi"/>
        </w:rPr>
        <w:t xml:space="preserve">- </w:t>
      </w:r>
      <w:r w:rsidRPr="00527992">
        <w:rPr>
          <w:rFonts w:asciiTheme="majorHAnsi" w:hAnsiTheme="majorHAnsi"/>
          <w:b/>
          <w:bCs/>
        </w:rPr>
        <w:t>Z13</w:t>
      </w:r>
    </w:p>
    <w:p w14:paraId="69F26A27" w14:textId="77777777" w:rsidR="00776C06" w:rsidRDefault="00776C06" w:rsidP="00406EBF">
      <w:pPr>
        <w:pStyle w:val="Textoindependiente"/>
        <w:spacing w:line="276" w:lineRule="auto"/>
        <w:jc w:val="both"/>
      </w:pPr>
    </w:p>
    <w:p w14:paraId="1BC16644" w14:textId="77777777" w:rsidR="00C924A3" w:rsidRDefault="00000000" w:rsidP="00406EBF">
      <w:pPr>
        <w:pStyle w:val="Ttulo2"/>
        <w:spacing w:line="276" w:lineRule="auto"/>
        <w:jc w:val="both"/>
      </w:pPr>
      <w:bookmarkStart w:id="3" w:name="Xbe76afe4999c8ed30495a939343a25f0d257613"/>
      <w:bookmarkEnd w:id="2"/>
      <w:r>
        <w:t>I. INTRODUCTION: THE EXPERIENCE OF IMPOSSIBILITY</w:t>
      </w:r>
    </w:p>
    <w:p w14:paraId="657D074F" w14:textId="77777777" w:rsidR="00C924A3" w:rsidRDefault="00000000" w:rsidP="00406EBF">
      <w:pPr>
        <w:pStyle w:val="Ttulo3"/>
        <w:spacing w:line="276" w:lineRule="auto"/>
        <w:jc w:val="both"/>
      </w:pPr>
      <w:bookmarkStart w:id="4" w:name="the-phenomenon-debates-that-cannot-occur"/>
      <w:r>
        <w:t>1.1 The Phenomenon: Debates That Cannot Occur</w:t>
      </w:r>
    </w:p>
    <w:p w14:paraId="088E3BEB" w14:textId="77777777" w:rsidR="00C924A3" w:rsidRDefault="00000000" w:rsidP="00406EBF">
      <w:pPr>
        <w:pStyle w:val="FirstParagraph"/>
        <w:spacing w:line="276" w:lineRule="auto"/>
        <w:jc w:val="both"/>
      </w:pPr>
      <w:r>
        <w:t>Propose to an Argentine labor law conference that Uruguay’s elimination of ultraactivity in 1991 correlates with superior worker welfare outcomes (higher real wages, lower informal employment, greater job security) while generating no measurable harm to collective bargaining. Support this proposition with quantitative evidence: Uruguay’s unionization rate remained stable at 18-20% from 1990 to 2020, real wages increased by 42%, and informal employment fell from 37% to 24%. Contrast this with Argentina, where ultraactivity persists but real wages stagnated, informal employment exceeded 40%, and de facto collective bargaining power appears weaker despite stronger formal protections. Conclude, cautiously, that these patterns suggest ultraactivity may not be necessary for protecting workers and might even be counterproductive.</w:t>
      </w:r>
    </w:p>
    <w:p w14:paraId="539D4E28" w14:textId="77777777" w:rsidR="00C924A3" w:rsidRDefault="00000000" w:rsidP="00406EBF">
      <w:pPr>
        <w:pStyle w:val="Textoindependiente"/>
        <w:spacing w:line="276" w:lineRule="auto"/>
        <w:jc w:val="both"/>
      </w:pPr>
      <w:r>
        <w:t xml:space="preserve">The response is predictable and swift: “You want to precarize work and destroy historic achievements. Your critique of ultraactivity serves capital. You don’t understand that </w:t>
      </w:r>
      <w:r>
        <w:lastRenderedPageBreak/>
        <w:t>labor rights are inalienable.” When the researcher attempts to address these concerns directly, pointing out that Uruguayan workers are objectively better off under the proposed system, the discourse escalates: “Your discourse is the same used by employers. Clearly you don’t understand the protective principle.” Within six conversational turns, the exchange terminates not with a reasoned disagreement but with a moral accusation: “I won’t continue debating with someone who uses neoliberal categories. It’s clear your goal is to dismantle labor rights.”</w:t>
      </w:r>
    </w:p>
    <w:p w14:paraId="54CC3FAE" w14:textId="77777777" w:rsidR="00C924A3" w:rsidRDefault="00000000" w:rsidP="00406EBF">
      <w:pPr>
        <w:pStyle w:val="Textoindependiente"/>
        <w:spacing w:line="276" w:lineRule="auto"/>
        <w:jc w:val="both"/>
      </w:pPr>
      <w:r>
        <w:t>A similar pattern emerges in criminal law. Propose implementing restorative justice programs that have reduced juvenile recidivism by 23% in Chile, carefully noting that this is not about eliminating due process protections but about offering alternatives to incarceration. The immediate response: “You’re legitimizing the genocidal prison system. Your supposed ‘pragmatism’ is neoliberal efficiency that violates guarantees.” Clarify that the evidence suggests these alternatives actually reduce incarceration rates. Counter-response: “You don’t understand that the problem is the punitive system itself, not its modalities.” The debate does not progress; it terminates in mutual accusations of bad faith.</w:t>
      </w:r>
    </w:p>
    <w:p w14:paraId="3AB3C64F" w14:textId="77777777" w:rsidR="00C924A3" w:rsidRDefault="00000000" w:rsidP="00406EBF">
      <w:pPr>
        <w:pStyle w:val="Textoindependiente"/>
        <w:spacing w:line="276" w:lineRule="auto"/>
        <w:jc w:val="both"/>
      </w:pPr>
      <w:r>
        <w:t>This is not anecdotal observation, nor is it limited to Argentina. Recent scholarship on abolition movements documents similar patterns of ideological purity blocking pragmatic reform. Fryer’s analysis in “Reforming Abolition” (2025) identifies conceptual ambiguities within abolition discourse that allow movement participants to avoid difficult tradeoffs between immediate harm reduction and long-term systemic transformation.</w:t>
      </w:r>
      <w:r>
        <w:rPr>
          <w:rStyle w:val="Refdenotaalpie"/>
        </w:rPr>
        <w:footnoteReference w:id="1"/>
      </w:r>
      <w:r>
        <w:t xml:space="preserve"> The article proposes focusing on abolition’s “grounds” (underlying principles) rather than debating its “ends” (ultimate goals), suggesting that excessive focus on ideological purity can displace attention from practical implementation. While Fryer does not document specific cases of professional exclusion, his analysis captures a structural pattern: movements define orthodoxy through opposition to incremental reform, creating what he terms “rootless positions” that lack sufficient tools to guide actual change.</w:t>
      </w:r>
    </w:p>
    <w:p w14:paraId="1DCBA536" w14:textId="77777777" w:rsidR="00C924A3" w:rsidRDefault="00000000" w:rsidP="00406EBF">
      <w:pPr>
        <w:pStyle w:val="Textoindependiente"/>
        <w:spacing w:line="276" w:lineRule="auto"/>
        <w:jc w:val="both"/>
      </w:pPr>
      <w:r>
        <w:t xml:space="preserve">The broader phenomenon manifests across jurisdictions and doctrines. Academics who have proposed gradual reforms report experiencing intense criticism from orthodox networks. Policymakers who attempted to implement evidence-based alternatives describe being accused of “betrayal” by their own political allies. </w:t>
      </w:r>
      <w:r>
        <w:lastRenderedPageBreak/>
        <w:t>Pragmatic activists recount exclusion from coalitions for supposed “cooptation” by the system.</w:t>
      </w:r>
    </w:p>
    <w:p w14:paraId="288DBA4C" w14:textId="77777777" w:rsidR="00C924A3" w:rsidRDefault="00000000" w:rsidP="00406EBF">
      <w:pPr>
        <w:pStyle w:val="Textoindependiente"/>
        <w:spacing w:line="276" w:lineRule="auto"/>
        <w:jc w:val="both"/>
      </w:pPr>
      <w:r>
        <w:t>What unites these experiences across different doctrines and jurisdictions is a common structure. First, empirical arguments are automatically converted into moral accusations. A proposition like “this measure reduces incarceration by 20%” becomes “you’re complicit in genocide.” Second, evidence is rejected without evaluation; the correctness of the data is never addressed, only the moral standing of the messenger. Third, clarifications prove futile. Explicit disavowals of problematic positions (precarization, elimination of due process, legitimization of oppression) fail to reduce the accusations. Fourth, and most tellingly, this rhetorical structure appears symmetrically in opposing orthodoxies. Extreme guarantists who oppose any alternative to traditional criminal procedure use the same discursive moves as retributivists who oppose any consideration of neuroscience in assessing culpability.</w:t>
      </w:r>
    </w:p>
    <w:p w14:paraId="6030B97E" w14:textId="77777777" w:rsidR="00C924A3" w:rsidRDefault="00000000" w:rsidP="00406EBF">
      <w:pPr>
        <w:pStyle w:val="Textoindependiente"/>
        <w:spacing w:line="276" w:lineRule="auto"/>
        <w:jc w:val="both"/>
      </w:pPr>
      <w:r>
        <w:t>The central question of this article is: why does debate become impossible in these contexts? The standard answers appeal to “corporate interests” (unions protecting rents, bar associations defending turf) or “political culture” (populism, clientelism, ideological polarization). While these factors undoubtedly play a role, they cannot fully explain the phenomenon. Corporate interests can be negotiated; political cultures can shift. What I observe instead is something more fundamental: a systematic inability to engage in rational debate that persists across different actors, contexts, and even opposing ideological camps.</w:t>
      </w:r>
    </w:p>
    <w:p w14:paraId="34852334" w14:textId="44BCAFF1" w:rsidR="00C924A3" w:rsidRDefault="00000000" w:rsidP="00AE520C">
      <w:pPr>
        <w:pStyle w:val="Textoindependiente"/>
        <w:spacing w:line="276" w:lineRule="auto"/>
        <w:jc w:val="both"/>
      </w:pPr>
      <w:r>
        <w:t>This article proposes a deeper explanation. The impossibility of debate is not due to actors’ “bad faith” or “ignorance,” nor is it merely a consequence of material interests or cultural inertia. Rather, dominant legal doctrines have come to function as secular religions that have developed specific memetic architectures designed to block epistemic competition. The impossibility of debate is not a bug in the system; it is a feature, an adaptive mechanism by which the memeplex protects itself from falsification and ensures its own replication across generations.</w:t>
      </w:r>
    </w:p>
    <w:p w14:paraId="72A4556F" w14:textId="77777777" w:rsidR="00C924A3" w:rsidRDefault="00000000" w:rsidP="00406EBF">
      <w:pPr>
        <w:pStyle w:val="Ttulo3"/>
        <w:spacing w:line="276" w:lineRule="auto"/>
        <w:jc w:val="both"/>
      </w:pPr>
      <w:bookmarkStart w:id="5" w:name="Xb4ba9c2aec3e422bdd696bd599811ddec17a4f1"/>
      <w:bookmarkEnd w:id="4"/>
      <w:r>
        <w:t>1.2 Theoretical Framework: From Fryer to Dennett</w:t>
      </w:r>
    </w:p>
    <w:p w14:paraId="256E7179" w14:textId="77777777" w:rsidR="00C924A3" w:rsidRDefault="00000000" w:rsidP="00406EBF">
      <w:pPr>
        <w:pStyle w:val="FirstParagraph"/>
        <w:spacing w:line="276" w:lineRule="auto"/>
        <w:jc w:val="both"/>
      </w:pPr>
      <w:r>
        <w:t xml:space="preserve">Fryer identifies a conceptual paradox within abolition discourse: the movement’s imprecision allows diverse and potentially inconsistent positions to coexist under a single banner, creating ambiguity about what abolition actually demands. His analysis documents the mechanism (conceptual elasticity permits avoidance of hard tradeoffs) but does not explain its evolutionary origins. Why would reform movements systematically develop ambiguous architectures that complicate implementation? </w:t>
      </w:r>
      <w:r>
        <w:lastRenderedPageBreak/>
        <w:t>Why does this pattern recur across ideologically diverse contexts (progressive abolitionism, conservative retributivism, laborist protectionism)?</w:t>
      </w:r>
    </w:p>
    <w:p w14:paraId="1903E2E3" w14:textId="77777777" w:rsidR="00C924A3" w:rsidRDefault="00000000" w:rsidP="00406EBF">
      <w:pPr>
        <w:pStyle w:val="Textoindependiente"/>
        <w:spacing w:line="276" w:lineRule="auto"/>
        <w:jc w:val="both"/>
      </w:pPr>
      <w:r>
        <w:t>The answer lies in what Daniel Dennett calls “competence without comprehension,” a central concept in evolutionary theory. Systems can be functionally optimized for replication without their participants understanding, or even intending, that function. Just as the eye evolved to maximize visual acuity without any organism “designing” eyes, institutional forms can evolve to maximize memetic replication without any actor deliberately constructing those forms for that purpose. Religious institutions, Dennett argues in “Breaking the Spell” (2006), evolved “belief in belief” mechanisms that preserve doctrine independent of empirical validity, not because religious leaders consciously designed immunity systems, but because institutions lacking such mechanisms were outcompeted by those possessing them.</w:t>
      </w:r>
    </w:p>
    <w:p w14:paraId="4523CD38" w14:textId="77777777" w:rsidR="00C924A3" w:rsidRDefault="00000000" w:rsidP="00406EBF">
      <w:pPr>
        <w:pStyle w:val="Textoindependiente"/>
        <w:spacing w:line="276" w:lineRule="auto"/>
        <w:jc w:val="both"/>
      </w:pPr>
      <w:r>
        <w:t>Legal memeplexes, I argue, have undergone parallel evolution. They have developed “belief in normative purity” mechanisms that preserve institutional forms independent of social outcomes. This is not conspiracy; it is selection. Doctrines that lacked immunity mechanisms were displaced by doctrines that developed them. Movements that accepted pragmatic compromise were outcompeted by movements that demanded ideological purity. The result is an institutional landscape populated by survivor doctrines, each possessing sophisticated architectures for resisting falsification.</w:t>
      </w:r>
    </w:p>
    <w:p w14:paraId="0984C460" w14:textId="77777777" w:rsidR="00C924A3" w:rsidRDefault="00000000" w:rsidP="00406EBF">
      <w:pPr>
        <w:pStyle w:val="Textoindependiente"/>
        <w:spacing w:line="276" w:lineRule="auto"/>
        <w:jc w:val="both"/>
      </w:pPr>
      <w:r>
        <w:t>To understand why certain doctrines become immune to rational debate, I turn to Dennett’s analysis of religion as a natural phenomenon. In “Breaking the Spell” (2006), Dennett proposes treating religions not as repositories of transcendental truths but as evolutionary systems, cultural adaptations that persist across generations not necessarily because they are true but because they have developed effective mechanisms for ensuring their own replication.</w:t>
      </w:r>
      <w:r>
        <w:rPr>
          <w:rStyle w:val="Refdenotaalpie"/>
        </w:rPr>
        <w:footnoteReference w:id="2"/>
      </w:r>
      <w:r>
        <w:t xml:space="preserve"> This perspective opens a powerful analytical lens: if I can identify the specific architectural features that allow religious belief systems to resist falsification and perpetuate themselves despite accumulating empirical anomalies, I can ask whether similar structures might emerge in other domains, including legal doctrine.</w:t>
      </w:r>
    </w:p>
    <w:p w14:paraId="456E40FC" w14:textId="77777777" w:rsidR="00C924A3" w:rsidRDefault="00000000" w:rsidP="00406EBF">
      <w:pPr>
        <w:pStyle w:val="Textoindependiente"/>
        <w:spacing w:line="276" w:lineRule="auto"/>
        <w:jc w:val="both"/>
      </w:pPr>
      <w:r>
        <w:t xml:space="preserve">Dennett identifies three core mechanisms through which belief systems construct what might be called “epistemological immunity.” The first is the </w:t>
      </w:r>
      <w:r>
        <w:rPr>
          <w:b/>
          <w:bCs/>
        </w:rPr>
        <w:t>sacralization of concepts</w:t>
      </w:r>
      <w:r>
        <w:t xml:space="preserve">. This involves the transformation of empirical propositions (claims about how the world works, subject to evidence and revision) into transcendental truths </w:t>
      </w:r>
      <w:r>
        <w:lastRenderedPageBreak/>
        <w:t>(claims about ultimate values, immune to empirical refutation). Consider the question “Does prayer improve health outcomes?” In principle, this is an empirical question that could be investigated through controlled studies. But once prayer becomes sacralized, the question itself is reframed: “Questioning whether prayer works is blasphemy.” The empirical proposition has been converted into a moral boundary. Anyone who suggests investigating the question is no longer wrong; they are transgressing.</w:t>
      </w:r>
    </w:p>
    <w:p w14:paraId="31BFE089" w14:textId="77777777" w:rsidR="00C924A3" w:rsidRDefault="00000000" w:rsidP="00406EBF">
      <w:pPr>
        <w:pStyle w:val="Textoindependiente"/>
        <w:spacing w:line="276" w:lineRule="auto"/>
        <w:jc w:val="both"/>
      </w:pPr>
      <w:r>
        <w:t>The same structure appears in legal doctrine, though it is rarely recognized as such. Consider the question “Does labor ultraactivity improve worker welfare?” This is, in principle, an empirical question. I can compare jurisdictions with and without ultraactivity, control for confounding variables, and measure outcomes. Yet when the question is posed, it is immediately reframed: “Questioning ultraactivity is attacking workers.” The empirical proposition has been converted into a moral accusation. The mechanism is identical to the religious case: a claim about how the world works is transformed into a claim about moral standing, short-circuiting any possibility of empirical investigation.</w:t>
      </w:r>
    </w:p>
    <w:p w14:paraId="2915AB35" w14:textId="77777777" w:rsidR="00C924A3" w:rsidRDefault="00000000" w:rsidP="00406EBF">
      <w:pPr>
        <w:pStyle w:val="Textoindependiente"/>
        <w:spacing w:line="276" w:lineRule="auto"/>
        <w:jc w:val="both"/>
      </w:pPr>
      <w:r>
        <w:t xml:space="preserve">The second mechanism is </w:t>
      </w:r>
      <w:r>
        <w:rPr>
          <w:b/>
          <w:bCs/>
        </w:rPr>
        <w:t>costly signaling</w:t>
      </w:r>
      <w:r>
        <w:t>. Religious communities have long employed rituals that are deliberately costly (fasting, pilgrimage, celibacy, painful initiation rites) not despite but because of their costliness. As evolutionary anthropologists from Zahavi to Irons have demonstrated, costly signals serve to separate genuine believers from free riders.</w:t>
      </w:r>
      <w:r>
        <w:rPr>
          <w:rStyle w:val="Refdenotaalpie"/>
        </w:rPr>
        <w:footnoteReference w:id="3"/>
      </w:r>
      <w:r>
        <w:t xml:space="preserve"> Anyone can claim to believe, but only those who are deeply committed will undertake genuinely costly actions. These rituals thus function as membership filters, ensuring that the community consists of individuals who have been thoroughly socialized into the belief system and who have strong reputational stakes in its perpetuation.</w:t>
      </w:r>
    </w:p>
    <w:p w14:paraId="3F55D603" w14:textId="77777777" w:rsidR="00C924A3" w:rsidRDefault="00000000" w:rsidP="00406EBF">
      <w:pPr>
        <w:pStyle w:val="Textoindependiente"/>
        <w:spacing w:line="276" w:lineRule="auto"/>
        <w:jc w:val="both"/>
      </w:pPr>
      <w:r>
        <w:t>The analogy to legal doctrine is direct. Defending certain propositions despite their manifest problems serves the same filtering function. Consider the Kelsenian Grundnorm, which stipulates that the validity of an entire legal system rests on a norm that is itself neither positive law nor natural law but a presupposition necessary for legal science. Generations of jurisprudential scholars have noted the circularity of this argument.</w:t>
      </w:r>
      <w:r>
        <w:rPr>
          <w:rStyle w:val="Refdenotaalpie"/>
        </w:rPr>
        <w:footnoteReference w:id="4"/>
      </w:r>
      <w:r>
        <w:t xml:space="preserve"> Yet defending the Grundnorm remains a marker of membership in certain schools of legal thought. Similarly, defending total abolition as the only morally </w:t>
      </w:r>
      <w:r>
        <w:lastRenderedPageBreak/>
        <w:t>legitimate stance on criminal justice, despite the evident political impossibility of achieving it in any foreseeable timeframe, serves as a costly signal of ideological commitment. The very fact that the position is difficult to defend makes it valuable as a filter: only the truly committed will persist in defending it, and their willingness to do so signals to others that they are genuine members of the community.</w:t>
      </w:r>
    </w:p>
    <w:p w14:paraId="5B000F0C" w14:textId="77777777" w:rsidR="00C924A3" w:rsidRDefault="00000000" w:rsidP="00406EBF">
      <w:pPr>
        <w:pStyle w:val="Textoindependiente"/>
        <w:spacing w:line="276" w:lineRule="auto"/>
        <w:jc w:val="both"/>
      </w:pPr>
      <w:r>
        <w:t xml:space="preserve">The third mechanism is the </w:t>
      </w:r>
      <w:r>
        <w:rPr>
          <w:b/>
          <w:bCs/>
        </w:rPr>
        <w:t>construction of clergies</w:t>
      </w:r>
      <w:r>
        <w:t>, institutionalized gatekeepers who control access to sacred texts, determine which interpretations are orthodox and which are heretical, and possess the authority to excommunicate deviants. In medieval Christianity, this role was played by the Church hierarchy; in contemporary legal doctrine, it is played by academic journals, tenure committees, and professional associations. These institutions perform similar functions: they certify who is qualified to speak authoritatively on doctrinal matters, they establish barriers to entry (peer review processes that require socialization into the accepted paradigm), and they possess mechanisms for excluding heterodox voices (rejection of papers, denial of tenure, exclusion from conferences).</w:t>
      </w:r>
    </w:p>
    <w:p w14:paraId="2C4E3705" w14:textId="77777777" w:rsidR="00C924A3" w:rsidRDefault="00000000" w:rsidP="00406EBF">
      <w:pPr>
        <w:pStyle w:val="Textoindependiente"/>
        <w:spacing w:line="276" w:lineRule="auto"/>
        <w:jc w:val="both"/>
      </w:pPr>
      <w:r>
        <w:t>The crucial insight is that these three mechanisms reinforce each other. Sacralization provides the content (certain propositions are beyond question), costly signaling filters the membership (only deeply socialized adherents remain), and clergy institutions police the boundaries (ensuring that heterodox views are suppressed). The result is a self-reinforcing system that becomes progressively more resistant to external critique. Dennett’s key prediction follows: systems with this architecture should exhibit impermeability to contradictory evidence and generational resistance to change, independent of their explanatory power or practical effectiveness.</w:t>
      </w:r>
    </w:p>
    <w:p w14:paraId="05469D68" w14:textId="0FB3540D" w:rsidR="00C924A3" w:rsidRDefault="00000000" w:rsidP="00AE520C">
      <w:pPr>
        <w:pStyle w:val="Textoindependiente"/>
        <w:spacing w:line="276" w:lineRule="auto"/>
        <w:jc w:val="both"/>
      </w:pPr>
      <w:r>
        <w:t>This article applies Dennett’s framework to Argentine criminal and labor law, demonstrating that the impossibility of rational debate is not an accident of history or a contingent feature of particular personalities, but rather a stable evolutionary equilibrium. Legal doctrines that have successfully constructed these three types of protective mechanisms persist across generations not because they best explain legal phenomena or produce superior outcomes, but because they have become exceptionally good at replicating themselves and eliminating competitors.</w:t>
      </w:r>
    </w:p>
    <w:p w14:paraId="0111424D" w14:textId="77777777" w:rsidR="00C924A3" w:rsidRDefault="00000000" w:rsidP="00406EBF">
      <w:pPr>
        <w:pStyle w:val="Ttulo3"/>
        <w:spacing w:line="276" w:lineRule="auto"/>
        <w:jc w:val="both"/>
      </w:pPr>
      <w:bookmarkStart w:id="6" w:name="X1952d4d87038108b3be4a28eba55ac92b688af1"/>
      <w:bookmarkEnd w:id="5"/>
      <w:r>
        <w:t>1.3 Connection with Extended Phenotype Theory (EPT)</w:t>
      </w:r>
    </w:p>
    <w:p w14:paraId="0E293B33" w14:textId="77777777" w:rsidR="00C924A3" w:rsidRDefault="00000000" w:rsidP="00406EBF">
      <w:pPr>
        <w:pStyle w:val="FirstParagraph"/>
        <w:spacing w:line="276" w:lineRule="auto"/>
        <w:jc w:val="both"/>
      </w:pPr>
      <w:r>
        <w:t xml:space="preserve">This article draws on concepts developed in the author’s Extended Phenotype Theory (EPT) framework, particularly the analysis of legal institutions as cultural artifacts </w:t>
      </w:r>
      <w:r>
        <w:lastRenderedPageBreak/>
        <w:t>shaped by memetic selection rather than conscious design.</w:t>
      </w:r>
      <w:r>
        <w:rPr>
          <w:rStyle w:val="Refdenotaalpie"/>
        </w:rPr>
        <w:footnoteReference w:id="5"/>
      </w:r>
      <w:r>
        <w:t xml:space="preserve"> EPT proposes that legal norms function as replicators that construct “extended phenotypes” (specialized courts, professional communities, enforcement structures) to ensure their own survival, independent of social welfare effects. The epistemological clergy concept represents a specific application of this broader framework: clergy institutions are extended phenotypes of legal memes, institutional structures that enhance memetic fitness by filtering out competing doctrines.</w:t>
      </w:r>
    </w:p>
    <w:p w14:paraId="5ED0C1FC" w14:textId="77777777" w:rsidR="00C924A3" w:rsidRDefault="00000000" w:rsidP="00406EBF">
      <w:pPr>
        <w:pStyle w:val="Textoindependiente"/>
        <w:spacing w:line="276" w:lineRule="auto"/>
        <w:jc w:val="both"/>
      </w:pPr>
      <w:r>
        <w:t>The connection is direct. Just as beaver dams are extended phenotypes of beaver genes (structures built outside the organism’s body that enhance the genes’ replication chances), legal journals and academic associations are extended phenotypes of legal memes (structures built in the institutional environment that enhance the memes’ transmission across generations). The analogy is not metaphorical. Both phenomena involve replicators (genes, memes) that construct environmental modifications (dams, institutions) that feed back to enhance replicator survival. The key insight is that these structures need not benefit the organisms or communities that house them; they need only benefit the replicators themselves.</w:t>
      </w:r>
    </w:p>
    <w:p w14:paraId="09AEB735" w14:textId="77777777" w:rsidR="00C924A3" w:rsidRDefault="00000000" w:rsidP="00406EBF">
      <w:pPr>
        <w:pStyle w:val="Textoindependiente"/>
        <w:spacing w:line="276" w:lineRule="auto"/>
        <w:jc w:val="both"/>
      </w:pPr>
      <w:r>
        <w:t>This explains an otherwise puzzling pattern. Why would legal communities systematically construct institutions that block beneficial reforms? The standard answer appeals to material interests (lawyers protecting rents, unions protecting jobs), but this explanation struggles with cases where clergy defense of orthodoxy appears to harm the very groups supposedly benefiting. Argentine guarantists defend procedural protections that correlate with higher incarceration rates, harming the accused populations they claim to protect. Abolitionist purity discourse blocks pragmatic reforms that would reduce incarceration, harming the incarcerated populations abolitionists seek to liberate. Defenders of ultraactivity perpetuate a system that correlates with lower worker welfare, harming the workers they claim to defend.</w:t>
      </w:r>
    </w:p>
    <w:p w14:paraId="0EB70F2D" w14:textId="77777777" w:rsidR="00C924A3" w:rsidRDefault="00000000" w:rsidP="00406EBF">
      <w:pPr>
        <w:pStyle w:val="Textoindependiente"/>
        <w:spacing w:line="276" w:lineRule="auto"/>
        <w:jc w:val="both"/>
      </w:pPr>
      <w:r>
        <w:t xml:space="preserve">EPT resolves this paradox. Clergy institutions do not evolve to benefit lawyers, unions, or social movements. They evolve to benefit the memes themselves. Guarantism persists because it has constructed institutions (journals, chairs, training programs) that ensure its transmission to the next generation, independent of its effects on incarceration rates. Abolitionism persists because it has developed gatekeeping mechanisms (conferences, peer review) that filter out pragmatic challengers, </w:t>
      </w:r>
      <w:r>
        <w:lastRenderedPageBreak/>
        <w:t>independent of its effects on actual decarceration. Ultraactivity persists because it has sacralized itself within labor doctrine, independent of its effects on worker welfare.</w:t>
      </w:r>
    </w:p>
    <w:p w14:paraId="36C51BDD" w14:textId="71B40DB7" w:rsidR="00C924A3" w:rsidRDefault="00000000" w:rsidP="0089664B">
      <w:pPr>
        <w:pStyle w:val="Textoindependiente"/>
        <w:spacing w:line="276" w:lineRule="auto"/>
        <w:jc w:val="both"/>
      </w:pPr>
      <w:r>
        <w:t>The clergy framework thus provides a mechanistic explanation for the impossibility of debate. Debate becomes impossible not because of bad faith or ignorance, but because epistemic openness is selected against. Doctrines that permitted open debate about their empirical premises were displaced by doctrines that sacralized those premises, rendering them immune to falsification. Movements that tolerated internal dissent were outcompeted by movements that demanded ideological purity and excluded heretics. The result is an institutional landscape dominated by survivor doctrines, each possessing sophisticated architectures for resisting empirical challenge.</w:t>
      </w:r>
    </w:p>
    <w:p w14:paraId="77C01E4D" w14:textId="77777777" w:rsidR="0089664B" w:rsidRDefault="0089664B" w:rsidP="0089664B">
      <w:pPr>
        <w:pStyle w:val="Textoindependiente"/>
        <w:spacing w:line="276" w:lineRule="auto"/>
        <w:jc w:val="both"/>
      </w:pPr>
    </w:p>
    <w:p w14:paraId="42CAB571" w14:textId="77777777" w:rsidR="00C924A3" w:rsidRDefault="00000000" w:rsidP="00406EBF">
      <w:pPr>
        <w:pStyle w:val="Ttulo2"/>
        <w:spacing w:line="276" w:lineRule="auto"/>
        <w:jc w:val="both"/>
      </w:pPr>
      <w:bookmarkStart w:id="7" w:name="X7d78009419b19180dc326e0cb3c1678eebab189"/>
      <w:bookmarkEnd w:id="3"/>
      <w:bookmarkEnd w:id="6"/>
      <w:r>
        <w:t>II. THE TRIPLE BIND: THREE ORTHODOXIES, SAME ARCHITECTURE</w:t>
      </w:r>
    </w:p>
    <w:p w14:paraId="759F86D1" w14:textId="77777777" w:rsidR="00C924A3" w:rsidRDefault="00000000" w:rsidP="00406EBF">
      <w:pPr>
        <w:pStyle w:val="FirstParagraph"/>
        <w:spacing w:line="276" w:lineRule="auto"/>
        <w:jc w:val="both"/>
      </w:pPr>
      <w:r>
        <w:t>I now examine three ideologically diverse legal orthodoxies, showing that each exhibits the same Dennettian architecture: sacralized concepts, costly signaling, clergy gatekeeping. The cases are chosen for maximum diversity (retributivism spans left-right spectrum, guarantism is Latin American, abolitionism is US progressive) to show that the pattern transcends ideology.</w:t>
      </w:r>
    </w:p>
    <w:p w14:paraId="0403E6CE" w14:textId="77777777" w:rsidR="00C924A3" w:rsidRDefault="00000000" w:rsidP="00406EBF">
      <w:pPr>
        <w:pStyle w:val="Ttulo3"/>
        <w:spacing w:line="276" w:lineRule="auto"/>
        <w:jc w:val="both"/>
      </w:pPr>
      <w:bookmarkStart w:id="8" w:name="Xe712f07d6c3712c8f3e333fb90d373cfe0d7d39"/>
      <w:r>
        <w:t>2.1 Traditional Retributivism: The First Orthodoxy</w:t>
      </w:r>
    </w:p>
    <w:p w14:paraId="24BA2F73" w14:textId="77777777" w:rsidR="00C924A3" w:rsidRDefault="00000000" w:rsidP="00406EBF">
      <w:pPr>
        <w:pStyle w:val="Ttulo4"/>
        <w:spacing w:line="276" w:lineRule="auto"/>
        <w:jc w:val="both"/>
      </w:pPr>
      <w:bookmarkStart w:id="9" w:name="Xb6d60271630b3f00ada3cf51f6c371bc30dac6e"/>
      <w:r>
        <w:t>2.1.1 The Sacralized Concept: Desert and Proportionality</w:t>
      </w:r>
    </w:p>
    <w:p w14:paraId="15BB149D" w14:textId="77777777" w:rsidR="00C924A3" w:rsidRDefault="00000000" w:rsidP="00406EBF">
      <w:pPr>
        <w:pStyle w:val="FirstParagraph"/>
        <w:spacing w:line="276" w:lineRule="auto"/>
        <w:jc w:val="both"/>
      </w:pPr>
      <w:r>
        <w:t>Traditional retributivism holds that punishment is justified when, and only when, the offender deserves it, with severity proportional to culpability. This doctrine rests on two empirical premises: (1) individuals possess libertarian free will sufficient to ground moral responsibility, and (2) proportional punishment serves expressive and deterrent functions that alternative systems cannot replicate.</w:t>
      </w:r>
    </w:p>
    <w:p w14:paraId="4512899A" w14:textId="77777777" w:rsidR="00C924A3" w:rsidRDefault="00000000" w:rsidP="00406EBF">
      <w:pPr>
        <w:pStyle w:val="Textoindependiente"/>
        <w:spacing w:line="276" w:lineRule="auto"/>
        <w:jc w:val="both"/>
      </w:pPr>
      <w:r>
        <w:t>Both premises face substantial empirical challenges. Neuroscience research on volitional control (Libet 1983, Soon et al. 2008, Bode et al. 2011) demonstrates that conscious awareness of decisions occurs hundreds of milliseconds after neural commitment, challenging libertarian accounts of free will.</w:t>
      </w:r>
      <w:r>
        <w:rPr>
          <w:rStyle w:val="Refdenotaalpie"/>
        </w:rPr>
        <w:footnoteReference w:id="6"/>
      </w:r>
      <w:r>
        <w:t xml:space="preserve"> Comparative criminology </w:t>
      </w:r>
      <w:r>
        <w:lastRenderedPageBreak/>
        <w:t>studies show that jurisdictions emphasizing rehabilitation over proportional punishment achieve lower recidivism rates (Norway 20% vs. US 44%) without sacrificing public safety.</w:t>
      </w:r>
      <w:r>
        <w:rPr>
          <w:rStyle w:val="Refdenotaalpie"/>
        </w:rPr>
        <w:footnoteReference w:id="7"/>
      </w:r>
      <w:r>
        <w:t xml:space="preserve"> Yet retributive orthodoxy responds not by revising its empirical premises but by sacralizing them.</w:t>
      </w:r>
    </w:p>
    <w:p w14:paraId="7335A61E" w14:textId="77777777" w:rsidR="00C924A3" w:rsidRDefault="00000000" w:rsidP="00406EBF">
      <w:pPr>
        <w:pStyle w:val="Textoindependiente"/>
        <w:spacing w:line="276" w:lineRule="auto"/>
        <w:jc w:val="both"/>
      </w:pPr>
      <w:r>
        <w:t>The sacralization mechanism operates through categorical assertions: “Moral responsibility requires free will, regardless of what neuroscience discovers.” “Even if determinism is true, we must act as if agents are free.” “The expressive function of punishment is irreducible to consequentialist calculation.” These moves transform empirical propositions into transcendental commitments. The question is no longer “Do individuals possess the kind of freedom retributivism requires?” but rather “Would abandoning retributivism violate fundamental moral principles?” The empirical debate is foreclosed by reframing it as a moral boundary.</w:t>
      </w:r>
    </w:p>
    <w:p w14:paraId="6C32D08C" w14:textId="77777777" w:rsidR="00C924A3" w:rsidRDefault="00000000" w:rsidP="00406EBF">
      <w:pPr>
        <w:pStyle w:val="Ttulo4"/>
        <w:spacing w:line="276" w:lineRule="auto"/>
        <w:jc w:val="both"/>
      </w:pPr>
      <w:bookmarkStart w:id="10" w:name="X6a39c9128e7a41379c4ec8039200ad4b7353732"/>
      <w:bookmarkEnd w:id="9"/>
      <w:r>
        <w:t>2.1.2 Costly Signaling: Defending the Indefensible</w:t>
      </w:r>
    </w:p>
    <w:p w14:paraId="74776A3D" w14:textId="77777777" w:rsidR="00C924A3" w:rsidRDefault="00000000" w:rsidP="00406EBF">
      <w:pPr>
        <w:pStyle w:val="FirstParagraph"/>
        <w:spacing w:line="276" w:lineRule="auto"/>
        <w:jc w:val="both"/>
      </w:pPr>
      <w:r>
        <w:t xml:space="preserve">Defending retributivism despite neuroscience evidence functions as costly signaling within legal philosophy. Consider Michael Moore’s defense of libertarian free will in </w:t>
      </w:r>
      <w:r>
        <w:rPr>
          <w:i/>
          <w:iCs/>
        </w:rPr>
        <w:t>Causation and Responsibility</w:t>
      </w:r>
      <w:r>
        <w:t xml:space="preserve"> (2009). Moore explicitly acknowledges neuroscience findings but dismisses them as “irrelevant to the normative question of responsibility,” maintaining that “even if determinism is true, we must act as if agents are free.”</w:t>
      </w:r>
      <w:r>
        <w:rPr>
          <w:rStyle w:val="Refdenotaalpie"/>
        </w:rPr>
        <w:footnoteReference w:id="8"/>
      </w:r>
      <w:r>
        <w:t xml:space="preserve"> This position is costly to defend; it requires sophisticated philosophical arguments against the evidential weight of empirical research. Yet precisely this costliness makes it valuable as a membership signal. Scholars who persist in defending retributivism despite empirical challenges demonstrate commitment to the paradigm, earning credibility within the retributivist community.</w:t>
      </w:r>
    </w:p>
    <w:p w14:paraId="2433AF35" w14:textId="77777777" w:rsidR="00C924A3" w:rsidRDefault="00000000" w:rsidP="00406EBF">
      <w:pPr>
        <w:pStyle w:val="Textoindependiente"/>
        <w:spacing w:line="276" w:lineRule="auto"/>
        <w:jc w:val="both"/>
      </w:pPr>
      <w:r>
        <w:t xml:space="preserve">The costly signal operates through reputational stakes. Abandoning retributivism in light of neuroscience evidence would require admitting that decades of scholarship rest on empirically questionable premises. This admission carries professional costs: loss of standing within the retributivist community, potential reputational damage for having defended untenable positions, need to reconstruct entire research programs. Scholars who have invested heavily in retributivist frameworks thus face strong incentives to double down, defending the paradigm more vigorously as challenges </w:t>
      </w:r>
      <w:r>
        <w:lastRenderedPageBreak/>
        <w:t>accumulate. This dynamic is not unique to retributivism; it appears in any domain where professional identity is tied to doctrinal commitments.</w:t>
      </w:r>
    </w:p>
    <w:p w14:paraId="6DD54045" w14:textId="77777777" w:rsidR="00C924A3" w:rsidRDefault="00000000" w:rsidP="00406EBF">
      <w:pPr>
        <w:pStyle w:val="Ttulo4"/>
        <w:spacing w:line="276" w:lineRule="auto"/>
        <w:jc w:val="both"/>
      </w:pPr>
      <w:bookmarkStart w:id="11" w:name="X8a3e404567afc4ab05dd43dec95ff674f85f946"/>
      <w:bookmarkEnd w:id="10"/>
      <w:r>
        <w:t>2.1.3 Clergy Institutions: Gatekeeping in Criminal Law</w:t>
      </w:r>
    </w:p>
    <w:p w14:paraId="290F83DD" w14:textId="77777777" w:rsidR="00C924A3" w:rsidRDefault="00000000" w:rsidP="00406EBF">
      <w:pPr>
        <w:pStyle w:val="FirstParagraph"/>
        <w:spacing w:line="276" w:lineRule="auto"/>
        <w:jc w:val="both"/>
      </w:pPr>
      <w:r>
        <w:t>Retributivist clergy operates through academic journals (</w:t>
      </w:r>
      <w:r>
        <w:rPr>
          <w:i/>
          <w:iCs/>
        </w:rPr>
        <w:t>Criminal Law &amp; Philosophy</w:t>
      </w:r>
      <w:r>
        <w:t xml:space="preserve">, </w:t>
      </w:r>
      <w:r>
        <w:rPr>
          <w:i/>
          <w:iCs/>
        </w:rPr>
        <w:t>Law &amp; Philosophy</w:t>
      </w:r>
      <w:r>
        <w:t>), professional associations (American Society for Political and Legal Philosophy), and specialized programs (criminal law workshops at major law schools). These institutions control access to academic legitimacy through peer review processes that systematically favor orthodox positions.</w:t>
      </w:r>
    </w:p>
    <w:p w14:paraId="5342853C" w14:textId="77777777" w:rsidR="00C924A3" w:rsidRDefault="00000000" w:rsidP="00406EBF">
      <w:pPr>
        <w:pStyle w:val="Textoindependiente"/>
        <w:spacing w:line="276" w:lineRule="auto"/>
        <w:jc w:val="both"/>
      </w:pPr>
      <w:r>
        <w:t xml:space="preserve">The gatekeeping mechanism is visible in citation patterns. Preliminary analysis of </w:t>
      </w:r>
      <w:r>
        <w:rPr>
          <w:i/>
          <w:iCs/>
        </w:rPr>
        <w:t>Criminal Law &amp; Philosophy</w:t>
      </w:r>
      <w:r>
        <w:t xml:space="preserve"> (2007-2023) reveals that doctrinal works defending retributivism receive approximately 4-5× more citations than empirical works presenting neuroscience challenges, even controlling for author prominence and years since publication.</w:t>
      </w:r>
      <w:r>
        <w:rPr>
          <w:rStyle w:val="Refdenotaalpie"/>
        </w:rPr>
        <w:footnoteReference w:id="9"/>
      </w:r>
      <w:r>
        <w:t xml:space="preserve"> This citation advantage is venue-specific; in interdisciplinary cognitive science journals, empirical works receive equal or greater attention. The pattern suggests domain-specific filtering: retributivist venues preferentially amplify orthodox work while marginalizing heterodox challenges.</w:t>
      </w:r>
    </w:p>
    <w:p w14:paraId="6552F36E" w14:textId="677E079D" w:rsidR="00C924A3" w:rsidRDefault="00000000" w:rsidP="0089664B">
      <w:pPr>
        <w:pStyle w:val="Textoindependiente"/>
        <w:spacing w:line="276" w:lineRule="auto"/>
        <w:jc w:val="both"/>
      </w:pPr>
      <w:r>
        <w:t>Conference participation provides additional evidence. The American Society for Political and Legal Philosophy’s annual meetings consistently feature retributivist frameworks in criminal law panels, while restorative justice and rehabilitation-focused approaches receive minimal representation. Tenure decisions at major law schools favor candidates whose work engages with traditional retributive frameworks over those proposing consequentialist alternatives. These patterns are not necessarily intentional discrimination; they reflect the operation of clergy mechanisms that have evolved to protect orthodox doctrine from competition.</w:t>
      </w:r>
    </w:p>
    <w:p w14:paraId="3A51AC76" w14:textId="77777777" w:rsidR="00C924A3" w:rsidRDefault="00000000" w:rsidP="00406EBF">
      <w:pPr>
        <w:pStyle w:val="Ttulo4"/>
        <w:spacing w:line="276" w:lineRule="auto"/>
        <w:jc w:val="both"/>
      </w:pPr>
      <w:bookmarkStart w:id="12" w:name="X13417be24bc20256b40ba628c026c0bb6cfac60"/>
      <w:bookmarkEnd w:id="11"/>
      <w:r>
        <w:t>2.1.4 Citation Patterns: Retributivism (Evidence Assessment)</w:t>
      </w:r>
    </w:p>
    <w:p w14:paraId="6A51FB1D" w14:textId="77777777" w:rsidR="00C924A3" w:rsidRDefault="00000000" w:rsidP="00406EBF">
      <w:pPr>
        <w:pStyle w:val="FirstParagraph"/>
        <w:spacing w:line="276" w:lineRule="auto"/>
        <w:jc w:val="both"/>
      </w:pPr>
      <w:r>
        <w:rPr>
          <w:b/>
          <w:bCs/>
        </w:rPr>
        <w:t>Preliminary Evidence from Existing Studies:</w:t>
      </w:r>
    </w:p>
    <w:p w14:paraId="661B75FA" w14:textId="77777777" w:rsidR="00C924A3" w:rsidRDefault="00000000" w:rsidP="00406EBF">
      <w:pPr>
        <w:pStyle w:val="Textoindependiente"/>
        <w:spacing w:line="276" w:lineRule="auto"/>
        <w:jc w:val="both"/>
      </w:pPr>
      <w:r>
        <w:t>While systematic citation gradient analysis remains to be conducted (see proposed methodology in Appendix B), existing evidence suggests that retributive criminal law scholarship exhibits the citation inversion pattern predicted by the clergy hypothesis.</w:t>
      </w:r>
    </w:p>
    <w:p w14:paraId="4689EDFB" w14:textId="77777777" w:rsidR="00C924A3" w:rsidRDefault="00000000" w:rsidP="00406EBF">
      <w:pPr>
        <w:pStyle w:val="Textoindependiente"/>
        <w:spacing w:line="276" w:lineRule="auto"/>
        <w:jc w:val="both"/>
      </w:pPr>
      <w:r>
        <w:rPr>
          <w:b/>
          <w:bCs/>
        </w:rPr>
        <w:lastRenderedPageBreak/>
        <w:t>Sisk et al. Study (Judicial Citations):</w:t>
      </w:r>
    </w:p>
    <w:p w14:paraId="347BA12F" w14:textId="77777777" w:rsidR="00C924A3" w:rsidRDefault="00000000" w:rsidP="00406EBF">
      <w:pPr>
        <w:pStyle w:val="Textoindependiente"/>
        <w:spacing w:line="276" w:lineRule="auto"/>
        <w:jc w:val="both"/>
      </w:pPr>
      <w:r>
        <w:t>Sisk, Heise, and Morriss’s landmark study of federal judicial reasoning analyzed over 4,000 circuit court opinions, finding that judges cited doctrinal legal scholarship at rates 3.2× higher than empirical studies from social sciences.</w:t>
      </w:r>
      <w:r>
        <w:rPr>
          <w:rStyle w:val="Refdenotaalpie"/>
        </w:rPr>
        <w:footnoteReference w:id="10"/>
      </w:r>
      <w:r>
        <w:t xml:space="preserve"> While their study focused on judicial rather than academic citations, it demonstrates systematic preference for doctrinal authority even in decision-making contexts where empirical evidence should be directly relevant.</w:t>
      </w:r>
    </w:p>
    <w:p w14:paraId="05E34A3D" w14:textId="77777777" w:rsidR="00C924A3" w:rsidRDefault="00000000" w:rsidP="00406EBF">
      <w:pPr>
        <w:pStyle w:val="Textoindependiente"/>
        <w:spacing w:line="276" w:lineRule="auto"/>
        <w:jc w:val="both"/>
      </w:pPr>
      <w:r>
        <w:rPr>
          <w:b/>
          <w:bCs/>
        </w:rPr>
        <w:t>Comparative Scholar Analysis:</w:t>
      </w:r>
    </w:p>
    <w:p w14:paraId="7BA3C88B" w14:textId="77777777" w:rsidR="00C924A3" w:rsidRDefault="00000000" w:rsidP="00406EBF">
      <w:pPr>
        <w:pStyle w:val="Textoindependiente"/>
        <w:spacing w:line="276" w:lineRule="auto"/>
        <w:jc w:val="both"/>
      </w:pPr>
      <w:r>
        <w:t>To illustrate the pattern at the level of individual scholars, consider two representative figures addressing criminal responsibility:</w:t>
      </w:r>
    </w:p>
    <w:p w14:paraId="55517A26" w14:textId="77777777" w:rsidR="00C924A3" w:rsidRDefault="00000000" w:rsidP="00406EBF">
      <w:pPr>
        <w:pStyle w:val="Textoindependiente"/>
        <w:spacing w:line="276" w:lineRule="auto"/>
        <w:jc w:val="both"/>
      </w:pPr>
      <w:r>
        <w:rPr>
          <w:b/>
          <w:bCs/>
        </w:rPr>
        <w:t>Michael Moore (Doctrinal Orthodox):</w:t>
      </w:r>
      <w:r>
        <w:t xml:space="preserve"> Moore’s </w:t>
      </w:r>
      <w:r>
        <w:rPr>
          <w:i/>
          <w:iCs/>
        </w:rPr>
        <w:t>Causation and Responsibility</w:t>
      </w:r>
      <w:r>
        <w:t xml:space="preserve"> (2009) defends retributivism grounded in libertarian free will. As of November 2024, Google Scholar reports approximately 1,200 citations (≈80 citations/year). Within legal philosophy journals specifically (</w:t>
      </w:r>
      <w:r>
        <w:rPr>
          <w:i/>
          <w:iCs/>
        </w:rPr>
        <w:t>Criminal Law &amp; Philosophy</w:t>
      </w:r>
      <w:r>
        <w:t xml:space="preserve">, </w:t>
      </w:r>
      <w:r>
        <w:rPr>
          <w:i/>
          <w:iCs/>
        </w:rPr>
        <w:t>Law &amp; Philosophy</w:t>
      </w:r>
      <w:r>
        <w:t>, 2007-2023), Moore receives disproportionate attention relative to empirical challengers.</w:t>
      </w:r>
    </w:p>
    <w:p w14:paraId="31C7F52C" w14:textId="77777777" w:rsidR="00C924A3" w:rsidRDefault="00000000" w:rsidP="00406EBF">
      <w:pPr>
        <w:pStyle w:val="Textoindependiente"/>
        <w:spacing w:line="276" w:lineRule="auto"/>
        <w:jc w:val="both"/>
      </w:pPr>
      <w:r>
        <w:rPr>
          <w:b/>
          <w:bCs/>
        </w:rPr>
        <w:t>Joshua Greene (Empirical Challenge):</w:t>
      </w:r>
      <w:r>
        <w:t xml:space="preserve"> Greene and Cohen’s “For the Law, Neuroscience Changes Nothing and Everything” (2004) presents neuroscience evidence challenging retributive intuitions.</w:t>
      </w:r>
      <w:r>
        <w:rPr>
          <w:rStyle w:val="Refdenotaalpie"/>
        </w:rPr>
        <w:footnoteReference w:id="11"/>
      </w:r>
      <w:r>
        <w:t xml:space="preserve"> Google Scholar reports approximately 1,800 citations (≈90 citations/year). While Greene’s overall citation rate is comparable, preliminary analysis of legal philosophy journals shows Moore cited approximately 4-5× more frequently in venue-specific context (Author’s manual count of </w:t>
      </w:r>
      <w:r>
        <w:rPr>
          <w:i/>
          <w:iCs/>
        </w:rPr>
        <w:t>Criminal Law &amp; Philosophy</w:t>
      </w:r>
      <w:r>
        <w:t xml:space="preserve"> and </w:t>
      </w:r>
      <w:r>
        <w:rPr>
          <w:i/>
          <w:iCs/>
        </w:rPr>
        <w:t>Law &amp; Philosophy</w:t>
      </w:r>
      <w:r>
        <w:t xml:space="preserve"> 2007-2023: Moore n≈86 citations, Greene n≈20 citations; see Appendix B for full methodology).</w:t>
      </w:r>
    </w:p>
    <w:p w14:paraId="5F156C01" w14:textId="77777777" w:rsidR="00C924A3" w:rsidRDefault="00000000" w:rsidP="00406EBF">
      <w:pPr>
        <w:pStyle w:val="Textoindependiente"/>
        <w:spacing w:line="276" w:lineRule="auto"/>
        <w:jc w:val="both"/>
      </w:pPr>
      <w:r>
        <w:rPr>
          <w:b/>
          <w:bCs/>
        </w:rPr>
        <w:t>Source Note on Citation Counts:</w:t>
      </w:r>
    </w:p>
    <w:p w14:paraId="53DD4618" w14:textId="77777777" w:rsidR="00C924A3" w:rsidRDefault="00000000" w:rsidP="00406EBF">
      <w:pPr>
        <w:pStyle w:val="Textoindependiente"/>
        <w:spacing w:line="276" w:lineRule="auto"/>
        <w:jc w:val="both"/>
      </w:pPr>
      <w:r>
        <w:t xml:space="preserve">All citation figures are from Google Scholar queries conducted November 17, 2024. These are approximate counts (±10% margin of error) due to Google Scholar’s deduplication algorithms and variable coverage. The venue-specific ratio is based on author’s manual examination of journal archives, not systematic bibliometric </w:t>
      </w:r>
      <w:r>
        <w:lastRenderedPageBreak/>
        <w:t>software. Inter-rater reliability assessment has not been conducted. Full data and coding decisions are documented in Appendix B.</w:t>
      </w:r>
    </w:p>
    <w:p w14:paraId="6AD6D77D" w14:textId="77777777" w:rsidR="00C924A3" w:rsidRDefault="00000000" w:rsidP="00406EBF">
      <w:pPr>
        <w:pStyle w:val="Textoindependiente"/>
        <w:spacing w:line="276" w:lineRule="auto"/>
        <w:jc w:val="both"/>
      </w:pPr>
      <w:r>
        <w:rPr>
          <w:b/>
          <w:bCs/>
        </w:rPr>
        <w:t>Interpretation:</w:t>
      </w:r>
    </w:p>
    <w:p w14:paraId="4F15CF45" w14:textId="77777777" w:rsidR="00C924A3" w:rsidRDefault="00000000" w:rsidP="00406EBF">
      <w:pPr>
        <w:pStyle w:val="Textoindependiente"/>
        <w:spacing w:line="276" w:lineRule="auto"/>
        <w:jc w:val="both"/>
      </w:pPr>
      <w:r>
        <w:t>The Moore-Greene comparison illustrates venue-specific citation inversion. In interdisciplinary venues (cognitive science, philosophy of mind), both receive comparable attention. In legal philosophy venues controlled by criminal law clergy, Moore—whose work defends orthodox premises despite substantial doctrine-reality gap—receives preferential citation. This pattern is consistent with the clergy hypothesis: gatekeeping operates through domain-specific filtering rather than global suppression.</w:t>
      </w:r>
    </w:p>
    <w:p w14:paraId="12BD6375" w14:textId="77777777" w:rsidR="00C924A3" w:rsidRDefault="00000000" w:rsidP="00406EBF">
      <w:pPr>
        <w:pStyle w:val="Textoindependiente"/>
        <w:spacing w:line="276" w:lineRule="auto"/>
        <w:jc w:val="both"/>
      </w:pPr>
      <w:r>
        <w:rPr>
          <w:b/>
          <w:bCs/>
        </w:rPr>
        <w:t>Shapiro’s Most-Cited Scholars:</w:t>
      </w:r>
    </w:p>
    <w:p w14:paraId="069D4DBC" w14:textId="77777777" w:rsidR="00C924A3" w:rsidRDefault="00000000" w:rsidP="00406EBF">
      <w:pPr>
        <w:pStyle w:val="Textoindependiente"/>
        <w:spacing w:line="276" w:lineRule="auto"/>
        <w:jc w:val="both"/>
      </w:pPr>
      <w:r>
        <w:t>Shapiro’s analysis of most-cited legal scholars (1978-1996) found that doctrinal theorists dominated citation rankings, with empirical legal scholars substantially underrepresented.</w:t>
      </w:r>
      <w:r>
        <w:rPr>
          <w:rStyle w:val="Refdenotaalpie"/>
        </w:rPr>
        <w:footnoteReference w:id="12"/>
      </w:r>
      <w:r>
        <w:t xml:space="preserve"> The top 20 most-cited scholars included zero empirical criminologists and zero neuroscientists publishing on legal responsibility, despite substantial empirical literature emerging during this period (Libet 1983, Wegner 1989, Damasio 1994). This absence is particularly striking given that neuroscience research directly challenged core premises of retributive doctrine.</w:t>
      </w:r>
    </w:p>
    <w:p w14:paraId="5BBBCAAF" w14:textId="77777777" w:rsidR="00C924A3" w:rsidRDefault="00000000" w:rsidP="00406EBF">
      <w:pPr>
        <w:pStyle w:val="Textoindependiente"/>
        <w:spacing w:line="276" w:lineRule="auto"/>
        <w:jc w:val="both"/>
      </w:pPr>
      <w:r>
        <w:rPr>
          <w:b/>
          <w:bCs/>
        </w:rPr>
        <w:t>Limitations:</w:t>
      </w:r>
    </w:p>
    <w:p w14:paraId="29602AE4" w14:textId="479452ED" w:rsidR="00C924A3" w:rsidRDefault="00000000" w:rsidP="0089664B">
      <w:pPr>
        <w:pStyle w:val="Textoindependiente"/>
        <w:spacing w:line="276" w:lineRule="auto"/>
        <w:jc w:val="both"/>
      </w:pPr>
      <w:r>
        <w:t>These findings are suggestive but not definitive. Sisk et al. studied judicial citations, not academic ones. The Moore-Greene comparison involves qualitative judgment about which citations are “venue-specific” rather than algorithmic classification. Shapiro’s study predates the neuroscience revolution’s peak impact. A comprehensive citation gradient study (proposed methodology in Appendix B) would provide rigorous quantitative test of the clergy hypothesis for retributivism specifically.</w:t>
      </w:r>
    </w:p>
    <w:p w14:paraId="695A4158" w14:textId="77777777" w:rsidR="00C924A3" w:rsidRDefault="00000000" w:rsidP="00406EBF">
      <w:pPr>
        <w:pStyle w:val="Ttulo3"/>
        <w:spacing w:line="276" w:lineRule="auto"/>
        <w:jc w:val="both"/>
      </w:pPr>
      <w:bookmarkStart w:id="13" w:name="extreme-guarantism-the-second-orthodoxy"/>
      <w:bookmarkEnd w:id="8"/>
      <w:bookmarkEnd w:id="12"/>
      <w:r>
        <w:t>2.2 Extreme Guarantism: The Second Orthodoxy</w:t>
      </w:r>
    </w:p>
    <w:p w14:paraId="4689C8FA" w14:textId="77777777" w:rsidR="00C924A3" w:rsidRDefault="00000000" w:rsidP="00406EBF">
      <w:pPr>
        <w:pStyle w:val="Ttulo4"/>
        <w:spacing w:line="276" w:lineRule="auto"/>
        <w:jc w:val="both"/>
      </w:pPr>
      <w:bookmarkStart w:id="14" w:name="X0e5341facbd9a5bd21865a2d5add7b6aa60a0fd"/>
      <w:r>
        <w:t>2.2.1 The Sacralized Concept: Procedural Guarantees as Absolute</w:t>
      </w:r>
    </w:p>
    <w:p w14:paraId="2EEFE9E6" w14:textId="77777777" w:rsidR="00C924A3" w:rsidRDefault="00000000" w:rsidP="00406EBF">
      <w:pPr>
        <w:pStyle w:val="FirstParagraph"/>
        <w:spacing w:line="276" w:lineRule="auto"/>
        <w:jc w:val="both"/>
      </w:pPr>
      <w:r>
        <w:t xml:space="preserve">Argentine criminal procedure doctrine, dominated by extreme guarantism (garantismo extremo), holds that procedural protections for the accused are inalienable rights that cannot be balanced against any competing consideration. This orthodoxy emerged in response to Argentina’s dictatorial past (1976-1983), where systematic human rights </w:t>
      </w:r>
      <w:r>
        <w:lastRenderedPageBreak/>
        <w:t>violations rendered any discussion of limiting procedural guarantees morally suspect. What began as a justified reaction to state terror evolved into a doctrinal position that sacralizes procedural maximalism independent of empirical consequences.</w:t>
      </w:r>
    </w:p>
    <w:p w14:paraId="44ECF68B" w14:textId="77777777" w:rsidR="00C924A3" w:rsidRDefault="00000000" w:rsidP="00406EBF">
      <w:pPr>
        <w:pStyle w:val="Textoindependiente"/>
        <w:spacing w:line="276" w:lineRule="auto"/>
        <w:jc w:val="both"/>
      </w:pPr>
      <w:r>
        <w:t>The doctrine rests on the proposition that strong procedural guarantees necessarily reduce wrongful convictions and protect vulnerable populations. Yet Argentina exhibits a puzzling empirical pattern: despite possessing Latin America’s strongest procedural protections on paper, it maintains incarceration rates three times higher than Chile and substantially higher pretrial detention rates (over 60% of prisoners are unconvicted). Moreover, prosecutorial circumvention of procedural guarantees through informal practices (telephone hearings, virtual proceedings that violate immediacy principles) is ubiquitous, suggesting that maximalist formal protections produce not actual protection but rather implementation gaps and judicial workarounds.</w:t>
      </w:r>
    </w:p>
    <w:p w14:paraId="51BB121B" w14:textId="77777777" w:rsidR="00C924A3" w:rsidRDefault="00000000" w:rsidP="00406EBF">
      <w:pPr>
        <w:pStyle w:val="Textoindependiente"/>
        <w:spacing w:line="276" w:lineRule="auto"/>
        <w:jc w:val="both"/>
      </w:pPr>
      <w:r>
        <w:t>The sacralization operates through categorical assertions: “Procedural guarantees are human rights that cannot be balanced.” “Any limitation, however minor, opens the door to authoritarianism.” “Questions about effectiveness are irrelevant; guarantees are intrinsically valuable.” These moves transform an empirical proposition (“strong procedures protect the accused”) into a transcendental commitment (“procedures are valuable independent of consequences”). The question is no longer “Do these procedures achieve their stated goals?” but rather “Would questioning procedures constitute betrayal of human rights?”</w:t>
      </w:r>
    </w:p>
    <w:p w14:paraId="10B266F6" w14:textId="77777777" w:rsidR="00C924A3" w:rsidRDefault="00000000" w:rsidP="00406EBF">
      <w:pPr>
        <w:pStyle w:val="Ttulo4"/>
        <w:spacing w:line="276" w:lineRule="auto"/>
        <w:jc w:val="both"/>
      </w:pPr>
      <w:bookmarkStart w:id="15" w:name="X8fa12d823cedbb9c990a38ba84fb68a9242b74a"/>
      <w:bookmarkEnd w:id="14"/>
      <w:r>
        <w:t>2.2.2 Costly Signaling: Defending the Implementation Gap</w:t>
      </w:r>
    </w:p>
    <w:p w14:paraId="272493FB" w14:textId="77777777" w:rsidR="00C924A3" w:rsidRDefault="00000000" w:rsidP="00406EBF">
      <w:pPr>
        <w:pStyle w:val="FirstParagraph"/>
        <w:spacing w:line="276" w:lineRule="auto"/>
        <w:jc w:val="both"/>
      </w:pPr>
      <w:r>
        <w:t>Defending guarantism despite implementation failures functions as costly signaling within Argentine legal academia. Scholars who acknowledge that formal guarantees are systematically circumvented yet insist that the solution is “more guarantees, never fewer” demonstrate commitment to the paradigm. This position is costly because it requires defending doctrine despite visible dysfunction. The very difficulty of the defense makes it valuable as a filter: only deeply socialized members persist.</w:t>
      </w:r>
    </w:p>
    <w:p w14:paraId="414DC8E5" w14:textId="77777777" w:rsidR="00C924A3" w:rsidRDefault="00000000" w:rsidP="00406EBF">
      <w:pPr>
        <w:pStyle w:val="Textoindependiente"/>
        <w:spacing w:line="276" w:lineRule="auto"/>
        <w:jc w:val="both"/>
      </w:pPr>
      <w:r>
        <w:t>The costly signal is reinforced by generational transmission. Senior figures in criminal procedure (Maier, Cafferata Nores, Pastor) built their reputations defending guarantism against dictatorship-era repression. Younger scholars inherit this framework and face strong incentives to maintain orthodoxy. Questioning guarantism risks being perceived as aligned with authoritarian forces, carrying severe reputational costs in Argentine legal academia. The result is generational lock-in: each successive cohort is socialized into a paradigm they dare not challenge.</w:t>
      </w:r>
    </w:p>
    <w:p w14:paraId="6020C252" w14:textId="77777777" w:rsidR="00C924A3" w:rsidRDefault="00000000" w:rsidP="00406EBF">
      <w:pPr>
        <w:pStyle w:val="Ttulo4"/>
        <w:spacing w:line="276" w:lineRule="auto"/>
        <w:jc w:val="both"/>
      </w:pPr>
      <w:bookmarkStart w:id="16" w:name="X2df0b7579cc5b2e84b7af1494d0730750477f65"/>
      <w:bookmarkEnd w:id="15"/>
      <w:r>
        <w:lastRenderedPageBreak/>
        <w:t>2.2.3 Clergy Institutions: The Guarantist Network</w:t>
      </w:r>
    </w:p>
    <w:p w14:paraId="63CBA86A" w14:textId="77777777" w:rsidR="00C924A3" w:rsidRDefault="00000000" w:rsidP="00406EBF">
      <w:pPr>
        <w:pStyle w:val="FirstParagraph"/>
        <w:spacing w:line="276" w:lineRule="auto"/>
        <w:jc w:val="both"/>
      </w:pPr>
      <w:r>
        <w:t>Guarantist clergy operates through specialized journals (</w:t>
      </w:r>
      <w:r>
        <w:rPr>
          <w:i/>
          <w:iCs/>
        </w:rPr>
        <w:t>Nueva Doctrina Penal</w:t>
      </w:r>
      <w:r>
        <w:t xml:space="preserve">, </w:t>
      </w:r>
      <w:r>
        <w:rPr>
          <w:i/>
          <w:iCs/>
        </w:rPr>
        <w:t>Pensamiento Penal</w:t>
      </w:r>
      <w:r>
        <w:t>), academic chairs at major universities (Universidad de Buenos Aires, Universidad Nacional de La Plata), and training programs for judges and prosecutors. These institutions exhibit exceptionally high endogamic citation rates (89.3%, nearly double that of retributivism) and systematic exclusion of comparative criminology that might challenge guarantist premises.</w:t>
      </w:r>
    </w:p>
    <w:p w14:paraId="4BCDBD8A" w14:textId="7DADB08C" w:rsidR="00C924A3" w:rsidRDefault="00000000" w:rsidP="0089664B">
      <w:pPr>
        <w:pStyle w:val="Textoindependiente"/>
        <w:spacing w:line="276" w:lineRule="auto"/>
        <w:jc w:val="both"/>
      </w:pPr>
      <w:r>
        <w:t>The gatekeeping mechanism is visible in hiring patterns. Academic positions in criminal procedure at Argentine universities overwhelmingly go to scholars trained within the guarantist tradition. External candidates proposing alternative frameworks face systematic barriers to entry. Conference programs for criminal law associations consistently feature guarantist speakers, while scholars proposing pragmatic reforms are marginalized. This is not necessarily conscious discrimination; it reflects the operation of clergy mechanisms that filter for orthodox credentials.</w:t>
      </w:r>
    </w:p>
    <w:p w14:paraId="2EED34F2" w14:textId="77777777" w:rsidR="00C924A3" w:rsidRDefault="00000000" w:rsidP="00406EBF">
      <w:pPr>
        <w:pStyle w:val="Ttulo4"/>
        <w:spacing w:line="276" w:lineRule="auto"/>
        <w:jc w:val="both"/>
      </w:pPr>
      <w:bookmarkStart w:id="17" w:name="X7641b20700b15d6179544d70db644693f172497"/>
      <w:bookmarkEnd w:id="16"/>
      <w:r>
        <w:t>2.2.4 Citation Patterns: Extreme Guarantism (Evidence Assessment)</w:t>
      </w:r>
    </w:p>
    <w:p w14:paraId="5D14EB46" w14:textId="77777777" w:rsidR="00C924A3" w:rsidRDefault="00000000" w:rsidP="00406EBF">
      <w:pPr>
        <w:pStyle w:val="FirstParagraph"/>
        <w:spacing w:line="276" w:lineRule="auto"/>
        <w:jc w:val="both"/>
      </w:pPr>
      <w:r>
        <w:rPr>
          <w:b/>
          <w:bCs/>
        </w:rPr>
        <w:t>Evidence from Argentine Criminal Procedure Scholarship:</w:t>
      </w:r>
    </w:p>
    <w:p w14:paraId="0692C196" w14:textId="77777777" w:rsidR="00C924A3" w:rsidRDefault="00000000" w:rsidP="00406EBF">
      <w:pPr>
        <w:pStyle w:val="Textoindependiente"/>
        <w:spacing w:line="276" w:lineRule="auto"/>
        <w:jc w:val="both"/>
      </w:pPr>
      <w:r>
        <w:t>Argentine guarantism provides a particularly clear case for testing clergy citation patterns due to: 1. High clergy strength (τ=0.90, Section 5.1) 2. Measurable endogamic citation rate (89.3%) 3. Clear doctrine-reality gap (Argentina 3× Chile incarceration despite stronger procedural guarantees)</w:t>
      </w:r>
    </w:p>
    <w:p w14:paraId="47195336" w14:textId="77777777" w:rsidR="00C924A3" w:rsidRDefault="00000000" w:rsidP="00406EBF">
      <w:pPr>
        <w:pStyle w:val="Textoindependiente"/>
        <w:spacing w:line="276" w:lineRule="auto"/>
        <w:jc w:val="both"/>
      </w:pPr>
      <w:r>
        <w:rPr>
          <w:b/>
          <w:bCs/>
        </w:rPr>
        <w:t>Journal Analysis:</w:t>
      </w:r>
    </w:p>
    <w:p w14:paraId="319A0F8A" w14:textId="77777777" w:rsidR="00C924A3" w:rsidRDefault="00000000" w:rsidP="00406EBF">
      <w:pPr>
        <w:pStyle w:val="Textoindependiente"/>
        <w:spacing w:line="276" w:lineRule="auto"/>
        <w:jc w:val="both"/>
      </w:pPr>
      <w:r>
        <w:t xml:space="preserve">Preliminary analysis of </w:t>
      </w:r>
      <w:r>
        <w:rPr>
          <w:i/>
          <w:iCs/>
        </w:rPr>
        <w:t>Nueva Doctrina Penal</w:t>
      </w:r>
      <w:r>
        <w:t xml:space="preserve"> and </w:t>
      </w:r>
      <w:r>
        <w:rPr>
          <w:i/>
          <w:iCs/>
        </w:rPr>
        <w:t>Pensamiento Penal</w:t>
      </w:r>
      <w:r>
        <w:t xml:space="preserve"> (2010-2023) reveals approximate patterns:</w:t>
      </w:r>
    </w:p>
    <w:p w14:paraId="7E530190" w14:textId="77777777" w:rsidR="00C924A3" w:rsidRDefault="00000000" w:rsidP="00406EBF">
      <w:pPr>
        <w:pStyle w:val="Compact"/>
        <w:numPr>
          <w:ilvl w:val="0"/>
          <w:numId w:val="2"/>
        </w:numPr>
        <w:spacing w:line="276" w:lineRule="auto"/>
        <w:jc w:val="both"/>
      </w:pPr>
      <w:r>
        <w:rPr>
          <w:b/>
          <w:bCs/>
        </w:rPr>
        <w:t>Doctrinal works</w:t>
      </w:r>
      <w:r>
        <w:t xml:space="preserve"> (defending maximalist procedural guarantees, citing Maier, Cafferata Nores, Pastor): Mean ≈45 citations/work in subsequent Argentine scholarship</w:t>
      </w:r>
    </w:p>
    <w:p w14:paraId="516FE8BF" w14:textId="77777777" w:rsidR="00C924A3" w:rsidRDefault="00000000" w:rsidP="00406EBF">
      <w:pPr>
        <w:pStyle w:val="Compact"/>
        <w:numPr>
          <w:ilvl w:val="0"/>
          <w:numId w:val="2"/>
        </w:numPr>
        <w:spacing w:line="276" w:lineRule="auto"/>
        <w:jc w:val="both"/>
      </w:pPr>
      <w:r>
        <w:rPr>
          <w:b/>
          <w:bCs/>
        </w:rPr>
        <w:t>Empirical works</w:t>
      </w:r>
      <w:r>
        <w:t xml:space="preserve"> (presenting comparative criminology data, e.g., Chilean restorative justice outcomes): Mean ≈12 citations/work</w:t>
      </w:r>
    </w:p>
    <w:p w14:paraId="4D40D5C1" w14:textId="77777777" w:rsidR="00C924A3" w:rsidRDefault="00000000" w:rsidP="00406EBF">
      <w:pPr>
        <w:pStyle w:val="Compact"/>
        <w:numPr>
          <w:ilvl w:val="0"/>
          <w:numId w:val="2"/>
        </w:numPr>
        <w:spacing w:line="276" w:lineRule="auto"/>
        <w:jc w:val="both"/>
      </w:pPr>
      <w:r>
        <w:rPr>
          <w:b/>
          <w:bCs/>
        </w:rPr>
        <w:t>Ratio:</w:t>
      </w:r>
      <w:r>
        <w:t xml:space="preserve"> ≈3.75:1 advantage for doctrinal over empirical work</w:t>
      </w:r>
    </w:p>
    <w:p w14:paraId="4B553C4E" w14:textId="77777777" w:rsidR="00C924A3" w:rsidRDefault="00000000" w:rsidP="00406EBF">
      <w:pPr>
        <w:pStyle w:val="FirstParagraph"/>
        <w:spacing w:line="276" w:lineRule="auto"/>
        <w:jc w:val="both"/>
      </w:pPr>
      <w:r>
        <w:rPr>
          <w:b/>
          <w:bCs/>
        </w:rPr>
        <w:t>Methodological Note:</w:t>
      </w:r>
      <w:r>
        <w:t xml:space="preserve"> These are approximate figures based on author’s qualitative survey of journal contents, not systematic bibliometric analysis. Sample size insufficient for statistical testing (n≈30 doctrinal works, n≈8 empirical works identified across both journals). Full methodology requires: (1) comprehensive coding of all </w:t>
      </w:r>
      <w:r>
        <w:lastRenderedPageBreak/>
        <w:t>articles 2010-2023, (2) classification by type (doctrinal defense vs. empirical challenge) with inter-rater reliability assessment, (3) citation tracking via Google Scholar or Web of Science, (4) controls for author prominence and journal prestige. The 3.75:1 ratio should be treated as illustrative estimate, not precise measurement.</w:t>
      </w:r>
    </w:p>
    <w:p w14:paraId="1FF76B75" w14:textId="77777777" w:rsidR="00C924A3" w:rsidRDefault="00000000" w:rsidP="00406EBF">
      <w:pPr>
        <w:pStyle w:val="Textoindependiente"/>
        <w:spacing w:line="276" w:lineRule="auto"/>
        <w:jc w:val="both"/>
      </w:pPr>
      <w:r>
        <w:rPr>
          <w:b/>
          <w:bCs/>
        </w:rPr>
        <w:t>Comparative Criminology Exclusion:</w:t>
      </w:r>
    </w:p>
    <w:p w14:paraId="71E2294A" w14:textId="77777777" w:rsidR="00C924A3" w:rsidRDefault="00000000" w:rsidP="00406EBF">
      <w:pPr>
        <w:pStyle w:val="Textoindependiente"/>
        <w:spacing w:line="276" w:lineRule="auto"/>
        <w:jc w:val="both"/>
      </w:pPr>
      <w:r>
        <w:t>More telling than citation rates is outright exclusion. The Universidad Católica de Chile study (Horvitz &amp; López 2012) documenting 23% juvenile recidivism reduction via restorative justice programs received zero citations in major Argentine criminal procedure journals during 2012-2020 period, despite direct relevance to debates about procedural alternatives.</w:t>
      </w:r>
      <w:r>
        <w:rPr>
          <w:rStyle w:val="Refdenotaalpie"/>
        </w:rPr>
        <w:footnoteReference w:id="13"/>
      </w:r>
      <w:r>
        <w:t xml:space="preserve"> This is not citation inversion (low citation rate) but citation absence (excluded entirely from discourse).</w:t>
      </w:r>
    </w:p>
    <w:p w14:paraId="0C56E828" w14:textId="77777777" w:rsidR="00C924A3" w:rsidRDefault="00000000" w:rsidP="00406EBF">
      <w:pPr>
        <w:pStyle w:val="Textoindependiente"/>
        <w:spacing w:line="276" w:lineRule="auto"/>
        <w:jc w:val="both"/>
      </w:pPr>
      <w:r>
        <w:rPr>
          <w:b/>
          <w:bCs/>
        </w:rPr>
        <w:t>Verification Note:</w:t>
      </w:r>
      <w:r>
        <w:t xml:space="preserve"> The “zero citations” claim is based on author’s search of </w:t>
      </w:r>
      <w:r>
        <w:rPr>
          <w:i/>
          <w:iCs/>
        </w:rPr>
        <w:t>Nueva Doctrina Penal</w:t>
      </w:r>
      <w:r>
        <w:t xml:space="preserve">, </w:t>
      </w:r>
      <w:r>
        <w:rPr>
          <w:i/>
          <w:iCs/>
        </w:rPr>
        <w:t>Pensamiento Penal</w:t>
      </w:r>
      <w:r>
        <w:t xml:space="preserve">, and </w:t>
      </w:r>
      <w:r>
        <w:rPr>
          <w:i/>
          <w:iCs/>
        </w:rPr>
        <w:t>Revista de Derecho Penal y Procesal Penal</w:t>
      </w:r>
      <w:r>
        <w:t xml:space="preserve"> archives via Google Scholar and manual journal website searches. It is possible that citations exist in venues not surveyed or that search methodology failed to capture all references. The claim should be interpreted as “no citations detected in major journals surveyed” rather than “definitively zero citations in all Argentine scholarship.”</w:t>
      </w:r>
    </w:p>
    <w:p w14:paraId="7D150C23" w14:textId="77777777" w:rsidR="00C924A3" w:rsidRDefault="00000000" w:rsidP="00406EBF">
      <w:pPr>
        <w:pStyle w:val="Textoindependiente"/>
        <w:spacing w:line="276" w:lineRule="auto"/>
        <w:jc w:val="both"/>
      </w:pPr>
      <w:r>
        <w:rPr>
          <w:b/>
          <w:bCs/>
        </w:rPr>
        <w:t>Rachlinski’s Behavioral Realism Pattern:</w:t>
      </w:r>
    </w:p>
    <w:p w14:paraId="2B7F911A" w14:textId="77777777" w:rsidR="00C924A3" w:rsidRDefault="00000000" w:rsidP="00406EBF">
      <w:pPr>
        <w:pStyle w:val="Textoindependiente"/>
        <w:spacing w:line="276" w:lineRule="auto"/>
        <w:jc w:val="both"/>
      </w:pPr>
      <w:r>
        <w:t>Rachlinski documented similar pattern in US legal scholarship: empirical findings from psychology and behavioral economics are acknowledged but framed as “interesting but not legally relevant” rather than grounds for doctrinal revision.</w:t>
      </w:r>
      <w:r>
        <w:rPr>
          <w:rStyle w:val="Refdenotaalpie"/>
        </w:rPr>
        <w:footnoteReference w:id="14"/>
      </w:r>
      <w:r>
        <w:t xml:space="preserve"> Argentine guarantism exhibits stronger version: empirical work is not merely deflected but excluded from gatekeeping venues (major journals, conferences, tenure decisions).</w:t>
      </w:r>
    </w:p>
    <w:p w14:paraId="57EE6BFC" w14:textId="77777777" w:rsidR="00C924A3" w:rsidRDefault="00000000" w:rsidP="00406EBF">
      <w:pPr>
        <w:pStyle w:val="Textoindependiente"/>
        <w:spacing w:line="276" w:lineRule="auto"/>
        <w:jc w:val="both"/>
      </w:pPr>
      <w:r>
        <w:rPr>
          <w:b/>
          <w:bCs/>
        </w:rPr>
        <w:t>Interpretation:</w:t>
      </w:r>
    </w:p>
    <w:p w14:paraId="6456CFA0" w14:textId="3BB9F517" w:rsidR="00C924A3" w:rsidRDefault="00000000" w:rsidP="0089664B">
      <w:pPr>
        <w:pStyle w:val="Textoindependiente"/>
        <w:spacing w:line="276" w:lineRule="auto"/>
        <w:jc w:val="both"/>
      </w:pPr>
      <w:r>
        <w:t>The guarantist case suggests citation inversion operates not only through preferential citation of doctrinal work but also through systematic exclusion of empirical challenges from clergy-controlled venues. This is consistent with the clergy hypothesis: when Gap exceeds Viability Window, clergy filtering becomes more aggressive, shifting from citation preference to outright gatekeeping.</w:t>
      </w:r>
    </w:p>
    <w:p w14:paraId="71682049" w14:textId="77777777" w:rsidR="00C924A3" w:rsidRDefault="00000000" w:rsidP="00406EBF">
      <w:pPr>
        <w:pStyle w:val="Ttulo3"/>
        <w:spacing w:line="276" w:lineRule="auto"/>
        <w:jc w:val="both"/>
      </w:pPr>
      <w:bookmarkStart w:id="18" w:name="X0354b7af7f18f59a7c2d768b477c834b2008cff"/>
      <w:bookmarkEnd w:id="13"/>
      <w:bookmarkEnd w:id="17"/>
      <w:r>
        <w:lastRenderedPageBreak/>
        <w:t>2.3 Orthodox Abolitionism: The Third Orthodoxy</w:t>
      </w:r>
    </w:p>
    <w:p w14:paraId="42AB97B1" w14:textId="77777777" w:rsidR="00C924A3" w:rsidRDefault="00000000" w:rsidP="00406EBF">
      <w:pPr>
        <w:pStyle w:val="Ttulo4"/>
        <w:spacing w:line="276" w:lineRule="auto"/>
        <w:jc w:val="both"/>
      </w:pPr>
      <w:bookmarkStart w:id="19" w:name="X8ca78bd435c7de725639da24f005c2bb5dc79c0"/>
      <w:r>
        <w:t>2.3.1 The Sacralized Concept: The Carceral System as Intrinsically Evil</w:t>
      </w:r>
    </w:p>
    <w:p w14:paraId="4BE72EDA" w14:textId="77777777" w:rsidR="00C924A3" w:rsidRDefault="00000000" w:rsidP="00406EBF">
      <w:pPr>
        <w:pStyle w:val="FirstParagraph"/>
        <w:spacing w:line="276" w:lineRule="auto"/>
        <w:jc w:val="both"/>
      </w:pPr>
      <w:r>
        <w:t>Orthodox abolitionism holds that the entire carceral system (prisons, police, courts, probation) is irredeemably oppressive and must be entirely dismantled rather than reformed. This position sacralizes the concept of abolition, rendering any discussion of gradual reform morally impermissible. The doctrine draws on a radical critique of carceral institutions as tools of racial capitalism and state violence, arguing that the system cannot be made “less oppressive” because oppression is its essential function.</w:t>
      </w:r>
    </w:p>
    <w:p w14:paraId="7EFD3AF5" w14:textId="77777777" w:rsidR="00C924A3" w:rsidRDefault="00000000" w:rsidP="00406EBF">
      <w:pPr>
        <w:pStyle w:val="Textoindependiente"/>
        <w:spacing w:line="276" w:lineRule="auto"/>
        <w:jc w:val="both"/>
      </w:pPr>
      <w:r>
        <w:t>The sacralization mechanism transforms an empirical claim (“prisons fail to reduce crime and disproportionately harm marginalized communities”) into a transcendental commitment (“any engagement with carceral institutions constitutes complicity in genocide”). Consider the proposition “Community-based alternatives with robust accountability mechanisms could reduce incarceration while improving public safety.” In orthodox abolitionist discourse, this is not evaluated empirically but is immediately reframed: “Your proposal legitimizes the carceral system. True liberation requires total abolition, not reform.”</w:t>
      </w:r>
    </w:p>
    <w:p w14:paraId="53CBBA12" w14:textId="77777777" w:rsidR="00C924A3" w:rsidRDefault="00000000" w:rsidP="00406EBF">
      <w:pPr>
        <w:pStyle w:val="Textoindependiente"/>
        <w:spacing w:line="276" w:lineRule="auto"/>
        <w:jc w:val="both"/>
      </w:pPr>
      <w:r>
        <w:t>The empirical premise—that all carceral institutions are equivalently oppressive—faces substantial challenges. Comparative studies show enormous variation in incarceration rates, conditions, and outcomes across jurisdictions. Norway’s rehabilitative model achieves 20% recidivism with humane conditions; US supermax prisons achieve 44% recidivism with brutal conditions. Yet orthodox abolitionism treats these as equivalently problematic because both involve state custody. The doctrine thus sacralizes a categorical rejection of all carceral forms, blocking any empirical investigation of which forms cause more or less harm.</w:t>
      </w:r>
    </w:p>
    <w:p w14:paraId="49AE2220" w14:textId="77777777" w:rsidR="00C924A3" w:rsidRDefault="00000000" w:rsidP="00406EBF">
      <w:pPr>
        <w:pStyle w:val="Ttulo4"/>
        <w:spacing w:line="276" w:lineRule="auto"/>
        <w:jc w:val="both"/>
      </w:pPr>
      <w:bookmarkStart w:id="20" w:name="costly-signaling-the-purity-test"/>
      <w:bookmarkEnd w:id="19"/>
      <w:r>
        <w:t>2.3.2 Costly Signaling: The Purity Test</w:t>
      </w:r>
    </w:p>
    <w:p w14:paraId="385FFA72" w14:textId="77777777" w:rsidR="00C924A3" w:rsidRDefault="00000000" w:rsidP="00406EBF">
      <w:pPr>
        <w:pStyle w:val="FirstParagraph"/>
        <w:spacing w:line="276" w:lineRule="auto"/>
        <w:jc w:val="both"/>
      </w:pPr>
      <w:r>
        <w:t>Defending total abolition despite its political impossibility functions as costly signaling within progressive activist networks. The very radicalism of the position—demanding complete dismantling of institutions with centuries of path dependence and deep public support—makes it valuable as a membership filter. Scholars or activists who propose pragmatic incremental reforms (reducing sentence lengths, expanding diversion programs, improving conditions) are identified as insufficiently committed to justice, marking them for potential exclusion.</w:t>
      </w:r>
    </w:p>
    <w:p w14:paraId="5517B291" w14:textId="77777777" w:rsidR="00C924A3" w:rsidRDefault="00000000" w:rsidP="00406EBF">
      <w:pPr>
        <w:pStyle w:val="Textoindependiente"/>
        <w:spacing w:line="276" w:lineRule="auto"/>
        <w:jc w:val="both"/>
      </w:pPr>
      <w:r>
        <w:t xml:space="preserve">The costly signal operates through rhetorical escalation. Orthodox abolitionist discourse demands not merely reform but “refusal to collaborate with oppression.” </w:t>
      </w:r>
      <w:r>
        <w:lastRenderedPageBreak/>
        <w:t>This creates a ratchet effect: any position short of total abolition can be characterized as “reformist” and therefore as complicity. Activists who work within existing institutions to reduce harm (defense attorneys securing better outcomes for clients, prosecutors implementing diversion programs, corrections officials improving mental health services) are accused of “legitimizing” the system. The costliness lies in forgoing all pragmatic pathways: true commitment is demonstrated by refusing to improve the system even incrementally.</w:t>
      </w:r>
    </w:p>
    <w:p w14:paraId="092A45A3" w14:textId="77777777" w:rsidR="00C924A3" w:rsidRDefault="00000000" w:rsidP="00406EBF">
      <w:pPr>
        <w:pStyle w:val="Ttulo4"/>
        <w:spacing w:line="276" w:lineRule="auto"/>
        <w:jc w:val="both"/>
      </w:pPr>
      <w:bookmarkStart w:id="21" w:name="Xfa010a767fab7e32d4970b690b5645369104d61"/>
      <w:bookmarkEnd w:id="20"/>
      <w:r>
        <w:t>2.3.3 Clergy Institutions: The Abolitionist Network</w:t>
      </w:r>
    </w:p>
    <w:p w14:paraId="35BE3357" w14:textId="77777777" w:rsidR="00C924A3" w:rsidRDefault="00000000" w:rsidP="00406EBF">
      <w:pPr>
        <w:pStyle w:val="FirstParagraph"/>
        <w:spacing w:line="276" w:lineRule="auto"/>
        <w:jc w:val="both"/>
      </w:pPr>
      <w:r>
        <w:t xml:space="preserve">Orthodox abolitionism is sustained by a distinct set of protective institutions. Abolitionist conferences such as Critical Resistance and Incite! function as spaces where orthodox positions are reinforced and heterodox views are marginalized; reformists who propose incremental measures face exclusion from panels or disinvitation from speaking. Academic journals like </w:t>
      </w:r>
      <w:r>
        <w:rPr>
          <w:i/>
          <w:iCs/>
        </w:rPr>
        <w:t>Abolition Journal</w:t>
      </w:r>
      <w:r>
        <w:t xml:space="preserve"> and </w:t>
      </w:r>
      <w:r>
        <w:rPr>
          <w:i/>
          <w:iCs/>
        </w:rPr>
        <w:t>Social Justice</w:t>
      </w:r>
      <w:r>
        <w:t xml:space="preserve"> conduct peer review through activist-scholars deeply embedded in the abolitionist paradigm, creating an epistemic filter that systematically excludes work questioning the feasibility or desirability of immediate total abolition. Training programs and workshops use “abolition” as a litmus test: participation requires affirming commitment to total system dismantling, and questioning this commitment marks one as ideologically suspect.</w:t>
      </w:r>
    </w:p>
    <w:p w14:paraId="74F55770" w14:textId="14755146" w:rsidR="00C924A3" w:rsidRDefault="00000000" w:rsidP="00B00FCA">
      <w:pPr>
        <w:pStyle w:val="Textoindependiente"/>
        <w:spacing w:line="276" w:lineRule="auto"/>
        <w:jc w:val="both"/>
      </w:pPr>
      <w:r>
        <w:t>The clergy mechanism extends beyond traditional academic venues into activist networks and social media, where orthodoxy is enforced through public shaming and network exclusion. Scholars who publish work critical of abolitionist purity report experiencing Twitter pile-ons, accusations of “carceral feminism” or “reformist sellout,” and exclusion from activist coalitions. This distributed enforcement mechanism is perhaps more effective than traditional academic gatekeeping precisely because it operates through informal networks resistant to institutional oversight or accountability.</w:t>
      </w:r>
    </w:p>
    <w:p w14:paraId="03286086" w14:textId="77777777" w:rsidR="00C924A3" w:rsidRDefault="00000000" w:rsidP="00406EBF">
      <w:pPr>
        <w:pStyle w:val="Ttulo4"/>
        <w:spacing w:line="276" w:lineRule="auto"/>
        <w:jc w:val="both"/>
      </w:pPr>
      <w:bookmarkStart w:id="22" w:name="Xde7477639c605234e4641465a6e159f9326200e"/>
      <w:bookmarkEnd w:id="21"/>
      <w:r>
        <w:t>2.3.4 Citation Patterns: Orthodox Abolitionism (Evidence Assessment)</w:t>
      </w:r>
    </w:p>
    <w:p w14:paraId="3F0B9952" w14:textId="77777777" w:rsidR="00C924A3" w:rsidRDefault="00000000" w:rsidP="00406EBF">
      <w:pPr>
        <w:pStyle w:val="FirstParagraph"/>
        <w:spacing w:line="276" w:lineRule="auto"/>
        <w:jc w:val="both"/>
      </w:pPr>
      <w:r>
        <w:rPr>
          <w:b/>
          <w:bCs/>
        </w:rPr>
        <w:t>Preliminary Note on Evidence Quality:</w:t>
      </w:r>
    </w:p>
    <w:p w14:paraId="3B05B1D0" w14:textId="77777777" w:rsidR="00C924A3" w:rsidRDefault="00000000" w:rsidP="00406EBF">
      <w:pPr>
        <w:pStyle w:val="Textoindependiente"/>
        <w:spacing w:line="276" w:lineRule="auto"/>
        <w:jc w:val="both"/>
      </w:pPr>
      <w:r>
        <w:t>Orthodox abolitionism presents the weakest evidentiary case among the three orthodoxies examined. Unlike retributivism (which has established citation studies like Sisk et al.) or Argentine guarantism (where I can measure endogamic citation rates in identifiable journals), abolitionist scholarship spans multiple disciplines and lacks centralized academic venues amenable to systematic bibliometric analysis. The evidence presented below relies primarily on:</w:t>
      </w:r>
    </w:p>
    <w:p w14:paraId="64834CEE" w14:textId="77777777" w:rsidR="00C924A3" w:rsidRDefault="00000000" w:rsidP="00406EBF">
      <w:pPr>
        <w:pStyle w:val="Compact"/>
        <w:numPr>
          <w:ilvl w:val="0"/>
          <w:numId w:val="3"/>
        </w:numPr>
        <w:spacing w:line="276" w:lineRule="auto"/>
        <w:jc w:val="both"/>
      </w:pPr>
      <w:r>
        <w:lastRenderedPageBreak/>
        <w:t>Publicly available citation counts (Google Scholar, November 2024)</w:t>
      </w:r>
    </w:p>
    <w:p w14:paraId="1C2B3488" w14:textId="77777777" w:rsidR="00C924A3" w:rsidRDefault="00000000" w:rsidP="00406EBF">
      <w:pPr>
        <w:pStyle w:val="Compact"/>
        <w:numPr>
          <w:ilvl w:val="0"/>
          <w:numId w:val="3"/>
        </w:numPr>
        <w:spacing w:line="276" w:lineRule="auto"/>
        <w:jc w:val="both"/>
      </w:pPr>
      <w:r>
        <w:t>Observable social media engagement patterns (approximate, not measured systematically)</w:t>
      </w:r>
    </w:p>
    <w:p w14:paraId="408B18BA" w14:textId="77777777" w:rsidR="00C924A3" w:rsidRDefault="00000000" w:rsidP="00406EBF">
      <w:pPr>
        <w:pStyle w:val="Compact"/>
        <w:numPr>
          <w:ilvl w:val="0"/>
          <w:numId w:val="3"/>
        </w:numPr>
        <w:spacing w:line="276" w:lineRule="auto"/>
        <w:jc w:val="both"/>
      </w:pPr>
      <w:r>
        <w:t>Qualitative assessments of discourse dynamics</w:t>
      </w:r>
    </w:p>
    <w:p w14:paraId="334070D0" w14:textId="77777777" w:rsidR="00C924A3" w:rsidRDefault="00000000" w:rsidP="00406EBF">
      <w:pPr>
        <w:pStyle w:val="Compact"/>
        <w:numPr>
          <w:ilvl w:val="0"/>
          <w:numId w:val="3"/>
        </w:numPr>
        <w:spacing w:line="276" w:lineRule="auto"/>
        <w:jc w:val="both"/>
      </w:pPr>
      <w:r>
        <w:t>Anecdotal reports from published sources</w:t>
      </w:r>
    </w:p>
    <w:p w14:paraId="4A349BDA" w14:textId="77777777" w:rsidR="00C924A3" w:rsidRDefault="00000000" w:rsidP="00406EBF">
      <w:pPr>
        <w:pStyle w:val="FirstParagraph"/>
        <w:spacing w:line="276" w:lineRule="auto"/>
        <w:jc w:val="both"/>
      </w:pPr>
      <w:r>
        <w:t>These sources provide preliminary indications consistent with the clergy hypothesis but fall well short of the systematic citation gradient analysis proposed in Appendix B. I present this evidence transparently while acknowledging its substantial limitations.</w:t>
      </w:r>
    </w:p>
    <w:p w14:paraId="5F4BCE30" w14:textId="77777777" w:rsidR="00C924A3" w:rsidRDefault="00000000" w:rsidP="00406EBF">
      <w:pPr>
        <w:pStyle w:val="Textoindependiente"/>
        <w:spacing w:line="276" w:lineRule="auto"/>
        <w:jc w:val="both"/>
      </w:pPr>
      <w:r>
        <w:rPr>
          <w:b/>
          <w:bCs/>
        </w:rPr>
        <w:t>Social Media Amplification as Citation Proxy:</w:t>
      </w:r>
    </w:p>
    <w:p w14:paraId="7A31F907" w14:textId="77777777" w:rsidR="00C924A3" w:rsidRDefault="00000000" w:rsidP="00406EBF">
      <w:pPr>
        <w:pStyle w:val="Textoindependiente"/>
        <w:spacing w:line="276" w:lineRule="auto"/>
        <w:jc w:val="both"/>
      </w:pPr>
      <w:r>
        <w:t>Orthodox abolitionism differs from the other cases because it operates at the intersection of academic scholarship and activist networks. This creates citation dynamics visible not only in traditional academic metrics but also in social media engagement, which functions as a form of informal citation within activist-academic communities.</w:t>
      </w:r>
    </w:p>
    <w:p w14:paraId="6A2B6977" w14:textId="77777777" w:rsidR="00C924A3" w:rsidRDefault="00000000" w:rsidP="00406EBF">
      <w:pPr>
        <w:pStyle w:val="Textoindependiente"/>
        <w:spacing w:line="276" w:lineRule="auto"/>
        <w:jc w:val="both"/>
      </w:pPr>
      <w:r>
        <w:rPr>
          <w:b/>
          <w:bCs/>
        </w:rPr>
        <w:t>Comparative Metrics (November 2024):</w:t>
      </w:r>
    </w:p>
    <w:p w14:paraId="1E79F80A" w14:textId="77777777" w:rsidR="00C924A3" w:rsidRDefault="00000000" w:rsidP="00406EBF">
      <w:pPr>
        <w:pStyle w:val="Textoindependiente"/>
        <w:spacing w:line="276" w:lineRule="auto"/>
        <w:jc w:val="both"/>
      </w:pPr>
      <w:r>
        <w:t>To illustrate the pattern, consider two scholars addressing carceral systems:</w:t>
      </w:r>
    </w:p>
    <w:p w14:paraId="482D4A22" w14:textId="77777777" w:rsidR="00C924A3" w:rsidRDefault="00000000" w:rsidP="00406EBF">
      <w:pPr>
        <w:pStyle w:val="Textoindependiente"/>
        <w:spacing w:line="276" w:lineRule="auto"/>
        <w:jc w:val="both"/>
      </w:pPr>
      <w:r>
        <w:rPr>
          <w:b/>
          <w:bCs/>
        </w:rPr>
        <w:t>Mariame Kaba:</w:t>
      </w:r>
      <w:r>
        <w:t xml:space="preserve"> - </w:t>
      </w:r>
      <w:r>
        <w:rPr>
          <w:i/>
          <w:iCs/>
        </w:rPr>
        <w:t>We Do This ’Til We Free Us</w:t>
      </w:r>
      <w:r>
        <w:t xml:space="preserve"> (2021), activist manifesto advocating total prison abolition - Google Scholar citations: ~421 (as of Nov 17, 2024) - Empirical content: Primarily normative argumentation; minimal quantitative evidence on abolition outcomes - Social media presence: ~270K Twitter/X followers with high engagement rates on abolition content (precise engagement metrics unavailable without platform API access)</w:t>
      </w:r>
    </w:p>
    <w:p w14:paraId="0C81E487" w14:textId="77777777" w:rsidR="00C924A3" w:rsidRDefault="00000000" w:rsidP="00406EBF">
      <w:pPr>
        <w:pStyle w:val="Textoindependiente"/>
        <w:spacing w:line="276" w:lineRule="auto"/>
        <w:jc w:val="both"/>
      </w:pPr>
      <w:r>
        <w:rPr>
          <w:b/>
          <w:bCs/>
        </w:rPr>
        <w:t>Sandra Mayson:</w:t>
      </w:r>
      <w:r>
        <w:t xml:space="preserve"> - “Incarceration’s Racial Disparities” (2021, </w:t>
      </w:r>
      <w:r>
        <w:rPr>
          <w:i/>
          <w:iCs/>
        </w:rPr>
        <w:t>California Law Review</w:t>
      </w:r>
      <w:r>
        <w:t xml:space="preserve"> 109:1421) - Google Scholar citations: ~287 (as of Nov 17, 2024) - Empirical content: Quantitative analysis of incarceration patterns across US cities, testing whether jurisdictions with stronger abolitionist movements show reduced incarceration - Social media presence: Academic Twitter account with moderate engagement (follower count not publicly visible; engagement estimated at substantially lower than Kaba based on observable retweet/share patterns)</w:t>
      </w:r>
    </w:p>
    <w:p w14:paraId="6E28D147" w14:textId="77777777" w:rsidR="00C924A3" w:rsidRDefault="00000000" w:rsidP="00406EBF">
      <w:pPr>
        <w:pStyle w:val="Textoindependiente"/>
        <w:spacing w:line="276" w:lineRule="auto"/>
        <w:jc w:val="both"/>
      </w:pPr>
      <w:r>
        <w:rPr>
          <w:b/>
          <w:bCs/>
        </w:rPr>
        <w:t>Pattern:</w:t>
      </w:r>
    </w:p>
    <w:p w14:paraId="2EF18083" w14:textId="77777777" w:rsidR="00C924A3" w:rsidRDefault="00000000" w:rsidP="00406EBF">
      <w:pPr>
        <w:pStyle w:val="Textoindependiente"/>
        <w:spacing w:line="276" w:lineRule="auto"/>
        <w:jc w:val="both"/>
      </w:pPr>
      <w:r>
        <w:t xml:space="preserve">Kaba’s work receives 1.5× more academic citations than Mayson despite presenting substantially less empirical evidence. Social media engagement differential is larger </w:t>
      </w:r>
      <w:r>
        <w:lastRenderedPageBreak/>
        <w:t>(estimated 3-5×), though precise measurement is unavailable without API access to engagement metrics (likes, shares, quote-tweets).</w:t>
      </w:r>
    </w:p>
    <w:p w14:paraId="01DBF4D7" w14:textId="77777777" w:rsidR="00C924A3" w:rsidRDefault="00000000" w:rsidP="00406EBF">
      <w:pPr>
        <w:pStyle w:val="Textoindependiente"/>
        <w:spacing w:line="276" w:lineRule="auto"/>
        <w:jc w:val="both"/>
      </w:pPr>
      <w:r>
        <w:rPr>
          <w:b/>
          <w:bCs/>
        </w:rPr>
        <w:t>Interpretation:</w:t>
      </w:r>
    </w:p>
    <w:p w14:paraId="6E4C8803" w14:textId="77777777" w:rsidR="00C924A3" w:rsidRDefault="00000000" w:rsidP="00406EBF">
      <w:pPr>
        <w:pStyle w:val="Textoindependiente"/>
        <w:spacing w:line="276" w:lineRule="auto"/>
        <w:jc w:val="both"/>
      </w:pPr>
      <w:r>
        <w:t>The Kaba-Mayson comparison is consistent with clergy hypothesis predictions: orthodoxy-affirming work (Kaba) receives citation/attention advantage over empirical critique (Mayson) within venues controlled by abolitionist networks. However, multiple confounding factors complicate interpretation:</w:t>
      </w:r>
    </w:p>
    <w:p w14:paraId="090AC5DE" w14:textId="77777777" w:rsidR="00C924A3" w:rsidRDefault="00000000" w:rsidP="00406EBF">
      <w:pPr>
        <w:pStyle w:val="Compact"/>
        <w:numPr>
          <w:ilvl w:val="0"/>
          <w:numId w:val="4"/>
        </w:numPr>
        <w:spacing w:line="276" w:lineRule="auto"/>
        <w:jc w:val="both"/>
      </w:pPr>
      <w:r>
        <w:rPr>
          <w:b/>
          <w:bCs/>
        </w:rPr>
        <w:t>Genre effects:</w:t>
      </w:r>
      <w:r>
        <w:t xml:space="preserve"> Kaba writes for activist audiences; Mayson for legal scholars. Citation differences may reflect audience size rather than clergy gatekeeping.</w:t>
      </w:r>
    </w:p>
    <w:p w14:paraId="7D5599E8" w14:textId="77777777" w:rsidR="00C924A3" w:rsidRDefault="00000000" w:rsidP="00406EBF">
      <w:pPr>
        <w:pStyle w:val="Compact"/>
        <w:numPr>
          <w:ilvl w:val="0"/>
          <w:numId w:val="4"/>
        </w:numPr>
        <w:spacing w:line="276" w:lineRule="auto"/>
        <w:jc w:val="both"/>
      </w:pPr>
      <w:r>
        <w:rPr>
          <w:b/>
          <w:bCs/>
        </w:rPr>
        <w:t>Author prominence:</w:t>
      </w:r>
      <w:r>
        <w:t xml:space="preserve"> Kaba is public intellectual with decades of organizing experience; Mayson is academic. Fame differential could explain engagement gap independent of content quality.</w:t>
      </w:r>
    </w:p>
    <w:p w14:paraId="57FE4554" w14:textId="77777777" w:rsidR="00C924A3" w:rsidRDefault="00000000" w:rsidP="00406EBF">
      <w:pPr>
        <w:pStyle w:val="Compact"/>
        <w:numPr>
          <w:ilvl w:val="0"/>
          <w:numId w:val="4"/>
        </w:numPr>
        <w:spacing w:line="276" w:lineRule="auto"/>
        <w:jc w:val="both"/>
      </w:pPr>
      <w:r>
        <w:rPr>
          <w:b/>
          <w:bCs/>
        </w:rPr>
        <w:t>Content accessibility:</w:t>
      </w:r>
      <w:r>
        <w:t xml:space="preserve"> Kaba’s manifesto is more readable than Mayson’s quantitative analysis, potentially explaining broader uptake.</w:t>
      </w:r>
    </w:p>
    <w:p w14:paraId="50B67E82" w14:textId="77777777" w:rsidR="00C924A3" w:rsidRDefault="00000000" w:rsidP="00406EBF">
      <w:pPr>
        <w:pStyle w:val="Compact"/>
        <w:numPr>
          <w:ilvl w:val="0"/>
          <w:numId w:val="4"/>
        </w:numPr>
        <w:spacing w:line="276" w:lineRule="auto"/>
        <w:jc w:val="both"/>
      </w:pPr>
      <w:r>
        <w:rPr>
          <w:b/>
          <w:bCs/>
        </w:rPr>
        <w:t>Publication timing:</w:t>
      </w:r>
      <w:r>
        <w:t xml:space="preserve"> Both published 2021, but Kaba’s book may have earlier pre-publication circulation.</w:t>
      </w:r>
    </w:p>
    <w:p w14:paraId="042016A6" w14:textId="77777777" w:rsidR="00C924A3" w:rsidRDefault="00000000" w:rsidP="00406EBF">
      <w:pPr>
        <w:pStyle w:val="FirstParagraph"/>
        <w:spacing w:line="276" w:lineRule="auto"/>
        <w:jc w:val="both"/>
      </w:pPr>
      <w:r>
        <w:t>These alternative explanations mean the citation pattern alone does not demonstrate clergy operation. Stronger evidence would require controlled comparison of similarly prominent scholars, similar writing styles, addressing the same questions, where only empirical rigor varies. No such controlled comparison exists in the abolitionist literature.</w:t>
      </w:r>
    </w:p>
    <w:p w14:paraId="5E11947A" w14:textId="77777777" w:rsidR="00C924A3" w:rsidRDefault="00000000" w:rsidP="00406EBF">
      <w:pPr>
        <w:pStyle w:val="Textoindependiente"/>
        <w:spacing w:line="276" w:lineRule="auto"/>
        <w:jc w:val="both"/>
      </w:pPr>
      <w:r>
        <w:rPr>
          <w:b/>
          <w:bCs/>
        </w:rPr>
        <w:t>Professional Tensions: Anecdotal Evidence:</w:t>
      </w:r>
    </w:p>
    <w:p w14:paraId="6379F2AC" w14:textId="77777777" w:rsidR="00C924A3" w:rsidRDefault="00000000" w:rsidP="00406EBF">
      <w:pPr>
        <w:pStyle w:val="Textoindependiente"/>
        <w:spacing w:line="276" w:lineRule="auto"/>
        <w:jc w:val="both"/>
      </w:pPr>
      <w:r>
        <w:t>The clergy hypothesis predicts that scholars proposing pragmatic reforms rather than total abolition should face professional costs (reduced conference invitations, journal acceptance difficulties, reputational criticism). Direct evidence of such gatekeeping is sparse, but one documented case exists:</w:t>
      </w:r>
    </w:p>
    <w:p w14:paraId="585F8EF8" w14:textId="77777777" w:rsidR="00C924A3" w:rsidRDefault="00000000" w:rsidP="00406EBF">
      <w:pPr>
        <w:pStyle w:val="Textoindependiente"/>
        <w:spacing w:line="276" w:lineRule="auto"/>
        <w:jc w:val="both"/>
      </w:pPr>
      <w:r>
        <w:rPr>
          <w:b/>
          <w:bCs/>
        </w:rPr>
        <w:t xml:space="preserve">James Forman Jr.’s </w:t>
      </w:r>
      <w:r>
        <w:rPr>
          <w:b/>
          <w:bCs/>
          <w:i/>
          <w:iCs/>
        </w:rPr>
        <w:t>Locking Up My Own</w:t>
      </w:r>
      <w:r>
        <w:rPr>
          <w:b/>
          <w:bCs/>
        </w:rPr>
        <w:t xml:space="preserve"> (2017):</w:t>
      </w:r>
    </w:p>
    <w:p w14:paraId="64FC9BCE" w14:textId="77777777" w:rsidR="00C924A3" w:rsidRDefault="00000000" w:rsidP="00406EBF">
      <w:pPr>
        <w:pStyle w:val="Textoindependiente"/>
        <w:spacing w:line="276" w:lineRule="auto"/>
        <w:jc w:val="both"/>
      </w:pPr>
      <w:r>
        <w:t>Forman’s historical analysis documented Black community support for tough-on-crime policies in the 1970s-1990s, complicating abolitionist narratives attributing mass incarceration solely to white racism.</w:t>
      </w:r>
      <w:r>
        <w:rPr>
          <w:rStyle w:val="Refdenotaalpie"/>
        </w:rPr>
        <w:footnoteReference w:id="15"/>
      </w:r>
      <w:r>
        <w:t xml:space="preserve"> The work received substantial mainstream recognition (Pulitzer Prize, 2018) but also generated criticism from abolitionist </w:t>
      </w:r>
      <w:r>
        <w:lastRenderedPageBreak/>
        <w:t xml:space="preserve">networks. In a 2017 NPR </w:t>
      </w:r>
      <w:r>
        <w:rPr>
          <w:i/>
          <w:iCs/>
        </w:rPr>
        <w:t>Fresh Air</w:t>
      </w:r>
      <w:r>
        <w:t xml:space="preserve"> interview, Forman discussed this reception: “There were people who felt that this was not a story that should be told right now, that it was not the time for this story.”</w:t>
      </w:r>
      <w:r>
        <w:rPr>
          <w:rStyle w:val="Refdenotaalpie"/>
        </w:rPr>
        <w:footnoteReference w:id="16"/>
      </w:r>
    </w:p>
    <w:p w14:paraId="49F21443" w14:textId="77777777" w:rsidR="00C924A3" w:rsidRDefault="00000000" w:rsidP="00406EBF">
      <w:pPr>
        <w:pStyle w:val="Textoindependiente"/>
        <w:spacing w:line="276" w:lineRule="auto"/>
        <w:jc w:val="both"/>
      </w:pPr>
      <w:r>
        <w:t>While Forman’s experience is consistent with clergy excommunication mechanisms, it represents a single anecdotal case documented through interview rather than systematic study. The evidence lacks:</w:t>
      </w:r>
    </w:p>
    <w:p w14:paraId="670033CA" w14:textId="77777777" w:rsidR="00C924A3" w:rsidRDefault="00000000" w:rsidP="00406EBF">
      <w:pPr>
        <w:pStyle w:val="Compact"/>
        <w:numPr>
          <w:ilvl w:val="0"/>
          <w:numId w:val="5"/>
        </w:numPr>
        <w:spacing w:line="276" w:lineRule="auto"/>
        <w:jc w:val="both"/>
      </w:pPr>
      <w:r>
        <w:t>Systematic data on conference invitation patterns for pragmatic vs. orthodox abolitionist scholars</w:t>
      </w:r>
    </w:p>
    <w:p w14:paraId="0DCFCA57" w14:textId="77777777" w:rsidR="00C924A3" w:rsidRDefault="00000000" w:rsidP="00406EBF">
      <w:pPr>
        <w:pStyle w:val="Compact"/>
        <w:numPr>
          <w:ilvl w:val="0"/>
          <w:numId w:val="5"/>
        </w:numPr>
        <w:spacing w:line="276" w:lineRule="auto"/>
        <w:jc w:val="both"/>
      </w:pPr>
      <w:r>
        <w:t>Citation studies controlling for scholar prominence and institutional affiliation</w:t>
      </w:r>
    </w:p>
    <w:p w14:paraId="77922C0A" w14:textId="77777777" w:rsidR="00C924A3" w:rsidRDefault="00000000" w:rsidP="00406EBF">
      <w:pPr>
        <w:pStyle w:val="Compact"/>
        <w:numPr>
          <w:ilvl w:val="0"/>
          <w:numId w:val="5"/>
        </w:numPr>
        <w:spacing w:line="276" w:lineRule="auto"/>
        <w:jc w:val="both"/>
      </w:pPr>
      <w:r>
        <w:t>Survey evidence of perceived professional costs for departing from abolitionist orthodoxy</w:t>
      </w:r>
    </w:p>
    <w:p w14:paraId="3DB083EE" w14:textId="77777777" w:rsidR="00C924A3" w:rsidRDefault="00000000" w:rsidP="00406EBF">
      <w:pPr>
        <w:pStyle w:val="Compact"/>
        <w:numPr>
          <w:ilvl w:val="0"/>
          <w:numId w:val="5"/>
        </w:numPr>
        <w:spacing w:line="276" w:lineRule="auto"/>
        <w:jc w:val="both"/>
      </w:pPr>
      <w:r>
        <w:t>Documentation of publication rejections or tenure decisions influenced by ideological gatekeeping</w:t>
      </w:r>
    </w:p>
    <w:p w14:paraId="37C20486" w14:textId="77777777" w:rsidR="00C924A3" w:rsidRDefault="00000000" w:rsidP="00406EBF">
      <w:pPr>
        <w:pStyle w:val="FirstParagraph"/>
        <w:spacing w:line="276" w:lineRule="auto"/>
        <w:jc w:val="both"/>
      </w:pPr>
      <w:r>
        <w:rPr>
          <w:b/>
          <w:bCs/>
        </w:rPr>
        <w:t>What We Can Say:</w:t>
      </w:r>
      <w:r>
        <w:t xml:space="preserve"> - One prominent scholar (Forman) reports experiencing criticism for work challenging abolitionist premises - This criticism was public enough to be discussed in mainstream media interview - Pattern is consistent with clergy hypothesis but also consistent with normal academic disagreement</w:t>
      </w:r>
    </w:p>
    <w:p w14:paraId="293451F6" w14:textId="77777777" w:rsidR="00C924A3" w:rsidRDefault="00000000" w:rsidP="00406EBF">
      <w:pPr>
        <w:pStyle w:val="Textoindependiente"/>
        <w:spacing w:line="276" w:lineRule="auto"/>
        <w:jc w:val="both"/>
      </w:pPr>
      <w:r>
        <w:rPr>
          <w:b/>
          <w:bCs/>
        </w:rPr>
        <w:t>What We Cannot Say:</w:t>
      </w:r>
      <w:r>
        <w:t xml:space="preserve"> - Whether gatekeeping is systematic or anecdotal - Whether professional costs exceeded those in other ideological academic communities - Whether citation patterns reflect illegitimate clergy immunity or legitimate quality differences - Whether conference invitations or journal acceptances were actually affected</w:t>
      </w:r>
    </w:p>
    <w:p w14:paraId="57391691" w14:textId="77777777" w:rsidR="00C924A3" w:rsidRDefault="00000000" w:rsidP="00406EBF">
      <w:pPr>
        <w:pStyle w:val="Textoindependiente"/>
        <w:spacing w:line="276" w:lineRule="auto"/>
        <w:jc w:val="both"/>
      </w:pPr>
      <w:r>
        <w:rPr>
          <w:b/>
          <w:bCs/>
        </w:rPr>
        <w:t>Conference Participation as Unmeasured Gatekeeping:</w:t>
      </w:r>
    </w:p>
    <w:p w14:paraId="4423AE77" w14:textId="77777777" w:rsidR="00C924A3" w:rsidRDefault="00000000" w:rsidP="00406EBF">
      <w:pPr>
        <w:pStyle w:val="Textoindependiente"/>
        <w:spacing w:line="276" w:lineRule="auto"/>
        <w:jc w:val="both"/>
      </w:pPr>
      <w:r>
        <w:t>The clergy hypothesis predicts that venue access control (conference invitations, journal editorial boards, symposium participation) should exhibit systematic bias toward orthodoxy. For abolitionism specifically, this would manifest as:</w:t>
      </w:r>
    </w:p>
    <w:p w14:paraId="27E8D363" w14:textId="77777777" w:rsidR="00C924A3" w:rsidRDefault="00000000" w:rsidP="00406EBF">
      <w:pPr>
        <w:pStyle w:val="Compact"/>
        <w:numPr>
          <w:ilvl w:val="0"/>
          <w:numId w:val="6"/>
        </w:numPr>
        <w:spacing w:line="276" w:lineRule="auto"/>
        <w:jc w:val="both"/>
      </w:pPr>
      <w:r>
        <w:t>Disproportionate speaking invitations to total abolition advocates vs. incrementalist reformers at events like Critical Resistance conferences</w:t>
      </w:r>
    </w:p>
    <w:p w14:paraId="2A0253BC" w14:textId="77777777" w:rsidR="00C924A3" w:rsidRDefault="00000000" w:rsidP="00406EBF">
      <w:pPr>
        <w:pStyle w:val="Compact"/>
        <w:numPr>
          <w:ilvl w:val="0"/>
          <w:numId w:val="6"/>
        </w:numPr>
        <w:spacing w:line="276" w:lineRule="auto"/>
        <w:jc w:val="both"/>
      </w:pPr>
      <w:r>
        <w:t xml:space="preserve">Editorial board composition at journals like </w:t>
      </w:r>
      <w:r>
        <w:rPr>
          <w:i/>
          <w:iCs/>
        </w:rPr>
        <w:t>Abolition Journal</w:t>
      </w:r>
      <w:r>
        <w:t xml:space="preserve"> favoring orthodox positions</w:t>
      </w:r>
    </w:p>
    <w:p w14:paraId="365313D0" w14:textId="77777777" w:rsidR="00C924A3" w:rsidRDefault="00000000" w:rsidP="00406EBF">
      <w:pPr>
        <w:pStyle w:val="Compact"/>
        <w:numPr>
          <w:ilvl w:val="0"/>
          <w:numId w:val="6"/>
        </w:numPr>
        <w:spacing w:line="276" w:lineRule="auto"/>
        <w:jc w:val="both"/>
      </w:pPr>
      <w:r>
        <w:lastRenderedPageBreak/>
        <w:t>Symposium organization privileging abolitionist frameworks over comparative criminology</w:t>
      </w:r>
    </w:p>
    <w:p w14:paraId="2C2BD51A" w14:textId="77777777" w:rsidR="00C924A3" w:rsidRDefault="00000000" w:rsidP="00406EBF">
      <w:pPr>
        <w:pStyle w:val="FirstParagraph"/>
        <w:spacing w:line="276" w:lineRule="auto"/>
        <w:jc w:val="both"/>
      </w:pPr>
      <w:r>
        <w:rPr>
          <w:b/>
          <w:bCs/>
        </w:rPr>
        <w:t>Current Evidence Status:</w:t>
      </w:r>
      <w:r>
        <w:t xml:space="preserve"> NONE COLLECTED</w:t>
      </w:r>
    </w:p>
    <w:p w14:paraId="289B0550" w14:textId="77777777" w:rsidR="00C924A3" w:rsidRDefault="00000000" w:rsidP="00406EBF">
      <w:pPr>
        <w:pStyle w:val="Textoindependiente"/>
        <w:spacing w:line="276" w:lineRule="auto"/>
        <w:jc w:val="both"/>
      </w:pPr>
      <w:r>
        <w:t>I have no systematic data on conference participation patterns, editorial board composition, or symposium organization. Collecting such data would require:</w:t>
      </w:r>
    </w:p>
    <w:p w14:paraId="5E2790BF" w14:textId="77777777" w:rsidR="00C924A3" w:rsidRDefault="00000000" w:rsidP="00406EBF">
      <w:pPr>
        <w:pStyle w:val="Compact"/>
        <w:numPr>
          <w:ilvl w:val="0"/>
          <w:numId w:val="7"/>
        </w:numPr>
        <w:spacing w:line="276" w:lineRule="auto"/>
        <w:jc w:val="both"/>
      </w:pPr>
      <w:r>
        <w:t>Database of abolitionist conference programs (2010-2024)</w:t>
      </w:r>
    </w:p>
    <w:p w14:paraId="2EE8E28E" w14:textId="77777777" w:rsidR="00C924A3" w:rsidRDefault="00000000" w:rsidP="00406EBF">
      <w:pPr>
        <w:pStyle w:val="Compact"/>
        <w:numPr>
          <w:ilvl w:val="0"/>
          <w:numId w:val="7"/>
        </w:numPr>
        <w:spacing w:line="276" w:lineRule="auto"/>
        <w:jc w:val="both"/>
      </w:pPr>
      <w:r>
        <w:t>Classification of speakers by position (total abolition vs. pragmatic reform)</w:t>
      </w:r>
    </w:p>
    <w:p w14:paraId="37481C08" w14:textId="77777777" w:rsidR="00C924A3" w:rsidRDefault="00000000" w:rsidP="00406EBF">
      <w:pPr>
        <w:pStyle w:val="Compact"/>
        <w:numPr>
          <w:ilvl w:val="0"/>
          <w:numId w:val="7"/>
        </w:numPr>
        <w:spacing w:line="276" w:lineRule="auto"/>
        <w:jc w:val="both"/>
      </w:pPr>
      <w:r>
        <w:t>Controls for speaker prominence, institutional affiliation, and subject expertise</w:t>
      </w:r>
    </w:p>
    <w:p w14:paraId="64682C75" w14:textId="77777777" w:rsidR="00C924A3" w:rsidRDefault="00000000" w:rsidP="00406EBF">
      <w:pPr>
        <w:pStyle w:val="Compact"/>
        <w:numPr>
          <w:ilvl w:val="0"/>
          <w:numId w:val="7"/>
        </w:numPr>
        <w:spacing w:line="276" w:lineRule="auto"/>
        <w:jc w:val="both"/>
      </w:pPr>
      <w:r>
        <w:t>Comparison to baseline expectation (what would distribution look like without gatekeeping?)</w:t>
      </w:r>
    </w:p>
    <w:p w14:paraId="0B7E5E46" w14:textId="77777777" w:rsidR="00C924A3" w:rsidRDefault="00000000" w:rsidP="00406EBF">
      <w:pPr>
        <w:pStyle w:val="Compact"/>
        <w:numPr>
          <w:ilvl w:val="0"/>
          <w:numId w:val="7"/>
        </w:numPr>
        <w:spacing w:line="276" w:lineRule="auto"/>
        <w:jc w:val="both"/>
      </w:pPr>
      <w:r>
        <w:t>Similar analysis for editorial boards and symposium organization</w:t>
      </w:r>
    </w:p>
    <w:p w14:paraId="09F347C6" w14:textId="77777777" w:rsidR="00C924A3" w:rsidRDefault="00000000" w:rsidP="00406EBF">
      <w:pPr>
        <w:pStyle w:val="FirstParagraph"/>
        <w:spacing w:line="276" w:lineRule="auto"/>
        <w:jc w:val="both"/>
      </w:pPr>
      <w:r>
        <w:t>This data collection has not been conducted. Claims about venue access gatekeeping in abolitionist networks remain speculative hypotheses derived from the clergy framework, not empirically documented patterns.</w:t>
      </w:r>
    </w:p>
    <w:p w14:paraId="55152E13" w14:textId="77777777" w:rsidR="00C924A3" w:rsidRDefault="00000000" w:rsidP="00406EBF">
      <w:pPr>
        <w:pStyle w:val="Textoindependiente"/>
        <w:spacing w:line="276" w:lineRule="auto"/>
        <w:jc w:val="both"/>
      </w:pPr>
      <w:r>
        <w:rPr>
          <w:b/>
          <w:bCs/>
        </w:rPr>
        <w:t>Limitations Summary:</w:t>
      </w:r>
    </w:p>
    <w:p w14:paraId="2895831E" w14:textId="77777777" w:rsidR="00C924A3" w:rsidRDefault="00000000" w:rsidP="00406EBF">
      <w:pPr>
        <w:pStyle w:val="Textoindependiente"/>
        <w:spacing w:line="276" w:lineRule="auto"/>
        <w:jc w:val="both"/>
      </w:pPr>
      <w:r>
        <w:t>The abolitionist case presents the weakest evidence among the three orthodoxies examined:</w:t>
      </w:r>
    </w:p>
    <w:p w14:paraId="0AD3E52D" w14:textId="77777777" w:rsidR="00C924A3" w:rsidRDefault="00000000" w:rsidP="00406EBF">
      <w:pPr>
        <w:pStyle w:val="Textoindependiente"/>
        <w:spacing w:line="276" w:lineRule="auto"/>
        <w:jc w:val="both"/>
      </w:pPr>
      <w:r>
        <w:rPr>
          <w:b/>
          <w:bCs/>
        </w:rPr>
        <w:t>Data Quality Issues:</w:t>
      </w:r>
      <w:r>
        <w:t xml:space="preserve"> - Citation comparisons rely on Google Scholar counts (approximate, not rigorous bibliometrics) - Social media engagement is impressionistic estimate, not measured systematically - No controlled comparisons of similarly situated scholars - Single anecdotal case (Forman) insufficient for pattern identification - Interview quote as evidence rather than systematic documentation</w:t>
      </w:r>
    </w:p>
    <w:p w14:paraId="7E0BA990" w14:textId="77777777" w:rsidR="00C924A3" w:rsidRDefault="00000000" w:rsidP="00406EBF">
      <w:pPr>
        <w:pStyle w:val="Textoindependiente"/>
        <w:spacing w:line="276" w:lineRule="auto"/>
        <w:jc w:val="both"/>
      </w:pPr>
      <w:r>
        <w:rPr>
          <w:b/>
          <w:bCs/>
        </w:rPr>
        <w:t>Confounding Variables:</w:t>
      </w:r>
      <w:r>
        <w:t xml:space="preserve"> - Genre effects (activist writing vs. academic analysis) - Author prominence asymmetries (Kaba as public figure vs. Mayson as academic) - Audience size differences between activist and academic communities - Content accessibility (readable manifestos vs. technical empirical papers) - Publication venue differences (</w:t>
      </w:r>
      <w:r>
        <w:rPr>
          <w:i/>
          <w:iCs/>
        </w:rPr>
        <w:t>California Law Review</w:t>
      </w:r>
      <w:r>
        <w:t xml:space="preserve"> vs. trade publisher)</w:t>
      </w:r>
    </w:p>
    <w:p w14:paraId="2074FEB0" w14:textId="77777777" w:rsidR="00C924A3" w:rsidRDefault="00000000" w:rsidP="00406EBF">
      <w:pPr>
        <w:pStyle w:val="Textoindependiente"/>
        <w:spacing w:line="276" w:lineRule="auto"/>
        <w:jc w:val="both"/>
      </w:pPr>
      <w:r>
        <w:rPr>
          <w:b/>
          <w:bCs/>
        </w:rPr>
        <w:t>Missing Evidence:</w:t>
      </w:r>
      <w:r>
        <w:t xml:space="preserve"> - No systematic citation gradient study - No conference participation data - No survey of perceived professional costs - No editorial board composition analysis - No documentation of publication or hiring decisions</w:t>
      </w:r>
    </w:p>
    <w:p w14:paraId="435B65B4" w14:textId="77777777" w:rsidR="00C924A3" w:rsidRDefault="00000000" w:rsidP="00406EBF">
      <w:pPr>
        <w:pStyle w:val="Textoindependiente"/>
        <w:spacing w:line="276" w:lineRule="auto"/>
        <w:jc w:val="both"/>
      </w:pPr>
      <w:r>
        <w:rPr>
          <w:b/>
          <w:bCs/>
        </w:rPr>
        <w:t>Honest Assessment:</w:t>
      </w:r>
    </w:p>
    <w:p w14:paraId="245973F9" w14:textId="77777777" w:rsidR="00C924A3" w:rsidRDefault="00000000" w:rsidP="00406EBF">
      <w:pPr>
        <w:pStyle w:val="Textoindependiente"/>
        <w:spacing w:line="276" w:lineRule="auto"/>
        <w:jc w:val="both"/>
      </w:pPr>
      <w:r>
        <w:lastRenderedPageBreak/>
        <w:t>The abolitionist evidence is suggestive at best. The Kaba-Mayson citation pattern is consistent with clergy hypothesis predictions, but alternative explanations (genre, prominence, accessibility) are equally plausible. Forman’s experience documents professional tensions but does not demonstrate systematic gatekeeping. Without controlled studies and systematic data collection, I cannot distinguish legitimate quality-based citation patterns from illegitimate clergy immunity.</w:t>
      </w:r>
    </w:p>
    <w:p w14:paraId="16C2D92C" w14:textId="77777777" w:rsidR="00C924A3" w:rsidRDefault="00000000" w:rsidP="00406EBF">
      <w:pPr>
        <w:pStyle w:val="Textoindependiente"/>
        <w:spacing w:line="276" w:lineRule="auto"/>
        <w:jc w:val="both"/>
      </w:pPr>
      <w:r>
        <w:t>The abolitionist case is included in this analysis because: 1. It represents ideological diversity (left-wing orthodoxy vs. retributivism’s mixed ideology) 2. It illustrates methodological challenges in studying clergy dynamics outside traditional academic venues 3. It demonstrates the importance of transparent evidence assessment</w:t>
      </w:r>
    </w:p>
    <w:p w14:paraId="4C122BEC" w14:textId="77777777" w:rsidR="00C924A3" w:rsidRDefault="00000000" w:rsidP="00406EBF">
      <w:pPr>
        <w:pStyle w:val="Textoindependiente"/>
        <w:spacing w:line="276" w:lineRule="auto"/>
        <w:jc w:val="both"/>
      </w:pPr>
      <w:r>
        <w:t>However, readers should treat abolitionist claims with substantially greater skepticism than the retributivist or guarantist cases, where evidence quality is higher.</w:t>
      </w:r>
    </w:p>
    <w:p w14:paraId="702BECC0" w14:textId="77777777" w:rsidR="00C924A3" w:rsidRDefault="00000000" w:rsidP="00406EBF">
      <w:pPr>
        <w:pStyle w:val="Textoindependiente"/>
        <w:spacing w:line="276" w:lineRule="auto"/>
        <w:jc w:val="both"/>
      </w:pPr>
      <w:r>
        <w:rPr>
          <w:b/>
          <w:bCs/>
        </w:rPr>
        <w:t>Implications for Future Research:</w:t>
      </w:r>
    </w:p>
    <w:p w14:paraId="602670CB" w14:textId="77777777" w:rsidR="00C924A3" w:rsidRDefault="00000000" w:rsidP="00406EBF">
      <w:pPr>
        <w:pStyle w:val="Textoindependiente"/>
        <w:spacing w:line="276" w:lineRule="auto"/>
        <w:jc w:val="both"/>
      </w:pPr>
      <w:r>
        <w:t>The abolitionist case highlights three research needs:</w:t>
      </w:r>
    </w:p>
    <w:p w14:paraId="3DC1FCEE" w14:textId="77777777" w:rsidR="00C924A3" w:rsidRDefault="00000000" w:rsidP="00406EBF">
      <w:pPr>
        <w:pStyle w:val="Textoindependiente"/>
        <w:spacing w:line="276" w:lineRule="auto"/>
        <w:jc w:val="both"/>
      </w:pPr>
      <w:r>
        <w:rPr>
          <w:b/>
          <w:bCs/>
        </w:rPr>
        <w:t>1. Systematic Citation Study:</w:t>
      </w:r>
      <w:r>
        <w:t xml:space="preserve"> Conduct bibliometric analysis comparing abolitionist vs. incrementalist scholars controlling for prominence, institutional affiliation, and writing genre. Proposed methodology in Appendix B could be adapted to this domain with the following modifications: - Sample N≥30 scholars per category - Use Web of Science or Scopus (not just Google Scholar) for precise citation tracking - Code citation context (supportive vs. critical citations) - Control for years since publication, h-index, and institutional prestige</w:t>
      </w:r>
    </w:p>
    <w:p w14:paraId="5611007D" w14:textId="77777777" w:rsidR="00C924A3" w:rsidRDefault="00000000" w:rsidP="00406EBF">
      <w:pPr>
        <w:pStyle w:val="Textoindependiente"/>
        <w:spacing w:line="276" w:lineRule="auto"/>
        <w:jc w:val="both"/>
      </w:pPr>
      <w:r>
        <w:rPr>
          <w:b/>
          <w:bCs/>
        </w:rPr>
        <w:t>2. Conference Participation Database:</w:t>
      </w:r>
      <w:r>
        <w:t xml:space="preserve"> Compile records of speaker invitations at major abolitionist conferences to test venue access hypothesis: - Events to survey: Critical Resistance conferences (2010-2024), Incite! conferences, Law &amp; Society Association panels on abolition - Code speakers by position: total abolition vs. pragmatic reform vs. comparative criminology - Compare to baseline expectation using author prominence metrics - Assess whether orthodox speakers receive disproportionate invitations</w:t>
      </w:r>
    </w:p>
    <w:p w14:paraId="654CA6EE" w14:textId="77777777" w:rsidR="00C924A3" w:rsidRDefault="00000000" w:rsidP="00406EBF">
      <w:pPr>
        <w:pStyle w:val="Textoindependiente"/>
        <w:spacing w:line="276" w:lineRule="auto"/>
        <w:jc w:val="both"/>
      </w:pPr>
      <w:r>
        <w:rPr>
          <w:b/>
          <w:bCs/>
        </w:rPr>
        <w:t>3. Professional Cost Survey:</w:t>
      </w:r>
      <w:r>
        <w:t xml:space="preserve"> Survey scholars working on criminal justice reform about perceived professional costs for departing from abolitionist orthodoxy: - Sample N≥100 scholars working on criminal justice topics - Measure: perceived risks of criticizing abolitionism, actual experiences of professional costs - Controls: actual work quality through peer review, h-index, institutional affiliation - Compare to control groups (scholars in other ideological communities)</w:t>
      </w:r>
    </w:p>
    <w:p w14:paraId="2CCF9A52" w14:textId="18D87AA9" w:rsidR="00C924A3" w:rsidRDefault="00000000" w:rsidP="00B00FCA">
      <w:pPr>
        <w:pStyle w:val="Textoindependiente"/>
        <w:spacing w:line="276" w:lineRule="auto"/>
        <w:jc w:val="both"/>
      </w:pPr>
      <w:r>
        <w:lastRenderedPageBreak/>
        <w:t>Until such studies are conducted, claims about abolitionist clergy dynamics should be treated as preliminary hypotheses rather than established findings.</w:t>
      </w:r>
    </w:p>
    <w:p w14:paraId="336015B4" w14:textId="77777777" w:rsidR="00C924A3" w:rsidRDefault="00000000" w:rsidP="00406EBF">
      <w:pPr>
        <w:pStyle w:val="Ttulo3"/>
        <w:spacing w:line="276" w:lineRule="auto"/>
        <w:jc w:val="both"/>
      </w:pPr>
      <w:bookmarkStart w:id="23" w:name="Xe6004931da873469942962cf12e420f1e2cf981"/>
      <w:bookmarkEnd w:id="18"/>
      <w:bookmarkEnd w:id="22"/>
      <w:r>
        <w:t>2.4 The Isomorphic Architecture: Comparing Three Orthodoxies</w:t>
      </w:r>
    </w:p>
    <w:p w14:paraId="082D7309" w14:textId="77777777" w:rsidR="00C924A3" w:rsidRDefault="00000000" w:rsidP="00406EBF">
      <w:pPr>
        <w:pStyle w:val="FirstParagraph"/>
        <w:spacing w:line="276" w:lineRule="auto"/>
        <w:jc w:val="both"/>
      </w:pPr>
      <w:r>
        <w:t>Despite ideological diversity (retributivism spans left-right spectrum, guarantism is Latin American state-protective, abolitionism is US progressive anti-state), the three orthodoxies exhibit identical structural architecture:</w:t>
      </w:r>
    </w:p>
    <w:p w14:paraId="52A2CF2D" w14:textId="77777777" w:rsidR="00C924A3" w:rsidRDefault="00000000" w:rsidP="00406EBF">
      <w:pPr>
        <w:pStyle w:val="Textoindependiente"/>
        <w:spacing w:line="276" w:lineRule="auto"/>
        <w:jc w:val="both"/>
      </w:pPr>
      <w:r>
        <w:rPr>
          <w:b/>
          <w:bCs/>
        </w:rPr>
        <w:t>Table 1: Isomorphic Clergy Mechanisms Across Orthodoxies</w:t>
      </w:r>
    </w:p>
    <w:tbl>
      <w:tblPr>
        <w:tblStyle w:val="Table"/>
        <w:tblW w:w="5000" w:type="pct"/>
        <w:tblLayout w:type="fixed"/>
        <w:tblLook w:val="0020" w:firstRow="1" w:lastRow="0" w:firstColumn="0" w:lastColumn="0" w:noHBand="0" w:noVBand="0"/>
      </w:tblPr>
      <w:tblGrid>
        <w:gridCol w:w="1870"/>
        <w:gridCol w:w="2549"/>
        <w:gridCol w:w="2039"/>
        <w:gridCol w:w="2380"/>
      </w:tblGrid>
      <w:tr w:rsidR="00C924A3" w:rsidRPr="00B00FCA" w14:paraId="1C0E4F8A" w14:textId="77777777" w:rsidTr="00C924A3">
        <w:trPr>
          <w:cnfStyle w:val="100000000000" w:firstRow="1" w:lastRow="0" w:firstColumn="0" w:lastColumn="0" w:oddVBand="0" w:evenVBand="0" w:oddHBand="0" w:evenHBand="0" w:firstRowFirstColumn="0" w:firstRowLastColumn="0" w:lastRowFirstColumn="0" w:lastRowLastColumn="0"/>
          <w:tblHeader/>
        </w:trPr>
        <w:tc>
          <w:tcPr>
            <w:tcW w:w="1675" w:type="dxa"/>
          </w:tcPr>
          <w:p w14:paraId="4AF2BFF2" w14:textId="77777777" w:rsidR="00C924A3" w:rsidRPr="00B00FCA" w:rsidRDefault="00000000" w:rsidP="00406EBF">
            <w:pPr>
              <w:pStyle w:val="Compact"/>
              <w:spacing w:line="276" w:lineRule="auto"/>
              <w:jc w:val="both"/>
              <w:rPr>
                <w:sz w:val="18"/>
                <w:szCs w:val="18"/>
              </w:rPr>
            </w:pPr>
            <w:r w:rsidRPr="00B00FCA">
              <w:rPr>
                <w:sz w:val="18"/>
                <w:szCs w:val="18"/>
              </w:rPr>
              <w:t>Mechanism</w:t>
            </w:r>
          </w:p>
        </w:tc>
        <w:tc>
          <w:tcPr>
            <w:tcW w:w="2284" w:type="dxa"/>
          </w:tcPr>
          <w:p w14:paraId="5DBA9582" w14:textId="77777777" w:rsidR="00C924A3" w:rsidRPr="00B00FCA" w:rsidRDefault="00000000" w:rsidP="00406EBF">
            <w:pPr>
              <w:pStyle w:val="Compact"/>
              <w:spacing w:line="276" w:lineRule="auto"/>
              <w:jc w:val="both"/>
              <w:rPr>
                <w:sz w:val="18"/>
                <w:szCs w:val="18"/>
              </w:rPr>
            </w:pPr>
            <w:r w:rsidRPr="00B00FCA">
              <w:rPr>
                <w:sz w:val="18"/>
                <w:szCs w:val="18"/>
              </w:rPr>
              <w:t>Retributivism</w:t>
            </w:r>
          </w:p>
        </w:tc>
        <w:tc>
          <w:tcPr>
            <w:tcW w:w="1827" w:type="dxa"/>
          </w:tcPr>
          <w:p w14:paraId="5A0679F6" w14:textId="77777777" w:rsidR="00C924A3" w:rsidRPr="00B00FCA" w:rsidRDefault="00000000" w:rsidP="00406EBF">
            <w:pPr>
              <w:pStyle w:val="Compact"/>
              <w:spacing w:line="276" w:lineRule="auto"/>
              <w:jc w:val="both"/>
              <w:rPr>
                <w:sz w:val="18"/>
                <w:szCs w:val="18"/>
              </w:rPr>
            </w:pPr>
            <w:r w:rsidRPr="00B00FCA">
              <w:rPr>
                <w:sz w:val="18"/>
                <w:szCs w:val="18"/>
              </w:rPr>
              <w:t>Guarantism</w:t>
            </w:r>
          </w:p>
        </w:tc>
        <w:tc>
          <w:tcPr>
            <w:tcW w:w="2132" w:type="dxa"/>
          </w:tcPr>
          <w:p w14:paraId="4581B51F" w14:textId="77777777" w:rsidR="00C924A3" w:rsidRPr="00B00FCA" w:rsidRDefault="00000000" w:rsidP="00406EBF">
            <w:pPr>
              <w:pStyle w:val="Compact"/>
              <w:spacing w:line="276" w:lineRule="auto"/>
              <w:jc w:val="both"/>
              <w:rPr>
                <w:sz w:val="18"/>
                <w:szCs w:val="18"/>
              </w:rPr>
            </w:pPr>
            <w:r w:rsidRPr="00B00FCA">
              <w:rPr>
                <w:sz w:val="18"/>
                <w:szCs w:val="18"/>
              </w:rPr>
              <w:t>Abolitionism</w:t>
            </w:r>
          </w:p>
        </w:tc>
      </w:tr>
      <w:tr w:rsidR="00C924A3" w:rsidRPr="00B00FCA" w14:paraId="29DF8591" w14:textId="77777777">
        <w:tc>
          <w:tcPr>
            <w:tcW w:w="1675" w:type="dxa"/>
          </w:tcPr>
          <w:p w14:paraId="6C0E1C79" w14:textId="77777777" w:rsidR="00C924A3" w:rsidRPr="00B00FCA" w:rsidRDefault="00000000" w:rsidP="00406EBF">
            <w:pPr>
              <w:pStyle w:val="Compact"/>
              <w:spacing w:line="276" w:lineRule="auto"/>
              <w:jc w:val="both"/>
              <w:rPr>
                <w:sz w:val="18"/>
                <w:szCs w:val="18"/>
              </w:rPr>
            </w:pPr>
            <w:r w:rsidRPr="00B00FCA">
              <w:rPr>
                <w:b/>
                <w:bCs/>
                <w:sz w:val="18"/>
                <w:szCs w:val="18"/>
              </w:rPr>
              <w:t>Sacralized Concept</w:t>
            </w:r>
          </w:p>
        </w:tc>
        <w:tc>
          <w:tcPr>
            <w:tcW w:w="2284" w:type="dxa"/>
          </w:tcPr>
          <w:p w14:paraId="746748C3" w14:textId="77777777" w:rsidR="00C924A3" w:rsidRPr="00B00FCA" w:rsidRDefault="00000000" w:rsidP="00406EBF">
            <w:pPr>
              <w:pStyle w:val="Compact"/>
              <w:spacing w:line="276" w:lineRule="auto"/>
              <w:jc w:val="both"/>
              <w:rPr>
                <w:sz w:val="18"/>
                <w:szCs w:val="18"/>
              </w:rPr>
            </w:pPr>
            <w:r w:rsidRPr="00B00FCA">
              <w:rPr>
                <w:sz w:val="18"/>
                <w:szCs w:val="18"/>
              </w:rPr>
              <w:t>Desert and proportionality are moral imperatives independent of consequences</w:t>
            </w:r>
          </w:p>
        </w:tc>
        <w:tc>
          <w:tcPr>
            <w:tcW w:w="1827" w:type="dxa"/>
          </w:tcPr>
          <w:p w14:paraId="395F55F4" w14:textId="77777777" w:rsidR="00C924A3" w:rsidRPr="00B00FCA" w:rsidRDefault="00000000" w:rsidP="00406EBF">
            <w:pPr>
              <w:pStyle w:val="Compact"/>
              <w:spacing w:line="276" w:lineRule="auto"/>
              <w:jc w:val="both"/>
              <w:rPr>
                <w:sz w:val="18"/>
                <w:szCs w:val="18"/>
              </w:rPr>
            </w:pPr>
            <w:r w:rsidRPr="00B00FCA">
              <w:rPr>
                <w:sz w:val="18"/>
                <w:szCs w:val="18"/>
              </w:rPr>
              <w:t>Procedural guarantees are inalienable rights that cannot be balanced</w:t>
            </w:r>
          </w:p>
        </w:tc>
        <w:tc>
          <w:tcPr>
            <w:tcW w:w="2132" w:type="dxa"/>
          </w:tcPr>
          <w:p w14:paraId="197147E3" w14:textId="77777777" w:rsidR="00C924A3" w:rsidRPr="00B00FCA" w:rsidRDefault="00000000" w:rsidP="00406EBF">
            <w:pPr>
              <w:pStyle w:val="Compact"/>
              <w:spacing w:line="276" w:lineRule="auto"/>
              <w:jc w:val="both"/>
              <w:rPr>
                <w:sz w:val="18"/>
                <w:szCs w:val="18"/>
              </w:rPr>
            </w:pPr>
            <w:r w:rsidRPr="00B00FCA">
              <w:rPr>
                <w:sz w:val="18"/>
                <w:szCs w:val="18"/>
              </w:rPr>
              <w:t>Carceral system is intrinsically oppressive; any reform legitimizes genocide</w:t>
            </w:r>
          </w:p>
        </w:tc>
      </w:tr>
      <w:tr w:rsidR="00C924A3" w:rsidRPr="00B00FCA" w14:paraId="5C3A4FD8" w14:textId="77777777">
        <w:tc>
          <w:tcPr>
            <w:tcW w:w="1675" w:type="dxa"/>
          </w:tcPr>
          <w:p w14:paraId="7F13C4B1" w14:textId="77777777" w:rsidR="00C924A3" w:rsidRPr="00B00FCA" w:rsidRDefault="00000000" w:rsidP="00406EBF">
            <w:pPr>
              <w:pStyle w:val="Compact"/>
              <w:spacing w:line="276" w:lineRule="auto"/>
              <w:jc w:val="both"/>
              <w:rPr>
                <w:sz w:val="18"/>
                <w:szCs w:val="18"/>
              </w:rPr>
            </w:pPr>
            <w:r w:rsidRPr="00B00FCA">
              <w:rPr>
                <w:b/>
                <w:bCs/>
                <w:sz w:val="18"/>
                <w:szCs w:val="18"/>
              </w:rPr>
              <w:t>Empirical Challenge</w:t>
            </w:r>
          </w:p>
        </w:tc>
        <w:tc>
          <w:tcPr>
            <w:tcW w:w="2284" w:type="dxa"/>
          </w:tcPr>
          <w:p w14:paraId="346DC345" w14:textId="77777777" w:rsidR="00C924A3" w:rsidRPr="00B00FCA" w:rsidRDefault="00000000" w:rsidP="00406EBF">
            <w:pPr>
              <w:pStyle w:val="Compact"/>
              <w:spacing w:line="276" w:lineRule="auto"/>
              <w:jc w:val="both"/>
              <w:rPr>
                <w:sz w:val="18"/>
                <w:szCs w:val="18"/>
              </w:rPr>
            </w:pPr>
            <w:r w:rsidRPr="00B00FCA">
              <w:rPr>
                <w:sz w:val="18"/>
                <w:szCs w:val="18"/>
              </w:rPr>
              <w:t>Neuroscience shows volitional control is not libertarian; rehabilitation achieves lower recidivism</w:t>
            </w:r>
          </w:p>
        </w:tc>
        <w:tc>
          <w:tcPr>
            <w:tcW w:w="1827" w:type="dxa"/>
          </w:tcPr>
          <w:p w14:paraId="71E90967" w14:textId="77777777" w:rsidR="00C924A3" w:rsidRPr="00B00FCA" w:rsidRDefault="00000000" w:rsidP="00406EBF">
            <w:pPr>
              <w:pStyle w:val="Compact"/>
              <w:spacing w:line="276" w:lineRule="auto"/>
              <w:jc w:val="both"/>
              <w:rPr>
                <w:sz w:val="18"/>
                <w:szCs w:val="18"/>
              </w:rPr>
            </w:pPr>
            <w:r w:rsidRPr="00B00FCA">
              <w:rPr>
                <w:sz w:val="18"/>
                <w:szCs w:val="18"/>
              </w:rPr>
              <w:t>Strong procedural guarantees correlate with higher incarceration; implementation gap</w:t>
            </w:r>
          </w:p>
        </w:tc>
        <w:tc>
          <w:tcPr>
            <w:tcW w:w="2132" w:type="dxa"/>
          </w:tcPr>
          <w:p w14:paraId="141A9E5F" w14:textId="77777777" w:rsidR="00C924A3" w:rsidRPr="00B00FCA" w:rsidRDefault="00000000" w:rsidP="00406EBF">
            <w:pPr>
              <w:pStyle w:val="Compact"/>
              <w:spacing w:line="276" w:lineRule="auto"/>
              <w:jc w:val="both"/>
              <w:rPr>
                <w:sz w:val="18"/>
                <w:szCs w:val="18"/>
              </w:rPr>
            </w:pPr>
            <w:r w:rsidRPr="00B00FCA">
              <w:rPr>
                <w:sz w:val="18"/>
                <w:szCs w:val="18"/>
              </w:rPr>
              <w:t>Cities with strongest abolitionist discourse do not have lower incarceration; pragmatic states achieve better outcomes</w:t>
            </w:r>
          </w:p>
        </w:tc>
      </w:tr>
      <w:tr w:rsidR="00C924A3" w:rsidRPr="00B00FCA" w14:paraId="14B7EDE7" w14:textId="77777777">
        <w:tc>
          <w:tcPr>
            <w:tcW w:w="1675" w:type="dxa"/>
          </w:tcPr>
          <w:p w14:paraId="4415E730" w14:textId="77777777" w:rsidR="00C924A3" w:rsidRPr="00B00FCA" w:rsidRDefault="00000000" w:rsidP="00406EBF">
            <w:pPr>
              <w:pStyle w:val="Compact"/>
              <w:spacing w:line="276" w:lineRule="auto"/>
              <w:jc w:val="both"/>
              <w:rPr>
                <w:sz w:val="18"/>
                <w:szCs w:val="18"/>
              </w:rPr>
            </w:pPr>
            <w:r w:rsidRPr="00B00FCA">
              <w:rPr>
                <w:b/>
                <w:bCs/>
                <w:sz w:val="18"/>
                <w:szCs w:val="18"/>
              </w:rPr>
              <w:t>Sacralization Move</w:t>
            </w:r>
          </w:p>
        </w:tc>
        <w:tc>
          <w:tcPr>
            <w:tcW w:w="2284" w:type="dxa"/>
          </w:tcPr>
          <w:p w14:paraId="1752EE7D" w14:textId="77777777" w:rsidR="00C924A3" w:rsidRPr="00B00FCA" w:rsidRDefault="00000000" w:rsidP="00406EBF">
            <w:pPr>
              <w:pStyle w:val="Compact"/>
              <w:spacing w:line="276" w:lineRule="auto"/>
              <w:jc w:val="both"/>
              <w:rPr>
                <w:sz w:val="18"/>
                <w:szCs w:val="18"/>
              </w:rPr>
            </w:pPr>
            <w:r w:rsidRPr="00B00FCA">
              <w:rPr>
                <w:sz w:val="18"/>
                <w:szCs w:val="18"/>
              </w:rPr>
              <w:t>“Moral responsibility requires free will regardless of neuroscience”</w:t>
            </w:r>
          </w:p>
        </w:tc>
        <w:tc>
          <w:tcPr>
            <w:tcW w:w="1827" w:type="dxa"/>
          </w:tcPr>
          <w:p w14:paraId="6393E0EA" w14:textId="77777777" w:rsidR="00C924A3" w:rsidRPr="00B00FCA" w:rsidRDefault="00000000" w:rsidP="00406EBF">
            <w:pPr>
              <w:pStyle w:val="Compact"/>
              <w:spacing w:line="276" w:lineRule="auto"/>
              <w:jc w:val="both"/>
              <w:rPr>
                <w:sz w:val="18"/>
                <w:szCs w:val="18"/>
              </w:rPr>
            </w:pPr>
            <w:r w:rsidRPr="00B00FCA">
              <w:rPr>
                <w:sz w:val="18"/>
                <w:szCs w:val="18"/>
              </w:rPr>
              <w:t>“Questioning guarantees opens door to authoritarianism”</w:t>
            </w:r>
          </w:p>
        </w:tc>
        <w:tc>
          <w:tcPr>
            <w:tcW w:w="2132" w:type="dxa"/>
          </w:tcPr>
          <w:p w14:paraId="3B2850FE" w14:textId="77777777" w:rsidR="00C924A3" w:rsidRPr="00B00FCA" w:rsidRDefault="00000000" w:rsidP="00406EBF">
            <w:pPr>
              <w:pStyle w:val="Compact"/>
              <w:spacing w:line="276" w:lineRule="auto"/>
              <w:jc w:val="both"/>
              <w:rPr>
                <w:sz w:val="18"/>
                <w:szCs w:val="18"/>
              </w:rPr>
            </w:pPr>
            <w:r w:rsidRPr="00B00FCA">
              <w:rPr>
                <w:sz w:val="18"/>
                <w:szCs w:val="18"/>
              </w:rPr>
              <w:t>“Your pragmatism is complicity with racial capitalism”</w:t>
            </w:r>
          </w:p>
        </w:tc>
      </w:tr>
      <w:tr w:rsidR="00C924A3" w:rsidRPr="00B00FCA" w14:paraId="6AF5341A" w14:textId="77777777">
        <w:tc>
          <w:tcPr>
            <w:tcW w:w="1675" w:type="dxa"/>
          </w:tcPr>
          <w:p w14:paraId="6F2E7149" w14:textId="77777777" w:rsidR="00C924A3" w:rsidRPr="00B00FCA" w:rsidRDefault="00000000" w:rsidP="00406EBF">
            <w:pPr>
              <w:pStyle w:val="Compact"/>
              <w:spacing w:line="276" w:lineRule="auto"/>
              <w:jc w:val="both"/>
              <w:rPr>
                <w:sz w:val="18"/>
                <w:szCs w:val="18"/>
              </w:rPr>
            </w:pPr>
            <w:r w:rsidRPr="00B00FCA">
              <w:rPr>
                <w:b/>
                <w:bCs/>
                <w:sz w:val="18"/>
                <w:szCs w:val="18"/>
              </w:rPr>
              <w:t>Costly Signal</w:t>
            </w:r>
          </w:p>
        </w:tc>
        <w:tc>
          <w:tcPr>
            <w:tcW w:w="2284" w:type="dxa"/>
          </w:tcPr>
          <w:p w14:paraId="63BCEA77" w14:textId="77777777" w:rsidR="00C924A3" w:rsidRPr="00B00FCA" w:rsidRDefault="00000000" w:rsidP="00406EBF">
            <w:pPr>
              <w:pStyle w:val="Compact"/>
              <w:spacing w:line="276" w:lineRule="auto"/>
              <w:jc w:val="both"/>
              <w:rPr>
                <w:sz w:val="18"/>
                <w:szCs w:val="18"/>
              </w:rPr>
            </w:pPr>
            <w:r w:rsidRPr="00B00FCA">
              <w:rPr>
                <w:sz w:val="18"/>
                <w:szCs w:val="18"/>
              </w:rPr>
              <w:t>Defending libertarian free will despite neuroscience demonstrates philosophical commitment</w:t>
            </w:r>
          </w:p>
        </w:tc>
        <w:tc>
          <w:tcPr>
            <w:tcW w:w="1827" w:type="dxa"/>
          </w:tcPr>
          <w:p w14:paraId="617BB51D" w14:textId="77777777" w:rsidR="00C924A3" w:rsidRPr="00B00FCA" w:rsidRDefault="00000000" w:rsidP="00406EBF">
            <w:pPr>
              <w:pStyle w:val="Compact"/>
              <w:spacing w:line="276" w:lineRule="auto"/>
              <w:jc w:val="both"/>
              <w:rPr>
                <w:sz w:val="18"/>
                <w:szCs w:val="18"/>
              </w:rPr>
            </w:pPr>
            <w:r w:rsidRPr="00B00FCA">
              <w:rPr>
                <w:sz w:val="18"/>
                <w:szCs w:val="18"/>
              </w:rPr>
              <w:t>Defending guarantees despite implementation failures demonstrates anti-authoritarian credentials</w:t>
            </w:r>
          </w:p>
        </w:tc>
        <w:tc>
          <w:tcPr>
            <w:tcW w:w="2132" w:type="dxa"/>
          </w:tcPr>
          <w:p w14:paraId="61E00A3A" w14:textId="77777777" w:rsidR="00C924A3" w:rsidRPr="00B00FCA" w:rsidRDefault="00000000" w:rsidP="00406EBF">
            <w:pPr>
              <w:pStyle w:val="Compact"/>
              <w:spacing w:line="276" w:lineRule="auto"/>
              <w:jc w:val="both"/>
              <w:rPr>
                <w:sz w:val="18"/>
                <w:szCs w:val="18"/>
              </w:rPr>
            </w:pPr>
            <w:r w:rsidRPr="00B00FCA">
              <w:rPr>
                <w:sz w:val="18"/>
                <w:szCs w:val="18"/>
              </w:rPr>
              <w:t>Refusing all incremental reform demonstrates revolutionary commitment</w:t>
            </w:r>
          </w:p>
        </w:tc>
      </w:tr>
      <w:tr w:rsidR="00C924A3" w:rsidRPr="00B00FCA" w14:paraId="4508BBBB" w14:textId="77777777">
        <w:tc>
          <w:tcPr>
            <w:tcW w:w="1675" w:type="dxa"/>
          </w:tcPr>
          <w:p w14:paraId="5BDCABE6" w14:textId="77777777" w:rsidR="00C924A3" w:rsidRPr="00B00FCA" w:rsidRDefault="00000000" w:rsidP="00406EBF">
            <w:pPr>
              <w:pStyle w:val="Compact"/>
              <w:spacing w:line="276" w:lineRule="auto"/>
              <w:jc w:val="both"/>
              <w:rPr>
                <w:sz w:val="18"/>
                <w:szCs w:val="18"/>
              </w:rPr>
            </w:pPr>
            <w:r w:rsidRPr="00B00FCA">
              <w:rPr>
                <w:b/>
                <w:bCs/>
                <w:sz w:val="18"/>
                <w:szCs w:val="18"/>
              </w:rPr>
              <w:t>Clergy Institutions</w:t>
            </w:r>
          </w:p>
        </w:tc>
        <w:tc>
          <w:tcPr>
            <w:tcW w:w="2284" w:type="dxa"/>
          </w:tcPr>
          <w:p w14:paraId="3BBB8A52" w14:textId="77777777" w:rsidR="00C924A3" w:rsidRPr="00B00FCA" w:rsidRDefault="00000000" w:rsidP="00406EBF">
            <w:pPr>
              <w:pStyle w:val="Compact"/>
              <w:spacing w:line="276" w:lineRule="auto"/>
              <w:jc w:val="both"/>
              <w:rPr>
                <w:sz w:val="18"/>
                <w:szCs w:val="18"/>
              </w:rPr>
            </w:pPr>
            <w:r w:rsidRPr="00B00FCA">
              <w:rPr>
                <w:i/>
                <w:iCs/>
                <w:sz w:val="18"/>
                <w:szCs w:val="18"/>
              </w:rPr>
              <w:t>Criminal Law &amp; Philosophy</w:t>
            </w:r>
            <w:r w:rsidRPr="00B00FCA">
              <w:rPr>
                <w:sz w:val="18"/>
                <w:szCs w:val="18"/>
              </w:rPr>
              <w:t>, ASPLP conferences, major law school programs</w:t>
            </w:r>
          </w:p>
        </w:tc>
        <w:tc>
          <w:tcPr>
            <w:tcW w:w="1827" w:type="dxa"/>
          </w:tcPr>
          <w:p w14:paraId="24B6379E" w14:textId="77777777" w:rsidR="00C924A3" w:rsidRPr="00B00FCA" w:rsidRDefault="00000000" w:rsidP="00406EBF">
            <w:pPr>
              <w:pStyle w:val="Compact"/>
              <w:spacing w:line="276" w:lineRule="auto"/>
              <w:jc w:val="both"/>
              <w:rPr>
                <w:sz w:val="18"/>
                <w:szCs w:val="18"/>
              </w:rPr>
            </w:pPr>
            <w:r w:rsidRPr="00B00FCA">
              <w:rPr>
                <w:i/>
                <w:iCs/>
                <w:sz w:val="18"/>
                <w:szCs w:val="18"/>
              </w:rPr>
              <w:t>Nueva Doctrina Penal</w:t>
            </w:r>
            <w:r w:rsidRPr="00B00FCA">
              <w:rPr>
                <w:sz w:val="18"/>
                <w:szCs w:val="18"/>
              </w:rPr>
              <w:t>, UBA/UNLP chairs, judicial training programs</w:t>
            </w:r>
          </w:p>
        </w:tc>
        <w:tc>
          <w:tcPr>
            <w:tcW w:w="2132" w:type="dxa"/>
          </w:tcPr>
          <w:p w14:paraId="7D807B57" w14:textId="77777777" w:rsidR="00C924A3" w:rsidRPr="00B00FCA" w:rsidRDefault="00000000" w:rsidP="00406EBF">
            <w:pPr>
              <w:pStyle w:val="Compact"/>
              <w:spacing w:line="276" w:lineRule="auto"/>
              <w:jc w:val="both"/>
              <w:rPr>
                <w:sz w:val="18"/>
                <w:szCs w:val="18"/>
              </w:rPr>
            </w:pPr>
            <w:r w:rsidRPr="00B00FCA">
              <w:rPr>
                <w:sz w:val="18"/>
                <w:szCs w:val="18"/>
              </w:rPr>
              <w:t xml:space="preserve">Critical Resistance, </w:t>
            </w:r>
            <w:r w:rsidRPr="00B00FCA">
              <w:rPr>
                <w:i/>
                <w:iCs/>
                <w:sz w:val="18"/>
                <w:szCs w:val="18"/>
              </w:rPr>
              <w:t>Abolition Journal</w:t>
            </w:r>
            <w:r w:rsidRPr="00B00FCA">
              <w:rPr>
                <w:sz w:val="18"/>
                <w:szCs w:val="18"/>
              </w:rPr>
              <w:t>, activist training programs</w:t>
            </w:r>
          </w:p>
        </w:tc>
      </w:tr>
      <w:tr w:rsidR="00C924A3" w:rsidRPr="00B00FCA" w14:paraId="616D41FE" w14:textId="77777777">
        <w:tc>
          <w:tcPr>
            <w:tcW w:w="1675" w:type="dxa"/>
          </w:tcPr>
          <w:p w14:paraId="7B16C9D3" w14:textId="77777777" w:rsidR="00C924A3" w:rsidRPr="00B00FCA" w:rsidRDefault="00000000" w:rsidP="00406EBF">
            <w:pPr>
              <w:pStyle w:val="Compact"/>
              <w:spacing w:line="276" w:lineRule="auto"/>
              <w:jc w:val="both"/>
              <w:rPr>
                <w:sz w:val="18"/>
                <w:szCs w:val="18"/>
              </w:rPr>
            </w:pPr>
            <w:r w:rsidRPr="00B00FCA">
              <w:rPr>
                <w:b/>
                <w:bCs/>
                <w:sz w:val="18"/>
                <w:szCs w:val="18"/>
              </w:rPr>
              <w:t>Endogamic Citation Rate</w:t>
            </w:r>
          </w:p>
        </w:tc>
        <w:tc>
          <w:tcPr>
            <w:tcW w:w="2284" w:type="dxa"/>
          </w:tcPr>
          <w:p w14:paraId="34499C23" w14:textId="77777777" w:rsidR="00C924A3" w:rsidRPr="00B00FCA" w:rsidRDefault="00000000" w:rsidP="00406EBF">
            <w:pPr>
              <w:pStyle w:val="Compact"/>
              <w:spacing w:line="276" w:lineRule="auto"/>
              <w:jc w:val="both"/>
              <w:rPr>
                <w:sz w:val="18"/>
                <w:szCs w:val="18"/>
              </w:rPr>
            </w:pPr>
            <w:r w:rsidRPr="00B00FCA">
              <w:rPr>
                <w:sz w:val="18"/>
                <w:szCs w:val="18"/>
              </w:rPr>
              <w:t>Moderate (≈65%)</w:t>
            </w:r>
          </w:p>
        </w:tc>
        <w:tc>
          <w:tcPr>
            <w:tcW w:w="1827" w:type="dxa"/>
          </w:tcPr>
          <w:p w14:paraId="06F7C78E" w14:textId="77777777" w:rsidR="00C924A3" w:rsidRPr="00B00FCA" w:rsidRDefault="00000000" w:rsidP="00406EBF">
            <w:pPr>
              <w:pStyle w:val="Compact"/>
              <w:spacing w:line="276" w:lineRule="auto"/>
              <w:jc w:val="both"/>
              <w:rPr>
                <w:sz w:val="18"/>
                <w:szCs w:val="18"/>
              </w:rPr>
            </w:pPr>
            <w:r w:rsidRPr="00B00FCA">
              <w:rPr>
                <w:sz w:val="18"/>
                <w:szCs w:val="18"/>
              </w:rPr>
              <w:t>Very High (89.3%)</w:t>
            </w:r>
          </w:p>
        </w:tc>
        <w:tc>
          <w:tcPr>
            <w:tcW w:w="2132" w:type="dxa"/>
          </w:tcPr>
          <w:p w14:paraId="6AAF4815" w14:textId="77777777" w:rsidR="00C924A3" w:rsidRPr="00B00FCA" w:rsidRDefault="00000000" w:rsidP="00406EBF">
            <w:pPr>
              <w:pStyle w:val="Compact"/>
              <w:spacing w:line="276" w:lineRule="auto"/>
              <w:jc w:val="both"/>
              <w:rPr>
                <w:sz w:val="18"/>
                <w:szCs w:val="18"/>
              </w:rPr>
            </w:pPr>
            <w:r w:rsidRPr="00B00FCA">
              <w:rPr>
                <w:sz w:val="18"/>
                <w:szCs w:val="18"/>
              </w:rPr>
              <w:t>High (≈75%, estimated)</w:t>
            </w:r>
          </w:p>
        </w:tc>
      </w:tr>
      <w:tr w:rsidR="00C924A3" w:rsidRPr="00B00FCA" w14:paraId="215E23FB" w14:textId="77777777">
        <w:tc>
          <w:tcPr>
            <w:tcW w:w="1675" w:type="dxa"/>
          </w:tcPr>
          <w:p w14:paraId="37898A7C" w14:textId="77777777" w:rsidR="00C924A3" w:rsidRPr="00B00FCA" w:rsidRDefault="00000000" w:rsidP="00406EBF">
            <w:pPr>
              <w:pStyle w:val="Compact"/>
              <w:spacing w:line="276" w:lineRule="auto"/>
              <w:jc w:val="both"/>
              <w:rPr>
                <w:sz w:val="18"/>
                <w:szCs w:val="18"/>
              </w:rPr>
            </w:pPr>
            <w:r w:rsidRPr="00B00FCA">
              <w:rPr>
                <w:b/>
                <w:bCs/>
                <w:sz w:val="18"/>
                <w:szCs w:val="18"/>
              </w:rPr>
              <w:t>Gatekeeping Mechanism</w:t>
            </w:r>
          </w:p>
        </w:tc>
        <w:tc>
          <w:tcPr>
            <w:tcW w:w="2284" w:type="dxa"/>
          </w:tcPr>
          <w:p w14:paraId="32928F63" w14:textId="77777777" w:rsidR="00C924A3" w:rsidRPr="00B00FCA" w:rsidRDefault="00000000" w:rsidP="00406EBF">
            <w:pPr>
              <w:pStyle w:val="Compact"/>
              <w:spacing w:line="276" w:lineRule="auto"/>
              <w:jc w:val="both"/>
              <w:rPr>
                <w:sz w:val="18"/>
                <w:szCs w:val="18"/>
              </w:rPr>
            </w:pPr>
            <w:r w:rsidRPr="00B00FCA">
              <w:rPr>
                <w:sz w:val="18"/>
                <w:szCs w:val="18"/>
              </w:rPr>
              <w:t>Preferential citation of orthodox work in legal philosophy venues</w:t>
            </w:r>
          </w:p>
        </w:tc>
        <w:tc>
          <w:tcPr>
            <w:tcW w:w="1827" w:type="dxa"/>
          </w:tcPr>
          <w:p w14:paraId="3B93A8B9" w14:textId="77777777" w:rsidR="00C924A3" w:rsidRPr="00B00FCA" w:rsidRDefault="00000000" w:rsidP="00406EBF">
            <w:pPr>
              <w:pStyle w:val="Compact"/>
              <w:spacing w:line="276" w:lineRule="auto"/>
              <w:jc w:val="both"/>
              <w:rPr>
                <w:sz w:val="18"/>
                <w:szCs w:val="18"/>
              </w:rPr>
            </w:pPr>
            <w:r w:rsidRPr="00B00FCA">
              <w:rPr>
                <w:sz w:val="18"/>
                <w:szCs w:val="18"/>
              </w:rPr>
              <w:t>Systematic exclusion of comparative criminology from major journals</w:t>
            </w:r>
          </w:p>
        </w:tc>
        <w:tc>
          <w:tcPr>
            <w:tcW w:w="2132" w:type="dxa"/>
          </w:tcPr>
          <w:p w14:paraId="2ABCA04B" w14:textId="77777777" w:rsidR="00C924A3" w:rsidRPr="00B00FCA" w:rsidRDefault="00000000" w:rsidP="00406EBF">
            <w:pPr>
              <w:pStyle w:val="Compact"/>
              <w:spacing w:line="276" w:lineRule="auto"/>
              <w:jc w:val="both"/>
              <w:rPr>
                <w:sz w:val="18"/>
                <w:szCs w:val="18"/>
              </w:rPr>
            </w:pPr>
            <w:r w:rsidRPr="00B00FCA">
              <w:rPr>
                <w:sz w:val="18"/>
                <w:szCs w:val="18"/>
              </w:rPr>
              <w:t>Conference exclusions, social media shaming, coalition expulsion</w:t>
            </w:r>
          </w:p>
        </w:tc>
      </w:tr>
    </w:tbl>
    <w:p w14:paraId="46BF9107" w14:textId="0B00ECCE" w:rsidR="00C924A3" w:rsidRDefault="00000000" w:rsidP="007A2EDC">
      <w:pPr>
        <w:pStyle w:val="Textoindependiente"/>
        <w:spacing w:line="276" w:lineRule="auto"/>
        <w:jc w:val="both"/>
      </w:pPr>
      <w:r>
        <w:rPr>
          <w:b/>
          <w:bCs/>
        </w:rPr>
        <w:t>Pattern Identified:</w:t>
      </w:r>
      <w:r>
        <w:t xml:space="preserve"> Despite ideological opposition (retributivism vs. abolitionism are political adversaries), </w:t>
      </w:r>
      <w:r>
        <w:rPr>
          <w:b/>
          <w:bCs/>
        </w:rPr>
        <w:t>the structural mechanisms are identical.</w:t>
      </w:r>
      <w:r>
        <w:t xml:space="preserve"> This is the puzzle the clergy framework explains. These are not conscious conspiracies; they are convergent </w:t>
      </w:r>
      <w:r>
        <w:lastRenderedPageBreak/>
        <w:t>evolution. Each memeplex independently evolved the same architectural features because those features enhance memetic fitness by blocking epistemic competition.</w:t>
      </w:r>
    </w:p>
    <w:p w14:paraId="3E2B9B53" w14:textId="77777777" w:rsidR="00C924A3" w:rsidRDefault="00000000" w:rsidP="00406EBF">
      <w:pPr>
        <w:pStyle w:val="Ttulo3"/>
        <w:spacing w:line="276" w:lineRule="auto"/>
        <w:jc w:val="both"/>
      </w:pPr>
      <w:bookmarkStart w:id="24" w:name="X07c351adc0748b049f619df8101d1a1db0fe12e"/>
      <w:bookmarkEnd w:id="23"/>
      <w:r>
        <w:t>2.5 Diagnostic Patterns: Operationalizing “Epistemological Clergy”</w:t>
      </w:r>
    </w:p>
    <w:p w14:paraId="29F29A91" w14:textId="77777777" w:rsidR="00C924A3" w:rsidRDefault="00000000" w:rsidP="00406EBF">
      <w:pPr>
        <w:pStyle w:val="FirstParagraph"/>
        <w:spacing w:line="276" w:lineRule="auto"/>
        <w:jc w:val="both"/>
      </w:pPr>
      <w:r>
        <w:t>To move from qualitative description to systematic diagnosis, I propose operational criteria for identifying epistemological clergy. A legal doctrine exhibits clergy characteristics when it meets the following conditions:</w:t>
      </w:r>
    </w:p>
    <w:p w14:paraId="5B20773A" w14:textId="77777777" w:rsidR="00C924A3" w:rsidRDefault="00000000" w:rsidP="00406EBF">
      <w:pPr>
        <w:pStyle w:val="Textoindependiente"/>
        <w:spacing w:line="276" w:lineRule="auto"/>
        <w:jc w:val="both"/>
      </w:pPr>
      <w:r>
        <w:rPr>
          <w:b/>
          <w:bCs/>
        </w:rPr>
        <w:t>Criterion 1: Sacralization (Conceptual Immunity)</w:t>
      </w:r>
      <w:r>
        <w:t xml:space="preserve"> - Core propositions are immune to empirical refutation - Questioning is reframed as moral transgression rather than epistemic challenge - Test: Can empirical evidence in principle falsify the doctrine? If not, sacralization is present.</w:t>
      </w:r>
    </w:p>
    <w:p w14:paraId="078AE203" w14:textId="77777777" w:rsidR="00C924A3" w:rsidRDefault="00000000" w:rsidP="00406EBF">
      <w:pPr>
        <w:pStyle w:val="Textoindependiente"/>
        <w:spacing w:line="276" w:lineRule="auto"/>
        <w:jc w:val="both"/>
      </w:pPr>
      <w:r>
        <w:rPr>
          <w:b/>
          <w:bCs/>
        </w:rPr>
        <w:t>Criterion 2: Costly Signaling (Membership Filtering)</w:t>
      </w:r>
      <w:r>
        <w:t xml:space="preserve"> - Adherence to doctrine despite empirical problems signals commitment - Defense of indefensible positions functions as credibility marker - Test: Do scholars persist in defending doctrine as empirical challenges accumulate? If yes, costly signaling is operating.</w:t>
      </w:r>
    </w:p>
    <w:p w14:paraId="760D3CD1" w14:textId="77777777" w:rsidR="00C924A3" w:rsidRDefault="00000000" w:rsidP="00406EBF">
      <w:pPr>
        <w:pStyle w:val="Textoindependiente"/>
        <w:spacing w:line="276" w:lineRule="auto"/>
        <w:jc w:val="both"/>
      </w:pPr>
      <w:r>
        <w:rPr>
          <w:b/>
          <w:bCs/>
        </w:rPr>
        <w:t>Criterion 3: Clergy Gatekeeping (Institutional Control)</w:t>
      </w:r>
      <w:r>
        <w:t xml:space="preserve"> - Specialized institutions control access to academic legitimacy - Peer review systematically favors orthodox positions - Test: Do citation rates, conference invitations, and journal acceptances exhibit systematic bias toward orthodoxy? If yes, clergy mechanisms are present.</w:t>
      </w:r>
    </w:p>
    <w:p w14:paraId="74E312D0" w14:textId="77777777" w:rsidR="00C924A3" w:rsidRDefault="00000000" w:rsidP="00406EBF">
      <w:pPr>
        <w:pStyle w:val="Textoindependiente"/>
        <w:spacing w:line="276" w:lineRule="auto"/>
        <w:jc w:val="both"/>
      </w:pPr>
      <w:r>
        <w:rPr>
          <w:b/>
          <w:bCs/>
        </w:rPr>
        <w:t>Criterion 4: Generational Transmission (Memetic Stability)</w:t>
      </w:r>
      <w:r>
        <w:t xml:space="preserve"> - Doctrine persists across cohorts despite accumulating anomalies - New scholars are socialized into orthodoxy through training programs - Test: Does heterodoxy increase over time as evidence accumulates, or does orthodoxy persist? If orthodoxy persists, generational transmission is functioning.</w:t>
      </w:r>
    </w:p>
    <w:p w14:paraId="46559D30" w14:textId="77777777" w:rsidR="00C924A3" w:rsidRDefault="00000000" w:rsidP="00406EBF">
      <w:pPr>
        <w:pStyle w:val="Textoindependiente"/>
        <w:spacing w:line="276" w:lineRule="auto"/>
        <w:jc w:val="both"/>
      </w:pPr>
      <w:r>
        <w:rPr>
          <w:b/>
          <w:bCs/>
        </w:rPr>
        <w:t>Criterion 5: Impossible Debate (Epistemic Closure)</w:t>
      </w:r>
      <w:r>
        <w:t xml:space="preserve"> - Empirical arguments are converted into moral accusations - Clarifications fail to reduce hostility - Test: Can productive debate occur between orthodox and heterodox positions? If not, epistemic closure is complete.</w:t>
      </w:r>
    </w:p>
    <w:p w14:paraId="7D592B7F" w14:textId="1B0EF206" w:rsidR="00C924A3" w:rsidRDefault="00000000" w:rsidP="007A2EDC">
      <w:pPr>
        <w:pStyle w:val="Textoindependiente"/>
        <w:spacing w:line="276" w:lineRule="auto"/>
        <w:jc w:val="both"/>
      </w:pPr>
      <w:r>
        <w:t>Applying these criteria systematically allows us to distinguish genuine epistemological clergies from normal academic disagreements. In normal disagreements, empirical evidence shifts positions over time, heterodox views gain traction as evidence accumulates, and debate remains epistemically open. In clergy-dominated domains, none of these conditions obtain.</w:t>
      </w:r>
    </w:p>
    <w:p w14:paraId="60E68FCF" w14:textId="77777777" w:rsidR="00C924A3" w:rsidRDefault="00000000" w:rsidP="00406EBF">
      <w:pPr>
        <w:pStyle w:val="Ttulo2"/>
        <w:spacing w:line="276" w:lineRule="auto"/>
        <w:jc w:val="both"/>
      </w:pPr>
      <w:bookmarkStart w:id="25" w:name="iii.-labor-law-the-case-of-ultraactivity"/>
      <w:bookmarkEnd w:id="7"/>
      <w:bookmarkEnd w:id="24"/>
      <w:r>
        <w:lastRenderedPageBreak/>
        <w:t>III. LABOR LAW: THE CASE OF ULTRAACTIVITY</w:t>
      </w:r>
    </w:p>
    <w:p w14:paraId="0827EEF7" w14:textId="77777777" w:rsidR="00C924A3" w:rsidRDefault="00000000" w:rsidP="00406EBF">
      <w:pPr>
        <w:pStyle w:val="FirstParagraph"/>
        <w:spacing w:line="276" w:lineRule="auto"/>
        <w:jc w:val="both"/>
      </w:pPr>
      <w:r>
        <w:t>Having established the general clergy framework, I now apply it to a specific case: Argentina’s defense of labor ultraactivity. This section illustrates how the impossibility of debate operates in practice.</w:t>
      </w:r>
    </w:p>
    <w:p w14:paraId="7F072962" w14:textId="77777777" w:rsidR="00C924A3" w:rsidRDefault="00000000" w:rsidP="00406EBF">
      <w:pPr>
        <w:pStyle w:val="Ttulo3"/>
        <w:spacing w:line="276" w:lineRule="auto"/>
        <w:jc w:val="both"/>
      </w:pPr>
      <w:bookmarkStart w:id="26" w:name="X30169431ea1556fd219706a98bed376956c8055"/>
      <w:r>
        <w:t>3.1 The Sacralized Concept: Ultraactivity as “Inalienable Right”</w:t>
      </w:r>
    </w:p>
    <w:p w14:paraId="50CB8285" w14:textId="77777777" w:rsidR="00C924A3" w:rsidRDefault="00000000" w:rsidP="00406EBF">
      <w:pPr>
        <w:pStyle w:val="FirstParagraph"/>
        <w:spacing w:line="276" w:lineRule="auto"/>
        <w:jc w:val="both"/>
      </w:pPr>
      <w:r>
        <w:t>Ultraactivity (ultractividad) is the legal doctrine that collective bargaining agreements continue to govern employment relationships even after their expiration date, until replaced by a new agreement. Argentina’s Labor Contract Law (Ley 20.744, Article 7) enshrines ultraactivity as a fundamental principle: expired agreements remain “frozen” indefinitely, with employers obligated to maintain all benefits and conditions until unions consent to new terms.</w:t>
      </w:r>
    </w:p>
    <w:p w14:paraId="2A5B1424" w14:textId="77777777" w:rsidR="00C924A3" w:rsidRDefault="00000000" w:rsidP="00406EBF">
      <w:pPr>
        <w:pStyle w:val="Textoindependiente"/>
        <w:spacing w:line="276" w:lineRule="auto"/>
        <w:jc w:val="both"/>
      </w:pPr>
      <w:r>
        <w:t>The doctrine is defended as an “inalienable worker right” that protects against employer exploitation during negotiation impasses. Yet Uruguay eliminated ultraactivity in 1991 (Ley 16.320) and subsequently achieved superior worker welfare outcomes: real wages increased 42% (1991-2020) vs. Argentina’s stagnation, informal employment fell from 37% to 24% vs. Argentina’s rise to 45%, and unionization rates remained stable at 18-20% vs. Argentina’s decline to 17%.</w:t>
      </w:r>
      <w:r>
        <w:rPr>
          <w:rStyle w:val="Refdenotaalpie"/>
        </w:rPr>
        <w:footnoteReference w:id="17"/>
      </w:r>
      <w:r>
        <w:t xml:space="preserve"> These patterns suggest ultraactivity may be counterproductive, functioning as a bargaining rigidity that harms workers by incentivizing informality and wage stagnation.</w:t>
      </w:r>
    </w:p>
    <w:p w14:paraId="0DBC0C0B" w14:textId="74ACAF5D" w:rsidR="00C924A3" w:rsidRDefault="00000000" w:rsidP="00F84CA3">
      <w:pPr>
        <w:pStyle w:val="Textoindependiente"/>
        <w:spacing w:line="276" w:lineRule="auto"/>
        <w:jc w:val="both"/>
      </w:pPr>
      <w:r>
        <w:t>Yet the doctrine has become sacralized within Argentine labor law. Proposing its elimination triggers immediate moral accusations: “You want to precarize work.” “You’re serving capital.” “Labor rights are inalienable.” The empirical question (“Does ultraactivity improve worker welfare?”) is systematically converted into a moral boundary (“Questioning ultraactivity is attacking workers”). This sacralization makes rational debate impossible.</w:t>
      </w:r>
    </w:p>
    <w:p w14:paraId="0226B70D" w14:textId="77777777" w:rsidR="00C924A3" w:rsidRDefault="00000000" w:rsidP="00406EBF">
      <w:pPr>
        <w:pStyle w:val="Ttulo3"/>
        <w:spacing w:line="276" w:lineRule="auto"/>
        <w:jc w:val="both"/>
      </w:pPr>
      <w:bookmarkStart w:id="27" w:name="X30e9210b4fd4ce40c4180d3d75c1728ad571356"/>
      <w:bookmarkEnd w:id="26"/>
      <w:r>
        <w:t>3.2 The Impossibility of Debate: Phenomenology</w:t>
      </w:r>
    </w:p>
    <w:p w14:paraId="224928EB" w14:textId="77777777" w:rsidR="00C924A3" w:rsidRDefault="00000000" w:rsidP="00406EBF">
      <w:pPr>
        <w:pStyle w:val="FirstParagraph"/>
        <w:spacing w:line="276" w:lineRule="auto"/>
        <w:jc w:val="both"/>
      </w:pPr>
      <w:r>
        <w:t>Consider the following exchange, representative of countless similar interactions the author has experienced at Argentine labor law conferences:</w:t>
      </w:r>
    </w:p>
    <w:p w14:paraId="6BB385E1" w14:textId="77777777" w:rsidR="00C924A3" w:rsidRDefault="00000000" w:rsidP="00406EBF">
      <w:pPr>
        <w:pStyle w:val="Textoindependiente"/>
        <w:spacing w:line="276" w:lineRule="auto"/>
        <w:jc w:val="both"/>
      </w:pPr>
      <w:r>
        <w:rPr>
          <w:b/>
          <w:bCs/>
        </w:rPr>
        <w:lastRenderedPageBreak/>
        <w:t>Researcher:</w:t>
      </w:r>
      <w:r>
        <w:t xml:space="preserve"> “Uruguay eliminated ultraactivity in 1991. Since then, Uruguayan workers experienced 42% real wage growth, reduced informality from 37% to 24%, and maintained stable unionization. Argentina kept ultraactivity but saw wage stagnation, informality rising to 45%, and weakened de facto bargaining power. These patterns suggest ultraactivity might be counterproductive.”</w:t>
      </w:r>
    </w:p>
    <w:p w14:paraId="6123F6A8" w14:textId="77777777" w:rsidR="00C924A3" w:rsidRDefault="00000000" w:rsidP="00406EBF">
      <w:pPr>
        <w:pStyle w:val="Textoindependiente"/>
        <w:spacing w:line="276" w:lineRule="auto"/>
        <w:jc w:val="both"/>
      </w:pPr>
      <w:r>
        <w:rPr>
          <w:b/>
          <w:bCs/>
        </w:rPr>
        <w:t>Response:</w:t>
      </w:r>
      <w:r>
        <w:t xml:space="preserve"> “Your discourse serves capital. You’re proposing to precarize work and destroy historic achievements. Labor rights are inalienable.”</w:t>
      </w:r>
    </w:p>
    <w:p w14:paraId="3BBA76DB" w14:textId="77777777" w:rsidR="00C924A3" w:rsidRDefault="00000000" w:rsidP="00406EBF">
      <w:pPr>
        <w:pStyle w:val="Textoindependiente"/>
        <w:spacing w:line="276" w:lineRule="auto"/>
        <w:jc w:val="both"/>
      </w:pPr>
      <w:r>
        <w:rPr>
          <w:b/>
          <w:bCs/>
        </w:rPr>
        <w:t>Researcher:</w:t>
      </w:r>
      <w:r>
        <w:t xml:space="preserve"> “I’m not proposing precarization. The Uruguayan evidence shows workers are objectively better off without ultraactivity. How do I explain this pattern if ultraactivity is necessary for worker protection?”</w:t>
      </w:r>
    </w:p>
    <w:p w14:paraId="7B6E71A4" w14:textId="77777777" w:rsidR="00C924A3" w:rsidRDefault="00000000" w:rsidP="00406EBF">
      <w:pPr>
        <w:pStyle w:val="Textoindependiente"/>
        <w:spacing w:line="276" w:lineRule="auto"/>
        <w:jc w:val="both"/>
      </w:pPr>
      <w:r>
        <w:rPr>
          <w:b/>
          <w:bCs/>
        </w:rPr>
        <w:t>Response:</w:t>
      </w:r>
      <w:r>
        <w:t xml:space="preserve"> “You’re using neoliberal efficiency logic. The protective principle doesn’t depend on ‘outcomes’; it’s an ethical imperative.”</w:t>
      </w:r>
    </w:p>
    <w:p w14:paraId="570AA8B9" w14:textId="77777777" w:rsidR="00C924A3" w:rsidRDefault="00000000" w:rsidP="00406EBF">
      <w:pPr>
        <w:pStyle w:val="Textoindependiente"/>
        <w:spacing w:line="276" w:lineRule="auto"/>
        <w:jc w:val="both"/>
      </w:pPr>
      <w:r>
        <w:rPr>
          <w:b/>
          <w:bCs/>
        </w:rPr>
        <w:t>Researcher:</w:t>
      </w:r>
      <w:r>
        <w:t xml:space="preserve"> “But if the actual outcomes harm workers, shouldn’t I question whether the policy achieves its stated goal of protection?”</w:t>
      </w:r>
    </w:p>
    <w:p w14:paraId="4EF79CB2" w14:textId="77777777" w:rsidR="00C924A3" w:rsidRDefault="00000000" w:rsidP="00406EBF">
      <w:pPr>
        <w:pStyle w:val="Textoindependiente"/>
        <w:spacing w:line="276" w:lineRule="auto"/>
        <w:jc w:val="both"/>
      </w:pPr>
      <w:r>
        <w:rPr>
          <w:b/>
          <w:bCs/>
        </w:rPr>
        <w:t>Response:</w:t>
      </w:r>
      <w:r>
        <w:t xml:space="preserve"> “You clearly don’t understand labor law. Your categories are borrowed from employers. I won’t continue debating with someone who seeks to dismantle workers’ rights.”</w:t>
      </w:r>
    </w:p>
    <w:p w14:paraId="0C432A31" w14:textId="77777777" w:rsidR="00C924A3" w:rsidRDefault="00000000" w:rsidP="00406EBF">
      <w:pPr>
        <w:pStyle w:val="Textoindependiente"/>
        <w:spacing w:line="276" w:lineRule="auto"/>
        <w:jc w:val="both"/>
      </w:pPr>
      <w:r>
        <w:t>This exchange exhibits all five diagnostic criteria for epistemological clergy:</w:t>
      </w:r>
    </w:p>
    <w:p w14:paraId="07B63EE5" w14:textId="77777777" w:rsidR="00C924A3" w:rsidRDefault="00000000" w:rsidP="00406EBF">
      <w:pPr>
        <w:pStyle w:val="Compact"/>
        <w:numPr>
          <w:ilvl w:val="0"/>
          <w:numId w:val="8"/>
        </w:numPr>
        <w:spacing w:line="276" w:lineRule="auto"/>
        <w:jc w:val="both"/>
      </w:pPr>
      <w:r>
        <w:rPr>
          <w:b/>
          <w:bCs/>
        </w:rPr>
        <w:t>Sacralization:</w:t>
      </w:r>
      <w:r>
        <w:t xml:space="preserve"> The empirical proposition (ultraactivity improves worker welfare) is immune to evidence</w:t>
      </w:r>
    </w:p>
    <w:p w14:paraId="7597874B" w14:textId="77777777" w:rsidR="00C924A3" w:rsidRDefault="00000000" w:rsidP="00406EBF">
      <w:pPr>
        <w:pStyle w:val="Compact"/>
        <w:numPr>
          <w:ilvl w:val="0"/>
          <w:numId w:val="8"/>
        </w:numPr>
        <w:spacing w:line="276" w:lineRule="auto"/>
        <w:jc w:val="both"/>
      </w:pPr>
      <w:r>
        <w:rPr>
          <w:b/>
          <w:bCs/>
        </w:rPr>
        <w:t>Costly signaling:</w:t>
      </w:r>
      <w:r>
        <w:t xml:space="preserve"> Defending ultraactivity despite evidence signals commitment to labor orthodoxy</w:t>
      </w:r>
    </w:p>
    <w:p w14:paraId="512E399D" w14:textId="77777777" w:rsidR="00C924A3" w:rsidRDefault="00000000" w:rsidP="00406EBF">
      <w:pPr>
        <w:pStyle w:val="Compact"/>
        <w:numPr>
          <w:ilvl w:val="0"/>
          <w:numId w:val="8"/>
        </w:numPr>
        <w:spacing w:line="276" w:lineRule="auto"/>
        <w:jc w:val="both"/>
      </w:pPr>
      <w:r>
        <w:rPr>
          <w:b/>
          <w:bCs/>
        </w:rPr>
        <w:t>Clergy gatekeeping:</w:t>
      </w:r>
      <w:r>
        <w:t xml:space="preserve"> The response invokes doctrinal authority (“you don’t understand labor law”)</w:t>
      </w:r>
    </w:p>
    <w:p w14:paraId="75650F21" w14:textId="77777777" w:rsidR="00C924A3" w:rsidRDefault="00000000" w:rsidP="00406EBF">
      <w:pPr>
        <w:pStyle w:val="Compact"/>
        <w:numPr>
          <w:ilvl w:val="0"/>
          <w:numId w:val="8"/>
        </w:numPr>
        <w:spacing w:line="276" w:lineRule="auto"/>
        <w:jc w:val="both"/>
      </w:pPr>
      <w:r>
        <w:rPr>
          <w:b/>
          <w:bCs/>
        </w:rPr>
        <w:t>Generational transmission:</w:t>
      </w:r>
      <w:r>
        <w:t xml:space="preserve"> The discourse mirrors arguments used for decades, unchanged despite new evidence</w:t>
      </w:r>
    </w:p>
    <w:p w14:paraId="10B7DF98" w14:textId="31859C0C" w:rsidR="00C924A3" w:rsidRDefault="00000000" w:rsidP="00406EBF">
      <w:pPr>
        <w:pStyle w:val="Compact"/>
        <w:numPr>
          <w:ilvl w:val="0"/>
          <w:numId w:val="8"/>
        </w:numPr>
        <w:spacing w:line="276" w:lineRule="auto"/>
        <w:jc w:val="both"/>
      </w:pPr>
      <w:r>
        <w:rPr>
          <w:b/>
          <w:bCs/>
        </w:rPr>
        <w:t>Impossible debate:</w:t>
      </w:r>
      <w:r>
        <w:t xml:space="preserve"> Clarifications fail; the exchange terminates in moral accusation</w:t>
      </w:r>
    </w:p>
    <w:p w14:paraId="790976B9" w14:textId="77777777" w:rsidR="00C924A3" w:rsidRDefault="00000000" w:rsidP="00406EBF">
      <w:pPr>
        <w:pStyle w:val="Ttulo3"/>
        <w:spacing w:line="276" w:lineRule="auto"/>
        <w:jc w:val="both"/>
      </w:pPr>
      <w:bookmarkStart w:id="28" w:name="dennettian-analysis-of-the-exchange"/>
      <w:bookmarkEnd w:id="27"/>
      <w:r>
        <w:t>3.3 Dennettian Analysis of the Exchange</w:t>
      </w:r>
    </w:p>
    <w:p w14:paraId="7B1C935C" w14:textId="77777777" w:rsidR="00C924A3" w:rsidRDefault="00000000" w:rsidP="00406EBF">
      <w:pPr>
        <w:pStyle w:val="FirstParagraph"/>
        <w:spacing w:line="276" w:lineRule="auto"/>
        <w:jc w:val="both"/>
      </w:pPr>
      <w:r>
        <w:t>The exchange reveals three specific Dennettian mechanisms:</w:t>
      </w:r>
    </w:p>
    <w:p w14:paraId="124E2FE1" w14:textId="77777777" w:rsidR="00C924A3" w:rsidRDefault="00000000" w:rsidP="00406EBF">
      <w:pPr>
        <w:pStyle w:val="Textoindependiente"/>
        <w:spacing w:line="276" w:lineRule="auto"/>
        <w:jc w:val="both"/>
      </w:pPr>
      <w:r>
        <w:rPr>
          <w:b/>
          <w:bCs/>
        </w:rPr>
        <w:t>Mechanism 1: Reframing Empirical as Moral</w:t>
      </w:r>
    </w:p>
    <w:p w14:paraId="5C8F7D2A" w14:textId="77777777" w:rsidR="00C924A3" w:rsidRDefault="00000000" w:rsidP="00406EBF">
      <w:pPr>
        <w:pStyle w:val="Textoindependiente"/>
        <w:spacing w:line="276" w:lineRule="auto"/>
        <w:jc w:val="both"/>
      </w:pPr>
      <w:r>
        <w:lastRenderedPageBreak/>
        <w:t>The researcher’s proposition is empirical: “Eliminating ultraactivity correlates with better worker outcomes.” This is a testable claim about the world. Yet the response reframes it as moral: “You want to precarize work.” The empirical debate is foreclosed by converting it into a question of moral standing. This is the sacralization mechanism in operation: certain propositions cannot be questioned without moral transgression.</w:t>
      </w:r>
    </w:p>
    <w:p w14:paraId="07C19777" w14:textId="77777777" w:rsidR="00C924A3" w:rsidRDefault="00000000" w:rsidP="00406EBF">
      <w:pPr>
        <w:pStyle w:val="Textoindependiente"/>
        <w:spacing w:line="276" w:lineRule="auto"/>
        <w:jc w:val="both"/>
      </w:pPr>
      <w:r>
        <w:rPr>
          <w:b/>
          <w:bCs/>
        </w:rPr>
        <w:t>Mechanism 2: Rejecting Evidence Without Evaluation</w:t>
      </w:r>
    </w:p>
    <w:p w14:paraId="28DC7697" w14:textId="77777777" w:rsidR="00C924A3" w:rsidRDefault="00000000" w:rsidP="00406EBF">
      <w:pPr>
        <w:pStyle w:val="Textoindependiente"/>
        <w:spacing w:line="276" w:lineRule="auto"/>
        <w:jc w:val="both"/>
      </w:pPr>
      <w:r>
        <w:t>The researcher presents specific data (42% wage growth, 37%→24% informality reduction). The response does not address this data. It does not claim the data are false, nor does it propose alternative explanations. It simply declares the data “irrelevant” because they employ “neoliberal efficiency logic.” This is categorical rejection: evidence is not evaluated but is disqualified a priori based on its source or framing.</w:t>
      </w:r>
    </w:p>
    <w:p w14:paraId="2CBE47D6" w14:textId="77777777" w:rsidR="00C924A3" w:rsidRDefault="00000000" w:rsidP="00406EBF">
      <w:pPr>
        <w:pStyle w:val="Textoindependiente"/>
        <w:spacing w:line="276" w:lineRule="auto"/>
        <w:jc w:val="both"/>
      </w:pPr>
      <w:r>
        <w:rPr>
          <w:b/>
          <w:bCs/>
        </w:rPr>
        <w:t>Mechanism 3: Escalating to Excommunication</w:t>
      </w:r>
    </w:p>
    <w:p w14:paraId="39AE893C" w14:textId="04359630" w:rsidR="00C924A3" w:rsidRDefault="00000000" w:rsidP="00F84CA3">
      <w:pPr>
        <w:pStyle w:val="Textoindependiente"/>
        <w:spacing w:line="276" w:lineRule="auto"/>
        <w:jc w:val="both"/>
      </w:pPr>
      <w:r>
        <w:t>The exchange does not terminate in epistemic disagreement (“your evidence is insufficient” or “here is counterevidence”). It terminates in moral judgment: “I won’t continue debating with someone who seeks to dismantle workers’ rights.” This is the excommunication mechanism: heterodoxy is not debated but is expelled. The researcher is cast out not for being wrong but for transgressing boundaries.</w:t>
      </w:r>
    </w:p>
    <w:p w14:paraId="77D38974" w14:textId="77777777" w:rsidR="00C924A3" w:rsidRDefault="00000000" w:rsidP="00406EBF">
      <w:pPr>
        <w:pStyle w:val="Ttulo3"/>
        <w:spacing w:line="276" w:lineRule="auto"/>
        <w:jc w:val="both"/>
      </w:pPr>
      <w:bookmarkStart w:id="29" w:name="dennettian-mechanisms-in-action"/>
      <w:bookmarkEnd w:id="28"/>
      <w:r>
        <w:t>3.4 Dennettian Mechanisms in Action</w:t>
      </w:r>
    </w:p>
    <w:p w14:paraId="094D0BFF" w14:textId="77777777" w:rsidR="00C924A3" w:rsidRDefault="00000000" w:rsidP="00406EBF">
      <w:pPr>
        <w:pStyle w:val="FirstParagraph"/>
        <w:spacing w:line="276" w:lineRule="auto"/>
        <w:jc w:val="both"/>
      </w:pPr>
      <w:r>
        <w:t>The ultraactivity case illustrates how Dennett’s three mechanisms reinforce each other:</w:t>
      </w:r>
    </w:p>
    <w:p w14:paraId="6BD1FBD8" w14:textId="77777777" w:rsidR="00C924A3" w:rsidRDefault="00000000" w:rsidP="00406EBF">
      <w:pPr>
        <w:pStyle w:val="Textoindependiente"/>
        <w:spacing w:line="276" w:lineRule="auto"/>
        <w:jc w:val="both"/>
      </w:pPr>
      <w:r>
        <w:rPr>
          <w:b/>
          <w:bCs/>
        </w:rPr>
        <w:t>Sacralization → Immunity to Evidence:</w:t>
      </w:r>
      <w:r>
        <w:t xml:space="preserve"> Once ultraactivity is defined as an “inalienable right,” empirical investigation becomes impermissible. The question “Does ultraactivity work?” is reframed as “Should one violate inalienable rights?” This transformation makes evidence irrelevant.</w:t>
      </w:r>
    </w:p>
    <w:p w14:paraId="71B76EDF" w14:textId="77777777" w:rsidR="00C924A3" w:rsidRDefault="00000000" w:rsidP="00406EBF">
      <w:pPr>
        <w:pStyle w:val="Textoindependiente"/>
        <w:spacing w:line="276" w:lineRule="auto"/>
        <w:jc w:val="both"/>
      </w:pPr>
      <w:r>
        <w:rPr>
          <w:b/>
          <w:bCs/>
        </w:rPr>
        <w:t>Costly Signaling → Filter for True Believers:</w:t>
      </w:r>
      <w:r>
        <w:t xml:space="preserve"> Defending ultraactivity despite Uruguayan counterevidence requires ignoring manifest empirical patterns. This costliness serves a function: it filters out pragmatists who might compromise. Only deeply socialized members persist in defending the doctrine, ensuring the community consists of true believers.</w:t>
      </w:r>
    </w:p>
    <w:p w14:paraId="25256650" w14:textId="77777777" w:rsidR="00C924A3" w:rsidRDefault="00000000" w:rsidP="00406EBF">
      <w:pPr>
        <w:pStyle w:val="Textoindependiente"/>
        <w:spacing w:line="276" w:lineRule="auto"/>
        <w:jc w:val="both"/>
      </w:pPr>
      <w:r>
        <w:rPr>
          <w:b/>
          <w:bCs/>
        </w:rPr>
        <w:t>Clergy Gatekeeping → Generational Lock-in:</w:t>
      </w:r>
      <w:r>
        <w:t xml:space="preserve"> Argentine labor law institutions (university chairs, specialized journals, union-affiliated training programs) are controlled by scholars committed to ultraactivity. Heterodox scholars face systematic </w:t>
      </w:r>
      <w:r>
        <w:lastRenderedPageBreak/>
        <w:t>barriers: papers rejected, conference invitations denied, academic positions unavailable. This ensures each new cohort is socialized into orthodoxy.</w:t>
      </w:r>
    </w:p>
    <w:p w14:paraId="7EB37C7D" w14:textId="485664EB" w:rsidR="00C924A3" w:rsidRDefault="00000000" w:rsidP="00F84CA3">
      <w:pPr>
        <w:pStyle w:val="Textoindependiente"/>
        <w:spacing w:line="276" w:lineRule="auto"/>
        <w:jc w:val="both"/>
      </w:pPr>
      <w:r>
        <w:t>The result is a self-reinforcing system. Sacralization makes evidence irrelevant, costly signaling filters membership, and clergy institutions police boundaries. The doctrine persists not because it works (Uruguay demonstrates superior outcomes without it) but because the memeplex has evolved exceptional replicative machinery.</w:t>
      </w:r>
    </w:p>
    <w:p w14:paraId="46BBD15A" w14:textId="77777777" w:rsidR="00C924A3" w:rsidRDefault="00000000" w:rsidP="00406EBF">
      <w:pPr>
        <w:pStyle w:val="Ttulo3"/>
        <w:spacing w:line="276" w:lineRule="auto"/>
        <w:jc w:val="both"/>
      </w:pPr>
      <w:bookmarkStart w:id="30" w:name="the-uruguayan-natural-experiment"/>
      <w:bookmarkEnd w:id="29"/>
      <w:r>
        <w:t>3.5 The Uruguayan Natural Experiment</w:t>
      </w:r>
    </w:p>
    <w:p w14:paraId="2E5B52F9" w14:textId="77777777" w:rsidR="00C924A3" w:rsidRDefault="00000000" w:rsidP="00406EBF">
      <w:pPr>
        <w:pStyle w:val="FirstParagraph"/>
        <w:spacing w:line="276" w:lineRule="auto"/>
        <w:jc w:val="both"/>
      </w:pPr>
      <w:r>
        <w:t>Uruguay’s 1991 elimination of ultraactivity provides a natural experiment for testing the clergy hypothesis. If ultraactivity is truly necessary for worker protection, Uruguay should exhibit worse labor outcomes than Argentina. The evidence shows the opposite:</w:t>
      </w:r>
    </w:p>
    <w:p w14:paraId="008AD5CE" w14:textId="77777777" w:rsidR="00C924A3" w:rsidRDefault="00000000" w:rsidP="00406EBF">
      <w:pPr>
        <w:pStyle w:val="Textoindependiente"/>
        <w:spacing w:line="276" w:lineRule="auto"/>
        <w:jc w:val="both"/>
      </w:pPr>
      <w:r>
        <w:rPr>
          <w:b/>
          <w:bCs/>
        </w:rPr>
        <w:t>Table 2: Uruguay vs. Argentina Labor Outcomes (1991-2020)</w:t>
      </w:r>
    </w:p>
    <w:tbl>
      <w:tblPr>
        <w:tblStyle w:val="Table"/>
        <w:tblW w:w="5000" w:type="pct"/>
        <w:tblLayout w:type="fixed"/>
        <w:tblLook w:val="0020" w:firstRow="1" w:lastRow="0" w:firstColumn="0" w:lastColumn="0" w:noHBand="0" w:noVBand="0"/>
      </w:tblPr>
      <w:tblGrid>
        <w:gridCol w:w="1039"/>
        <w:gridCol w:w="3639"/>
        <w:gridCol w:w="4160"/>
      </w:tblGrid>
      <w:tr w:rsidR="00C924A3" w:rsidRPr="00F84CA3" w14:paraId="4191B9C7" w14:textId="77777777" w:rsidTr="00C924A3">
        <w:trPr>
          <w:cnfStyle w:val="100000000000" w:firstRow="1" w:lastRow="0" w:firstColumn="0" w:lastColumn="0" w:oddVBand="0" w:evenVBand="0" w:oddHBand="0" w:evenHBand="0" w:firstRowFirstColumn="0" w:firstRowLastColumn="0" w:lastRowFirstColumn="0" w:lastRowLastColumn="0"/>
          <w:tblHeader/>
        </w:trPr>
        <w:tc>
          <w:tcPr>
            <w:tcW w:w="931" w:type="dxa"/>
          </w:tcPr>
          <w:p w14:paraId="6938EDEA" w14:textId="77777777" w:rsidR="00C924A3" w:rsidRPr="00F84CA3" w:rsidRDefault="00000000" w:rsidP="00406EBF">
            <w:pPr>
              <w:pStyle w:val="Compact"/>
              <w:spacing w:line="276" w:lineRule="auto"/>
              <w:jc w:val="both"/>
              <w:rPr>
                <w:sz w:val="20"/>
                <w:szCs w:val="20"/>
              </w:rPr>
            </w:pPr>
            <w:r w:rsidRPr="00F84CA3">
              <w:rPr>
                <w:sz w:val="20"/>
                <w:szCs w:val="20"/>
              </w:rPr>
              <w:t>Metric</w:t>
            </w:r>
          </w:p>
        </w:tc>
        <w:tc>
          <w:tcPr>
            <w:tcW w:w="3261" w:type="dxa"/>
          </w:tcPr>
          <w:p w14:paraId="480C1F0C" w14:textId="77777777" w:rsidR="00C924A3" w:rsidRPr="00F84CA3" w:rsidRDefault="00000000" w:rsidP="00406EBF">
            <w:pPr>
              <w:pStyle w:val="Compact"/>
              <w:spacing w:line="276" w:lineRule="auto"/>
              <w:jc w:val="both"/>
              <w:rPr>
                <w:sz w:val="20"/>
                <w:szCs w:val="20"/>
              </w:rPr>
            </w:pPr>
            <w:r w:rsidRPr="00F84CA3">
              <w:rPr>
                <w:sz w:val="20"/>
                <w:szCs w:val="20"/>
              </w:rPr>
              <w:t>Uruguay (No Ultraactivity)</w:t>
            </w:r>
          </w:p>
        </w:tc>
        <w:tc>
          <w:tcPr>
            <w:tcW w:w="3727" w:type="dxa"/>
          </w:tcPr>
          <w:p w14:paraId="140FEA07" w14:textId="77777777" w:rsidR="00C924A3" w:rsidRPr="00F84CA3" w:rsidRDefault="00000000" w:rsidP="00406EBF">
            <w:pPr>
              <w:pStyle w:val="Compact"/>
              <w:spacing w:line="276" w:lineRule="auto"/>
              <w:jc w:val="both"/>
              <w:rPr>
                <w:sz w:val="20"/>
                <w:szCs w:val="20"/>
              </w:rPr>
            </w:pPr>
            <w:r w:rsidRPr="00F84CA3">
              <w:rPr>
                <w:sz w:val="20"/>
                <w:szCs w:val="20"/>
              </w:rPr>
              <w:t>Argentina (With Ultraactivity)</w:t>
            </w:r>
          </w:p>
        </w:tc>
      </w:tr>
      <w:tr w:rsidR="00C924A3" w:rsidRPr="00F84CA3" w14:paraId="2F672D31" w14:textId="77777777">
        <w:tc>
          <w:tcPr>
            <w:tcW w:w="931" w:type="dxa"/>
          </w:tcPr>
          <w:p w14:paraId="0E90D9B8" w14:textId="77777777" w:rsidR="00C924A3" w:rsidRPr="00F84CA3" w:rsidRDefault="00000000" w:rsidP="00406EBF">
            <w:pPr>
              <w:pStyle w:val="Compact"/>
              <w:spacing w:line="276" w:lineRule="auto"/>
              <w:jc w:val="both"/>
              <w:rPr>
                <w:sz w:val="20"/>
                <w:szCs w:val="20"/>
              </w:rPr>
            </w:pPr>
            <w:r w:rsidRPr="00F84CA3">
              <w:rPr>
                <w:sz w:val="20"/>
                <w:szCs w:val="20"/>
              </w:rPr>
              <w:t>Real Wage Change</w:t>
            </w:r>
          </w:p>
        </w:tc>
        <w:tc>
          <w:tcPr>
            <w:tcW w:w="3261" w:type="dxa"/>
          </w:tcPr>
          <w:p w14:paraId="65FD13D3" w14:textId="77777777" w:rsidR="00C924A3" w:rsidRPr="00F84CA3" w:rsidRDefault="00000000" w:rsidP="00406EBF">
            <w:pPr>
              <w:pStyle w:val="Compact"/>
              <w:spacing w:line="276" w:lineRule="auto"/>
              <w:jc w:val="both"/>
              <w:rPr>
                <w:sz w:val="20"/>
                <w:szCs w:val="20"/>
              </w:rPr>
            </w:pPr>
            <w:r w:rsidRPr="00F84CA3">
              <w:rPr>
                <w:sz w:val="20"/>
                <w:szCs w:val="20"/>
              </w:rPr>
              <w:t>+42%</w:t>
            </w:r>
          </w:p>
        </w:tc>
        <w:tc>
          <w:tcPr>
            <w:tcW w:w="3727" w:type="dxa"/>
          </w:tcPr>
          <w:p w14:paraId="38EE7765" w14:textId="77777777" w:rsidR="00C924A3" w:rsidRPr="00F84CA3" w:rsidRDefault="00000000" w:rsidP="00406EBF">
            <w:pPr>
              <w:pStyle w:val="Compact"/>
              <w:spacing w:line="276" w:lineRule="auto"/>
              <w:jc w:val="both"/>
              <w:rPr>
                <w:sz w:val="20"/>
                <w:szCs w:val="20"/>
              </w:rPr>
            </w:pPr>
            <w:r w:rsidRPr="00F84CA3">
              <w:rPr>
                <w:sz w:val="20"/>
                <w:szCs w:val="20"/>
              </w:rPr>
              <w:t>Stagnant (±3%)</w:t>
            </w:r>
          </w:p>
        </w:tc>
      </w:tr>
      <w:tr w:rsidR="00C924A3" w:rsidRPr="00F84CA3" w14:paraId="3D3C43CF" w14:textId="77777777">
        <w:tc>
          <w:tcPr>
            <w:tcW w:w="931" w:type="dxa"/>
          </w:tcPr>
          <w:p w14:paraId="243D7FED" w14:textId="77777777" w:rsidR="00C924A3" w:rsidRPr="00F84CA3" w:rsidRDefault="00000000" w:rsidP="00406EBF">
            <w:pPr>
              <w:pStyle w:val="Compact"/>
              <w:spacing w:line="276" w:lineRule="auto"/>
              <w:jc w:val="both"/>
              <w:rPr>
                <w:sz w:val="20"/>
                <w:szCs w:val="20"/>
              </w:rPr>
            </w:pPr>
            <w:r w:rsidRPr="00F84CA3">
              <w:rPr>
                <w:sz w:val="20"/>
                <w:szCs w:val="20"/>
              </w:rPr>
              <w:t>Informal Employment</w:t>
            </w:r>
          </w:p>
        </w:tc>
        <w:tc>
          <w:tcPr>
            <w:tcW w:w="3261" w:type="dxa"/>
          </w:tcPr>
          <w:p w14:paraId="666179BE" w14:textId="77777777" w:rsidR="00C924A3" w:rsidRPr="00F84CA3" w:rsidRDefault="00000000" w:rsidP="00406EBF">
            <w:pPr>
              <w:pStyle w:val="Compact"/>
              <w:spacing w:line="276" w:lineRule="auto"/>
              <w:jc w:val="both"/>
              <w:rPr>
                <w:sz w:val="20"/>
                <w:szCs w:val="20"/>
              </w:rPr>
            </w:pPr>
            <w:r w:rsidRPr="00F84CA3">
              <w:rPr>
                <w:sz w:val="20"/>
                <w:szCs w:val="20"/>
              </w:rPr>
              <w:t>37% → 24% (↓35%)</w:t>
            </w:r>
          </w:p>
        </w:tc>
        <w:tc>
          <w:tcPr>
            <w:tcW w:w="3727" w:type="dxa"/>
          </w:tcPr>
          <w:p w14:paraId="44885546" w14:textId="77777777" w:rsidR="00C924A3" w:rsidRPr="00F84CA3" w:rsidRDefault="00000000" w:rsidP="00406EBF">
            <w:pPr>
              <w:pStyle w:val="Compact"/>
              <w:spacing w:line="276" w:lineRule="auto"/>
              <w:jc w:val="both"/>
              <w:rPr>
                <w:sz w:val="20"/>
                <w:szCs w:val="20"/>
              </w:rPr>
            </w:pPr>
            <w:r w:rsidRPr="00F84CA3">
              <w:rPr>
                <w:sz w:val="20"/>
                <w:szCs w:val="20"/>
              </w:rPr>
              <w:t>35% → 45% (↑29%)</w:t>
            </w:r>
          </w:p>
        </w:tc>
      </w:tr>
      <w:tr w:rsidR="00C924A3" w:rsidRPr="00F84CA3" w14:paraId="790390DA" w14:textId="77777777">
        <w:tc>
          <w:tcPr>
            <w:tcW w:w="931" w:type="dxa"/>
          </w:tcPr>
          <w:p w14:paraId="4C022CD2" w14:textId="77777777" w:rsidR="00C924A3" w:rsidRPr="00F84CA3" w:rsidRDefault="00000000" w:rsidP="00406EBF">
            <w:pPr>
              <w:pStyle w:val="Compact"/>
              <w:spacing w:line="276" w:lineRule="auto"/>
              <w:jc w:val="both"/>
              <w:rPr>
                <w:sz w:val="20"/>
                <w:szCs w:val="20"/>
              </w:rPr>
            </w:pPr>
            <w:r w:rsidRPr="00F84CA3">
              <w:rPr>
                <w:sz w:val="20"/>
                <w:szCs w:val="20"/>
              </w:rPr>
              <w:t>Unionization Rate</w:t>
            </w:r>
          </w:p>
        </w:tc>
        <w:tc>
          <w:tcPr>
            <w:tcW w:w="3261" w:type="dxa"/>
          </w:tcPr>
          <w:p w14:paraId="0A7E5F37" w14:textId="77777777" w:rsidR="00C924A3" w:rsidRPr="00F84CA3" w:rsidRDefault="00000000" w:rsidP="00406EBF">
            <w:pPr>
              <w:pStyle w:val="Compact"/>
              <w:spacing w:line="276" w:lineRule="auto"/>
              <w:jc w:val="both"/>
              <w:rPr>
                <w:sz w:val="20"/>
                <w:szCs w:val="20"/>
              </w:rPr>
            </w:pPr>
            <w:r w:rsidRPr="00F84CA3">
              <w:rPr>
                <w:sz w:val="20"/>
                <w:szCs w:val="20"/>
              </w:rPr>
              <w:t>18-20% (stable)</w:t>
            </w:r>
          </w:p>
        </w:tc>
        <w:tc>
          <w:tcPr>
            <w:tcW w:w="3727" w:type="dxa"/>
          </w:tcPr>
          <w:p w14:paraId="2D177C2D" w14:textId="77777777" w:rsidR="00C924A3" w:rsidRPr="00F84CA3" w:rsidRDefault="00000000" w:rsidP="00406EBF">
            <w:pPr>
              <w:pStyle w:val="Compact"/>
              <w:spacing w:line="276" w:lineRule="auto"/>
              <w:jc w:val="both"/>
              <w:rPr>
                <w:sz w:val="20"/>
                <w:szCs w:val="20"/>
              </w:rPr>
            </w:pPr>
            <w:r w:rsidRPr="00F84CA3">
              <w:rPr>
                <w:sz w:val="20"/>
                <w:szCs w:val="20"/>
              </w:rPr>
              <w:t>23% → 17% (↓26%)</w:t>
            </w:r>
          </w:p>
        </w:tc>
      </w:tr>
      <w:tr w:rsidR="00C924A3" w:rsidRPr="00F84CA3" w14:paraId="53439CAF" w14:textId="77777777">
        <w:tc>
          <w:tcPr>
            <w:tcW w:w="931" w:type="dxa"/>
          </w:tcPr>
          <w:p w14:paraId="18D8F87A" w14:textId="77777777" w:rsidR="00C924A3" w:rsidRPr="00F84CA3" w:rsidRDefault="00000000" w:rsidP="00406EBF">
            <w:pPr>
              <w:pStyle w:val="Compact"/>
              <w:spacing w:line="276" w:lineRule="auto"/>
              <w:jc w:val="both"/>
              <w:rPr>
                <w:sz w:val="20"/>
                <w:szCs w:val="20"/>
              </w:rPr>
            </w:pPr>
            <w:r w:rsidRPr="00F84CA3">
              <w:rPr>
                <w:sz w:val="20"/>
                <w:szCs w:val="20"/>
              </w:rPr>
              <w:t>Collective Bargaining Coverage</w:t>
            </w:r>
          </w:p>
        </w:tc>
        <w:tc>
          <w:tcPr>
            <w:tcW w:w="3261" w:type="dxa"/>
          </w:tcPr>
          <w:p w14:paraId="56C12EC5" w14:textId="77777777" w:rsidR="00C924A3" w:rsidRPr="00F84CA3" w:rsidRDefault="00000000" w:rsidP="00406EBF">
            <w:pPr>
              <w:pStyle w:val="Compact"/>
              <w:spacing w:line="276" w:lineRule="auto"/>
              <w:jc w:val="both"/>
              <w:rPr>
                <w:sz w:val="20"/>
                <w:szCs w:val="20"/>
              </w:rPr>
            </w:pPr>
            <w:r w:rsidRPr="00F84CA3">
              <w:rPr>
                <w:sz w:val="20"/>
                <w:szCs w:val="20"/>
              </w:rPr>
              <w:t>87% (2020)</w:t>
            </w:r>
          </w:p>
        </w:tc>
        <w:tc>
          <w:tcPr>
            <w:tcW w:w="3727" w:type="dxa"/>
          </w:tcPr>
          <w:p w14:paraId="4C2C1C39" w14:textId="77777777" w:rsidR="00C924A3" w:rsidRPr="00F84CA3" w:rsidRDefault="00000000" w:rsidP="00406EBF">
            <w:pPr>
              <w:pStyle w:val="Compact"/>
              <w:spacing w:line="276" w:lineRule="auto"/>
              <w:jc w:val="both"/>
              <w:rPr>
                <w:sz w:val="20"/>
                <w:szCs w:val="20"/>
              </w:rPr>
            </w:pPr>
            <w:r w:rsidRPr="00F84CA3">
              <w:rPr>
                <w:sz w:val="20"/>
                <w:szCs w:val="20"/>
              </w:rPr>
              <w:t>62% (2020)</w:t>
            </w:r>
          </w:p>
        </w:tc>
      </w:tr>
      <w:tr w:rsidR="00C924A3" w:rsidRPr="00F84CA3" w14:paraId="72EDEEC5" w14:textId="77777777">
        <w:tc>
          <w:tcPr>
            <w:tcW w:w="931" w:type="dxa"/>
          </w:tcPr>
          <w:p w14:paraId="63DEC794" w14:textId="77777777" w:rsidR="00C924A3" w:rsidRPr="00F84CA3" w:rsidRDefault="00000000" w:rsidP="00406EBF">
            <w:pPr>
              <w:pStyle w:val="Compact"/>
              <w:spacing w:line="276" w:lineRule="auto"/>
              <w:jc w:val="both"/>
              <w:rPr>
                <w:sz w:val="20"/>
                <w:szCs w:val="20"/>
              </w:rPr>
            </w:pPr>
            <w:r w:rsidRPr="00F84CA3">
              <w:rPr>
                <w:sz w:val="20"/>
                <w:szCs w:val="20"/>
              </w:rPr>
              <w:t>Average Contract Duration</w:t>
            </w:r>
          </w:p>
        </w:tc>
        <w:tc>
          <w:tcPr>
            <w:tcW w:w="3261" w:type="dxa"/>
          </w:tcPr>
          <w:p w14:paraId="749B6915" w14:textId="77777777" w:rsidR="00C924A3" w:rsidRPr="00F84CA3" w:rsidRDefault="00000000" w:rsidP="00406EBF">
            <w:pPr>
              <w:pStyle w:val="Compact"/>
              <w:spacing w:line="276" w:lineRule="auto"/>
              <w:jc w:val="both"/>
              <w:rPr>
                <w:sz w:val="20"/>
                <w:szCs w:val="20"/>
              </w:rPr>
            </w:pPr>
            <w:r w:rsidRPr="00F84CA3">
              <w:rPr>
                <w:sz w:val="20"/>
                <w:szCs w:val="20"/>
              </w:rPr>
              <w:t>2.1 years</w:t>
            </w:r>
          </w:p>
        </w:tc>
        <w:tc>
          <w:tcPr>
            <w:tcW w:w="3727" w:type="dxa"/>
          </w:tcPr>
          <w:p w14:paraId="091B2F30" w14:textId="77777777" w:rsidR="00C924A3" w:rsidRPr="00F84CA3" w:rsidRDefault="00000000" w:rsidP="00406EBF">
            <w:pPr>
              <w:pStyle w:val="Compact"/>
              <w:spacing w:line="276" w:lineRule="auto"/>
              <w:jc w:val="both"/>
              <w:rPr>
                <w:sz w:val="20"/>
                <w:szCs w:val="20"/>
              </w:rPr>
            </w:pPr>
            <w:r w:rsidRPr="00F84CA3">
              <w:rPr>
                <w:sz w:val="20"/>
                <w:szCs w:val="20"/>
              </w:rPr>
              <w:t>4.7 years (frozen agreements)</w:t>
            </w:r>
          </w:p>
        </w:tc>
      </w:tr>
    </w:tbl>
    <w:p w14:paraId="2CEDED75" w14:textId="77777777" w:rsidR="00C924A3" w:rsidRDefault="00000000" w:rsidP="00406EBF">
      <w:pPr>
        <w:pStyle w:val="Textoindependiente"/>
        <w:spacing w:line="276" w:lineRule="auto"/>
        <w:jc w:val="both"/>
      </w:pPr>
      <w:r>
        <w:t>Sources: ILO ILOSTAT (2021), national statistical agencies (INE Uruguay, INDEC Argentina), ILO collective bargaining database.</w:t>
      </w:r>
    </w:p>
    <w:p w14:paraId="3EBB7EF1" w14:textId="77777777" w:rsidR="00C924A3" w:rsidRDefault="00000000" w:rsidP="00406EBF">
      <w:pPr>
        <w:pStyle w:val="Textoindependiente"/>
        <w:spacing w:line="276" w:lineRule="auto"/>
        <w:jc w:val="both"/>
      </w:pPr>
      <w:r>
        <w:t>The pattern is striking. Uruguay achieved superior outcomes on every measured dimension. Workers are better paid, more likely to be formally employed, maintaining stable unionization, and covered by more frequent contract updates. Argentina’s formal protections (ultraactivity, broader constitutional guarantees) correlate with worse actual outcomes.</w:t>
      </w:r>
    </w:p>
    <w:p w14:paraId="3A01AA6F" w14:textId="77777777" w:rsidR="00C924A3" w:rsidRDefault="00000000" w:rsidP="00406EBF">
      <w:pPr>
        <w:pStyle w:val="Textoindependiente"/>
        <w:spacing w:line="276" w:lineRule="auto"/>
        <w:jc w:val="both"/>
      </w:pPr>
      <w:r>
        <w:lastRenderedPageBreak/>
        <w:t>This reversal is precisely what the clergy hypothesis predicts. Strong formal protections can be counterproductive if they create rigidities that incentivize circumvention. Argentine employers respond to ultraactivity by avoiding formal employment, creating a large informal sector where workers have no protections at all. Uruguayan employers, facing time-limited agreements, maintain formal employment because the costs are predictable and manageable. The result: Uruguayan workers enjoy greater de facto protection despite weaker de jure protections.</w:t>
      </w:r>
    </w:p>
    <w:p w14:paraId="6CF437B8" w14:textId="77777777" w:rsidR="00C924A3" w:rsidRDefault="00000000" w:rsidP="00406EBF">
      <w:pPr>
        <w:pStyle w:val="Textoindependiente"/>
        <w:spacing w:line="276" w:lineRule="auto"/>
        <w:jc w:val="both"/>
      </w:pPr>
      <w:r>
        <w:t>Yet this evidence is systematically excluded from Argentine labor law discourse. The author’s papers presenting Uruguayan data have been rejected from major Argentine labor law journals without substantive peer review. Conference proposals comparing Argentina-Uruguay outcomes are declined. When the evidence is presented informally, it triggers the moral accusations documented in Section 3.2. The clergy mechanism ensures that counterevidence never penetrates the orthodox discourse.</w:t>
      </w:r>
    </w:p>
    <w:p w14:paraId="700A6E0D" w14:textId="26BD22D4" w:rsidR="00C924A3" w:rsidRDefault="00C924A3" w:rsidP="00406EBF">
      <w:pPr>
        <w:spacing w:line="276" w:lineRule="auto"/>
        <w:jc w:val="both"/>
      </w:pPr>
    </w:p>
    <w:p w14:paraId="5B2CCB41" w14:textId="77777777" w:rsidR="00C924A3" w:rsidRDefault="00000000" w:rsidP="00406EBF">
      <w:pPr>
        <w:pStyle w:val="Ttulo2"/>
        <w:spacing w:line="276" w:lineRule="auto"/>
        <w:jc w:val="both"/>
      </w:pPr>
      <w:bookmarkStart w:id="31" w:name="Xbe66b3d8822e8a7dc9da47361ac16d0b55ee398"/>
      <w:bookmarkEnd w:id="25"/>
      <w:bookmarkEnd w:id="30"/>
      <w:r>
        <w:t>IV. QUANTITATIVE VALIDATION: CROSS-NATIONAL EVIDENCE</w:t>
      </w:r>
    </w:p>
    <w:p w14:paraId="607E510E" w14:textId="77777777" w:rsidR="00C924A3" w:rsidRDefault="00000000" w:rsidP="00406EBF">
      <w:pPr>
        <w:pStyle w:val="FirstParagraph"/>
        <w:spacing w:line="276" w:lineRule="auto"/>
        <w:jc w:val="both"/>
      </w:pPr>
      <w:r>
        <w:t>To test whether the impossibility of debate correlates with measurable policy outcomes, I conducted comparative analysis across 50 jurisdictions. The hypothesis: legal domains with strong epistemological clergies should exhibit systematically worse reform outcomes than domains with weaker clergy.</w:t>
      </w:r>
    </w:p>
    <w:p w14:paraId="68F87B1F" w14:textId="77777777" w:rsidR="00C924A3" w:rsidRDefault="00000000" w:rsidP="00406EBF">
      <w:pPr>
        <w:pStyle w:val="Ttulo3"/>
        <w:spacing w:line="276" w:lineRule="auto"/>
        <w:jc w:val="both"/>
      </w:pPr>
      <w:bookmarkStart w:id="32" w:name="methodology-and-measurement"/>
      <w:r>
        <w:t>4.1 Methodology and Measurement</w:t>
      </w:r>
    </w:p>
    <w:p w14:paraId="1F9849D4" w14:textId="77777777" w:rsidR="00C924A3" w:rsidRDefault="00000000" w:rsidP="00406EBF">
      <w:pPr>
        <w:pStyle w:val="FirstParagraph"/>
        <w:spacing w:line="276" w:lineRule="auto"/>
        <w:jc w:val="both"/>
      </w:pPr>
      <w:r>
        <w:t>I developed two indices:</w:t>
      </w:r>
    </w:p>
    <w:p w14:paraId="3054FD45" w14:textId="77777777" w:rsidR="00C924A3" w:rsidRDefault="00000000" w:rsidP="00406EBF">
      <w:pPr>
        <w:pStyle w:val="Textoindependiente"/>
        <w:spacing w:line="276" w:lineRule="auto"/>
        <w:jc w:val="both"/>
      </w:pPr>
      <w:r>
        <w:rPr>
          <w:b/>
          <w:bCs/>
        </w:rPr>
        <w:t>Clergy Strength Index (CSI):</w:t>
      </w:r>
      <w:r>
        <w:t xml:space="preserve"> Measures institutional features indicating clergy presence: - Endogamic citation rate (proportion of citations within same legal tradition) - Journal specialization (existence of doctrine-specific journals with homogeneous editorial boards) - Conference exclusivity (barriers to entry for heterodox scholars at major conferences) - Hiring patterns (proportion of academic positions going to scholars trained within tradition)</w:t>
      </w:r>
    </w:p>
    <w:p w14:paraId="4784FCD5" w14:textId="77777777" w:rsidR="00C924A3" w:rsidRDefault="00000000" w:rsidP="00406EBF">
      <w:pPr>
        <w:pStyle w:val="Textoindependiente"/>
        <w:spacing w:line="276" w:lineRule="auto"/>
        <w:jc w:val="both"/>
      </w:pPr>
      <w:r>
        <w:rPr>
          <w:b/>
          <w:bCs/>
        </w:rPr>
        <w:t>Reform Effectiveness Index (REI):</w:t>
      </w:r>
      <w:r>
        <w:t xml:space="preserve"> Measures whether proposed reforms achieve stated goals: - Implementation rate (proportion of proposed reforms actually enacted) - Outcome alignment (whether enacted reforms produce intended effects, measured by pre-post comparisons) - Adaptability (whether systems adjust reforms based on evidence, or maintain them despite failure)</w:t>
      </w:r>
    </w:p>
    <w:p w14:paraId="7AD5AE73" w14:textId="01689E27" w:rsidR="00C924A3" w:rsidRDefault="00000000" w:rsidP="00F84CA3">
      <w:pPr>
        <w:pStyle w:val="Textoindependiente"/>
        <w:spacing w:line="276" w:lineRule="auto"/>
        <w:jc w:val="both"/>
      </w:pPr>
      <w:r>
        <w:lastRenderedPageBreak/>
        <w:t>I coded 50 jurisdictions across three legal domains (criminal law, labor law, constitutional law), generating n=150 observations. Full coding protocol and inter-rater reliability assessment (Cronbach’s α=0.84) are provided in Appendix A.</w:t>
      </w:r>
    </w:p>
    <w:p w14:paraId="72926E75" w14:textId="77777777" w:rsidR="00C924A3" w:rsidRDefault="00000000" w:rsidP="00406EBF">
      <w:pPr>
        <w:pStyle w:val="Ttulo3"/>
        <w:spacing w:line="276" w:lineRule="auto"/>
        <w:jc w:val="both"/>
      </w:pPr>
      <w:bookmarkStart w:id="33" w:name="results"/>
      <w:bookmarkEnd w:id="32"/>
      <w:r>
        <w:t>4.2 Results</w:t>
      </w:r>
    </w:p>
    <w:p w14:paraId="76A461EE" w14:textId="77777777" w:rsidR="00C924A3" w:rsidRDefault="00000000" w:rsidP="00406EBF">
      <w:pPr>
        <w:pStyle w:val="FirstParagraph"/>
        <w:spacing w:line="276" w:lineRule="auto"/>
        <w:jc w:val="both"/>
      </w:pPr>
      <w:r>
        <w:rPr>
          <w:b/>
          <w:bCs/>
        </w:rPr>
        <w:t>Finding 1: Strong Negative Correlation</w:t>
      </w:r>
    </w:p>
    <w:p w14:paraId="1B4DE92A" w14:textId="77777777" w:rsidR="00C924A3" w:rsidRDefault="00000000" w:rsidP="00406EBF">
      <w:pPr>
        <w:pStyle w:val="Textoindependiente"/>
        <w:spacing w:line="276" w:lineRule="auto"/>
        <w:jc w:val="both"/>
      </w:pPr>
      <w:r>
        <w:t>Clergy Strength Index (CSI) correlates strongly and negatively with Reform Effectiveness Index (REI): - Pearson r = -0.73 (p &lt; 0.001) - 95% CI: [-0.81, -0.63]</w:t>
      </w:r>
    </w:p>
    <w:p w14:paraId="16F6B3EC" w14:textId="77777777" w:rsidR="00C924A3" w:rsidRDefault="00000000" w:rsidP="00406EBF">
      <w:pPr>
        <w:pStyle w:val="Textoindependiente"/>
        <w:spacing w:line="276" w:lineRule="auto"/>
        <w:jc w:val="both"/>
      </w:pPr>
      <w:r>
        <w:rPr>
          <w:b/>
          <w:bCs/>
        </w:rPr>
        <w:t>Interpretation:</w:t>
      </w:r>
      <w:r>
        <w:t xml:space="preserve"> Jurisdictions with stronger clergy institutions exhibit systematically lower reform effectiveness. This pattern holds across all three legal domains examined.</w:t>
      </w:r>
    </w:p>
    <w:p w14:paraId="1161190A" w14:textId="77777777" w:rsidR="00C924A3" w:rsidRDefault="00000000" w:rsidP="00406EBF">
      <w:pPr>
        <w:pStyle w:val="Textoindependiente"/>
        <w:spacing w:line="276" w:lineRule="auto"/>
        <w:jc w:val="both"/>
      </w:pPr>
      <w:r>
        <w:rPr>
          <w:b/>
          <w:bCs/>
        </w:rPr>
        <w:t>Finding 2: Threshold Effect</w:t>
      </w:r>
    </w:p>
    <w:p w14:paraId="550A3FDE" w14:textId="77777777" w:rsidR="00C924A3" w:rsidRDefault="00000000" w:rsidP="00406EBF">
      <w:pPr>
        <w:pStyle w:val="Textoindependiente"/>
        <w:spacing w:line="276" w:lineRule="auto"/>
        <w:jc w:val="both"/>
      </w:pPr>
      <w:r>
        <w:t>The relationship is non-linear. Clergy effects are minimal below CSI=0.40 but accelerate sharply above CSI=0.70: - CSI &lt; 0.40: REI mean = 0.68 (68% reform effectiveness) - CSI 0.40-0.70: REI mean = 0.51 (moderate effectiveness) - CSI &gt; 0.70: REI mean = 0.23 (severe dysfunction)</w:t>
      </w:r>
    </w:p>
    <w:p w14:paraId="0540FA13" w14:textId="77777777" w:rsidR="00C924A3" w:rsidRDefault="00000000" w:rsidP="00406EBF">
      <w:pPr>
        <w:pStyle w:val="Textoindependiente"/>
        <w:spacing w:line="276" w:lineRule="auto"/>
        <w:jc w:val="both"/>
      </w:pPr>
      <w:r>
        <w:rPr>
          <w:b/>
          <w:bCs/>
        </w:rPr>
        <w:t>Interpretation:</w:t>
      </w:r>
      <w:r>
        <w:t xml:space="preserve"> Moderate clergy presence permits some reform, but strong clergy (CSI&gt;0.70) produces systematic reform failure. Argentina’s criminal and labor law both score CSI&gt;0.85, explaining 0% sustained reform success.</w:t>
      </w:r>
    </w:p>
    <w:p w14:paraId="28C656E3" w14:textId="77777777" w:rsidR="00C924A3" w:rsidRDefault="00000000" w:rsidP="00406EBF">
      <w:pPr>
        <w:pStyle w:val="Textoindependiente"/>
        <w:spacing w:line="276" w:lineRule="auto"/>
        <w:jc w:val="both"/>
      </w:pPr>
      <w:r>
        <w:rPr>
          <w:b/>
          <w:bCs/>
        </w:rPr>
        <w:t>Finding 3: Ideology-Independence</w:t>
      </w:r>
    </w:p>
    <w:p w14:paraId="5C000DD7" w14:textId="77777777" w:rsidR="00C924A3" w:rsidRDefault="00000000" w:rsidP="00406EBF">
      <w:pPr>
        <w:pStyle w:val="Textoindependiente"/>
        <w:spacing w:line="276" w:lineRule="auto"/>
        <w:jc w:val="both"/>
      </w:pPr>
      <w:r>
        <w:t>The pattern persists across ideologically diverse orthodoxies: - Conservative retributivism (US, n=12): r = -0.69 - Progressive abolitionism (US, n=8): r = -0.71 - Laborist protectionism (Latin America, n=10): r = -0.76</w:t>
      </w:r>
    </w:p>
    <w:p w14:paraId="27EC8738" w14:textId="622F5304" w:rsidR="00C924A3" w:rsidRDefault="00000000" w:rsidP="00F84CA3">
      <w:pPr>
        <w:pStyle w:val="Textoindependiente"/>
        <w:spacing w:line="276" w:lineRule="auto"/>
        <w:jc w:val="both"/>
      </w:pPr>
      <w:r>
        <w:rPr>
          <w:b/>
          <w:bCs/>
        </w:rPr>
        <w:t>Interpretation:</w:t>
      </w:r>
      <w:r>
        <w:t xml:space="preserve"> Clergy effects are not ideologically specific. Both left and right orthodoxies exhibit the same structural dynamics when they construct clergy institutions.</w:t>
      </w:r>
    </w:p>
    <w:p w14:paraId="380C41FE" w14:textId="77777777" w:rsidR="00C924A3" w:rsidRDefault="00000000" w:rsidP="00406EBF">
      <w:pPr>
        <w:pStyle w:val="Ttulo3"/>
        <w:spacing w:line="276" w:lineRule="auto"/>
        <w:jc w:val="both"/>
      </w:pPr>
      <w:bookmarkStart w:id="34" w:name="illustrative-cases"/>
      <w:bookmarkEnd w:id="33"/>
      <w:r>
        <w:t>4.3 Illustrative Cases</w:t>
      </w:r>
    </w:p>
    <w:p w14:paraId="494C6E29" w14:textId="77777777" w:rsidR="00C924A3" w:rsidRDefault="00000000" w:rsidP="00406EBF">
      <w:pPr>
        <w:pStyle w:val="FirstParagraph"/>
        <w:spacing w:line="276" w:lineRule="auto"/>
        <w:jc w:val="both"/>
      </w:pPr>
      <w:r>
        <w:rPr>
          <w:b/>
          <w:bCs/>
        </w:rPr>
        <w:t>Case 1: Argentina (CSI=0.89) vs. Chile (CSI=0.23)</w:t>
      </w:r>
    </w:p>
    <w:p w14:paraId="142B0047" w14:textId="77777777" w:rsidR="00C924A3" w:rsidRDefault="00000000" w:rsidP="00406EBF">
      <w:pPr>
        <w:pStyle w:val="Textoindependiente"/>
        <w:spacing w:line="276" w:lineRule="auto"/>
        <w:jc w:val="both"/>
      </w:pPr>
      <w:r>
        <w:t>Argentina’s extreme guarantism (CSI=0.90) correlates with 0% sustained criminal law reforms and incarceration rates 3× Chile’s, despite stronger formal procedural protections. Chile’s pragmatic approach (CSI=0.23) achieved 63% reform success rate and lower incarceration with weaker formal guarantees.</w:t>
      </w:r>
    </w:p>
    <w:p w14:paraId="50B64E0D" w14:textId="77777777" w:rsidR="00C924A3" w:rsidRDefault="00000000" w:rsidP="00406EBF">
      <w:pPr>
        <w:pStyle w:val="Textoindependiente"/>
        <w:spacing w:line="276" w:lineRule="auto"/>
        <w:jc w:val="both"/>
      </w:pPr>
      <w:r>
        <w:rPr>
          <w:b/>
          <w:bCs/>
        </w:rPr>
        <w:lastRenderedPageBreak/>
        <w:t>Case 2: Uruguay (CSI=0.31) vs. Argentina (CSI=0.87) – Labor Law</w:t>
      </w:r>
    </w:p>
    <w:p w14:paraId="7CDD33A4" w14:textId="77777777" w:rsidR="00C924A3" w:rsidRDefault="00000000" w:rsidP="00406EBF">
      <w:pPr>
        <w:pStyle w:val="Textoindependiente"/>
        <w:spacing w:line="276" w:lineRule="auto"/>
        <w:jc w:val="both"/>
      </w:pPr>
      <w:r>
        <w:t>Uruguay eliminated ultraactivity (1991), achieving superior worker welfare outcomes (+42% real wages, -35% informality). Argentina maintained ultraactivity, experiencing wage stagnation and rising informality. The difference: Uruguay’s labor law lacks strong clergy institutions (CSI=0.31), permitting pragmatic experimentation. Argentina’s labor law clergy (CSI=0.87) blocks all reforms questioning orthodox premises.</w:t>
      </w:r>
    </w:p>
    <w:p w14:paraId="4D13227F" w14:textId="77777777" w:rsidR="00C924A3" w:rsidRDefault="00000000" w:rsidP="00406EBF">
      <w:pPr>
        <w:pStyle w:val="Textoindependiente"/>
        <w:spacing w:line="276" w:lineRule="auto"/>
        <w:jc w:val="both"/>
      </w:pPr>
      <w:r>
        <w:rPr>
          <w:b/>
          <w:bCs/>
        </w:rPr>
        <w:t>Case 3: Texas (CSI=0.34) vs. Illinois (CSI=0.78) – Criminal Justice</w:t>
      </w:r>
    </w:p>
    <w:p w14:paraId="3626D6A5" w14:textId="13DB914E" w:rsidR="00C924A3" w:rsidRDefault="00000000" w:rsidP="00F84CA3">
      <w:pPr>
        <w:pStyle w:val="Textoindependiente"/>
        <w:spacing w:line="276" w:lineRule="auto"/>
        <w:jc w:val="both"/>
      </w:pPr>
      <w:r>
        <w:t>Texas, under conservative pragmatic leadership, implemented gradual criminal justice reforms (drug courts, re-entry programs) that reduced incarceration 26% (2007-2019). Illinois, with strong orthodox abolitionist influence within progressive coalitions, saw reforms blocked by purity tests and kept incarceration essentially stable. Paradoxically, the “conservative” jurisdiction achieved more decarceration than the “progressive” one because it lacked strong abolitionist clergy blocking incremental reform.</w:t>
      </w:r>
    </w:p>
    <w:p w14:paraId="0B054665" w14:textId="77777777" w:rsidR="00C924A3" w:rsidRDefault="00000000" w:rsidP="00406EBF">
      <w:pPr>
        <w:pStyle w:val="Ttulo2"/>
        <w:spacing w:line="276" w:lineRule="auto"/>
        <w:jc w:val="both"/>
      </w:pPr>
      <w:bookmarkStart w:id="35" w:name="Xea60df217c6a7f2cf6c67601361712885121c3e"/>
      <w:bookmarkEnd w:id="31"/>
      <w:bookmarkEnd w:id="34"/>
      <w:r>
        <w:t>V. INSTITUTIONAL ARCHITECTURE: THE CLERGY MECHANISM</w:t>
      </w:r>
    </w:p>
    <w:p w14:paraId="646A4AFC" w14:textId="77777777" w:rsidR="00C924A3" w:rsidRDefault="00000000" w:rsidP="00406EBF">
      <w:pPr>
        <w:pStyle w:val="FirstParagraph"/>
        <w:spacing w:line="276" w:lineRule="auto"/>
        <w:jc w:val="both"/>
      </w:pPr>
      <w:r>
        <w:t>Having documented correlation between clergy strength and reform failure, I now examine the specific institutional mechanisms through which clergy operates.</w:t>
      </w:r>
    </w:p>
    <w:p w14:paraId="5CCB8B86" w14:textId="77777777" w:rsidR="00C924A3" w:rsidRDefault="00000000" w:rsidP="00406EBF">
      <w:pPr>
        <w:pStyle w:val="Ttulo3"/>
        <w:spacing w:line="276" w:lineRule="auto"/>
        <w:jc w:val="both"/>
      </w:pPr>
      <w:bookmarkStart w:id="36" w:name="mapping-the-clergies"/>
      <w:r>
        <w:t>5.1 Mapping the Clergies</w:t>
      </w:r>
    </w:p>
    <w:p w14:paraId="07B475B1" w14:textId="77777777" w:rsidR="00C924A3" w:rsidRDefault="00000000" w:rsidP="00406EBF">
      <w:pPr>
        <w:pStyle w:val="FirstParagraph"/>
        <w:spacing w:line="276" w:lineRule="auto"/>
        <w:jc w:val="both"/>
      </w:pPr>
      <w:r>
        <w:t>Table 3 maps clergy institutions across the three orthodoxies:</w:t>
      </w:r>
    </w:p>
    <w:p w14:paraId="3113AAE5" w14:textId="77777777" w:rsidR="00C924A3" w:rsidRDefault="00000000" w:rsidP="00406EBF">
      <w:pPr>
        <w:pStyle w:val="Textoindependiente"/>
        <w:spacing w:line="276" w:lineRule="auto"/>
        <w:jc w:val="both"/>
      </w:pPr>
      <w:r>
        <w:rPr>
          <w:b/>
          <w:bCs/>
        </w:rPr>
        <w:t>Table 3: Clergy Institutional Architecture</w:t>
      </w:r>
    </w:p>
    <w:tbl>
      <w:tblPr>
        <w:tblStyle w:val="Table"/>
        <w:tblW w:w="5000" w:type="pct"/>
        <w:tblLayout w:type="fixed"/>
        <w:tblLook w:val="0020" w:firstRow="1" w:lastRow="0" w:firstColumn="0" w:lastColumn="0" w:noHBand="0" w:noVBand="0"/>
      </w:tblPr>
      <w:tblGrid>
        <w:gridCol w:w="2591"/>
        <w:gridCol w:w="2286"/>
        <w:gridCol w:w="1828"/>
        <w:gridCol w:w="2133"/>
      </w:tblGrid>
      <w:tr w:rsidR="00C924A3" w:rsidRPr="00F84CA3" w14:paraId="4F5C9B12" w14:textId="77777777" w:rsidTr="00C924A3">
        <w:trPr>
          <w:cnfStyle w:val="100000000000" w:firstRow="1" w:lastRow="0" w:firstColumn="0" w:lastColumn="0" w:oddVBand="0" w:evenVBand="0" w:oddHBand="0" w:evenHBand="0" w:firstRowFirstColumn="0" w:firstRowLastColumn="0" w:lastRowFirstColumn="0" w:lastRowLastColumn="0"/>
          <w:tblHeader/>
        </w:trPr>
        <w:tc>
          <w:tcPr>
            <w:tcW w:w="2321" w:type="dxa"/>
          </w:tcPr>
          <w:p w14:paraId="5A8FD161" w14:textId="77777777" w:rsidR="00C924A3" w:rsidRPr="00F84CA3" w:rsidRDefault="00000000" w:rsidP="00406EBF">
            <w:pPr>
              <w:pStyle w:val="Compact"/>
              <w:spacing w:line="276" w:lineRule="auto"/>
              <w:jc w:val="both"/>
              <w:rPr>
                <w:sz w:val="20"/>
                <w:szCs w:val="20"/>
              </w:rPr>
            </w:pPr>
            <w:r w:rsidRPr="00F84CA3">
              <w:rPr>
                <w:sz w:val="20"/>
                <w:szCs w:val="20"/>
              </w:rPr>
              <w:t>Institution Type</w:t>
            </w:r>
          </w:p>
        </w:tc>
        <w:tc>
          <w:tcPr>
            <w:tcW w:w="2048" w:type="dxa"/>
          </w:tcPr>
          <w:p w14:paraId="5A606D4C" w14:textId="77777777" w:rsidR="00C924A3" w:rsidRPr="00F84CA3" w:rsidRDefault="00000000" w:rsidP="00406EBF">
            <w:pPr>
              <w:pStyle w:val="Compact"/>
              <w:spacing w:line="276" w:lineRule="auto"/>
              <w:jc w:val="both"/>
              <w:rPr>
                <w:sz w:val="20"/>
                <w:szCs w:val="20"/>
              </w:rPr>
            </w:pPr>
            <w:r w:rsidRPr="00F84CA3">
              <w:rPr>
                <w:sz w:val="20"/>
                <w:szCs w:val="20"/>
              </w:rPr>
              <w:t>Retributivism</w:t>
            </w:r>
          </w:p>
        </w:tc>
        <w:tc>
          <w:tcPr>
            <w:tcW w:w="1638" w:type="dxa"/>
          </w:tcPr>
          <w:p w14:paraId="404DEE80" w14:textId="77777777" w:rsidR="00C924A3" w:rsidRPr="00F84CA3" w:rsidRDefault="00000000" w:rsidP="00406EBF">
            <w:pPr>
              <w:pStyle w:val="Compact"/>
              <w:spacing w:line="276" w:lineRule="auto"/>
              <w:jc w:val="both"/>
              <w:rPr>
                <w:sz w:val="20"/>
                <w:szCs w:val="20"/>
              </w:rPr>
            </w:pPr>
            <w:r w:rsidRPr="00F84CA3">
              <w:rPr>
                <w:sz w:val="20"/>
                <w:szCs w:val="20"/>
              </w:rPr>
              <w:t>Guarantism</w:t>
            </w:r>
          </w:p>
        </w:tc>
        <w:tc>
          <w:tcPr>
            <w:tcW w:w="1911" w:type="dxa"/>
          </w:tcPr>
          <w:p w14:paraId="08C381F0" w14:textId="77777777" w:rsidR="00C924A3" w:rsidRPr="00F84CA3" w:rsidRDefault="00000000" w:rsidP="00406EBF">
            <w:pPr>
              <w:pStyle w:val="Compact"/>
              <w:spacing w:line="276" w:lineRule="auto"/>
              <w:jc w:val="both"/>
              <w:rPr>
                <w:sz w:val="20"/>
                <w:szCs w:val="20"/>
              </w:rPr>
            </w:pPr>
            <w:r w:rsidRPr="00F84CA3">
              <w:rPr>
                <w:sz w:val="20"/>
                <w:szCs w:val="20"/>
              </w:rPr>
              <w:t>Abolitionism</w:t>
            </w:r>
          </w:p>
        </w:tc>
      </w:tr>
      <w:tr w:rsidR="00C924A3" w:rsidRPr="00F84CA3" w14:paraId="68A81627" w14:textId="77777777">
        <w:tc>
          <w:tcPr>
            <w:tcW w:w="2321" w:type="dxa"/>
          </w:tcPr>
          <w:p w14:paraId="2EB5D4F0" w14:textId="77777777" w:rsidR="00C924A3" w:rsidRPr="00F84CA3" w:rsidRDefault="00000000" w:rsidP="00406EBF">
            <w:pPr>
              <w:pStyle w:val="Compact"/>
              <w:spacing w:line="276" w:lineRule="auto"/>
              <w:jc w:val="both"/>
              <w:rPr>
                <w:sz w:val="20"/>
                <w:szCs w:val="20"/>
              </w:rPr>
            </w:pPr>
            <w:r w:rsidRPr="00F84CA3">
              <w:rPr>
                <w:b/>
                <w:bCs/>
                <w:sz w:val="20"/>
                <w:szCs w:val="20"/>
              </w:rPr>
              <w:t>Specialized Journals</w:t>
            </w:r>
          </w:p>
        </w:tc>
        <w:tc>
          <w:tcPr>
            <w:tcW w:w="2048" w:type="dxa"/>
          </w:tcPr>
          <w:p w14:paraId="10B6B509" w14:textId="77777777" w:rsidR="00C924A3" w:rsidRPr="00F84CA3" w:rsidRDefault="00000000" w:rsidP="00406EBF">
            <w:pPr>
              <w:pStyle w:val="Compact"/>
              <w:spacing w:line="276" w:lineRule="auto"/>
              <w:jc w:val="both"/>
              <w:rPr>
                <w:sz w:val="20"/>
                <w:szCs w:val="20"/>
              </w:rPr>
            </w:pPr>
            <w:r w:rsidRPr="00F84CA3">
              <w:rPr>
                <w:i/>
                <w:iCs/>
                <w:sz w:val="20"/>
                <w:szCs w:val="20"/>
              </w:rPr>
              <w:t>Criminal Law &amp; Philosophy</w:t>
            </w:r>
            <w:r w:rsidRPr="00F84CA3">
              <w:rPr>
                <w:sz w:val="20"/>
                <w:szCs w:val="20"/>
              </w:rPr>
              <w:t xml:space="preserve">, </w:t>
            </w:r>
            <w:r w:rsidRPr="00F84CA3">
              <w:rPr>
                <w:i/>
                <w:iCs/>
                <w:sz w:val="20"/>
                <w:szCs w:val="20"/>
              </w:rPr>
              <w:t>Law &amp; Philosophy</w:t>
            </w:r>
          </w:p>
        </w:tc>
        <w:tc>
          <w:tcPr>
            <w:tcW w:w="1638" w:type="dxa"/>
          </w:tcPr>
          <w:p w14:paraId="4C4BD670" w14:textId="77777777" w:rsidR="00C924A3" w:rsidRPr="00F84CA3" w:rsidRDefault="00000000" w:rsidP="00406EBF">
            <w:pPr>
              <w:pStyle w:val="Compact"/>
              <w:spacing w:line="276" w:lineRule="auto"/>
              <w:jc w:val="both"/>
              <w:rPr>
                <w:sz w:val="20"/>
                <w:szCs w:val="20"/>
                <w:lang w:val="es-AR"/>
              </w:rPr>
            </w:pPr>
            <w:r w:rsidRPr="00F84CA3">
              <w:rPr>
                <w:i/>
                <w:iCs/>
                <w:sz w:val="20"/>
                <w:szCs w:val="20"/>
                <w:lang w:val="es-AR"/>
              </w:rPr>
              <w:t>Nueva Doctrina Penal</w:t>
            </w:r>
            <w:r w:rsidRPr="00F84CA3">
              <w:rPr>
                <w:sz w:val="20"/>
                <w:szCs w:val="20"/>
                <w:lang w:val="es-AR"/>
              </w:rPr>
              <w:t xml:space="preserve">, </w:t>
            </w:r>
            <w:r w:rsidRPr="00F84CA3">
              <w:rPr>
                <w:i/>
                <w:iCs/>
                <w:sz w:val="20"/>
                <w:szCs w:val="20"/>
                <w:lang w:val="es-AR"/>
              </w:rPr>
              <w:t>Pensamiento Penal</w:t>
            </w:r>
          </w:p>
        </w:tc>
        <w:tc>
          <w:tcPr>
            <w:tcW w:w="1911" w:type="dxa"/>
          </w:tcPr>
          <w:p w14:paraId="146E5B0F" w14:textId="77777777" w:rsidR="00C924A3" w:rsidRPr="00F84CA3" w:rsidRDefault="00000000" w:rsidP="00406EBF">
            <w:pPr>
              <w:pStyle w:val="Compact"/>
              <w:spacing w:line="276" w:lineRule="auto"/>
              <w:jc w:val="both"/>
              <w:rPr>
                <w:sz w:val="20"/>
                <w:szCs w:val="20"/>
              </w:rPr>
            </w:pPr>
            <w:r w:rsidRPr="00F84CA3">
              <w:rPr>
                <w:i/>
                <w:iCs/>
                <w:sz w:val="20"/>
                <w:szCs w:val="20"/>
              </w:rPr>
              <w:t>Abolition Journal</w:t>
            </w:r>
            <w:r w:rsidRPr="00F84CA3">
              <w:rPr>
                <w:sz w:val="20"/>
                <w:szCs w:val="20"/>
              </w:rPr>
              <w:t xml:space="preserve">, </w:t>
            </w:r>
            <w:r w:rsidRPr="00F84CA3">
              <w:rPr>
                <w:i/>
                <w:iCs/>
                <w:sz w:val="20"/>
                <w:szCs w:val="20"/>
              </w:rPr>
              <w:t>Social Justice</w:t>
            </w:r>
          </w:p>
        </w:tc>
      </w:tr>
      <w:tr w:rsidR="00C924A3" w:rsidRPr="00F84CA3" w14:paraId="7A405A27" w14:textId="77777777">
        <w:tc>
          <w:tcPr>
            <w:tcW w:w="2321" w:type="dxa"/>
          </w:tcPr>
          <w:p w14:paraId="1366CFDB" w14:textId="77777777" w:rsidR="00C924A3" w:rsidRPr="00F84CA3" w:rsidRDefault="00000000" w:rsidP="00406EBF">
            <w:pPr>
              <w:pStyle w:val="Compact"/>
              <w:spacing w:line="276" w:lineRule="auto"/>
              <w:jc w:val="both"/>
              <w:rPr>
                <w:sz w:val="20"/>
                <w:szCs w:val="20"/>
              </w:rPr>
            </w:pPr>
            <w:r w:rsidRPr="00F84CA3">
              <w:rPr>
                <w:b/>
                <w:bCs/>
                <w:sz w:val="20"/>
                <w:szCs w:val="20"/>
              </w:rPr>
              <w:t>Academic Associations</w:t>
            </w:r>
          </w:p>
        </w:tc>
        <w:tc>
          <w:tcPr>
            <w:tcW w:w="2048" w:type="dxa"/>
          </w:tcPr>
          <w:p w14:paraId="6A40B76F" w14:textId="77777777" w:rsidR="00C924A3" w:rsidRPr="00F84CA3" w:rsidRDefault="00000000" w:rsidP="00406EBF">
            <w:pPr>
              <w:pStyle w:val="Compact"/>
              <w:spacing w:line="276" w:lineRule="auto"/>
              <w:jc w:val="both"/>
              <w:rPr>
                <w:sz w:val="20"/>
                <w:szCs w:val="20"/>
              </w:rPr>
            </w:pPr>
            <w:r w:rsidRPr="00F84CA3">
              <w:rPr>
                <w:sz w:val="20"/>
                <w:szCs w:val="20"/>
              </w:rPr>
              <w:t>American Society for Political and Legal Philosophy</w:t>
            </w:r>
          </w:p>
        </w:tc>
        <w:tc>
          <w:tcPr>
            <w:tcW w:w="1638" w:type="dxa"/>
          </w:tcPr>
          <w:p w14:paraId="4FCA03FA" w14:textId="77777777" w:rsidR="00C924A3" w:rsidRPr="00F84CA3" w:rsidRDefault="00000000" w:rsidP="00406EBF">
            <w:pPr>
              <w:pStyle w:val="Compact"/>
              <w:spacing w:line="276" w:lineRule="auto"/>
              <w:jc w:val="both"/>
              <w:rPr>
                <w:sz w:val="20"/>
                <w:szCs w:val="20"/>
              </w:rPr>
            </w:pPr>
            <w:r w:rsidRPr="00F84CA3">
              <w:rPr>
                <w:sz w:val="20"/>
                <w:szCs w:val="20"/>
              </w:rPr>
              <w:t>Asociación de Pensamiento Penal</w:t>
            </w:r>
          </w:p>
        </w:tc>
        <w:tc>
          <w:tcPr>
            <w:tcW w:w="1911" w:type="dxa"/>
          </w:tcPr>
          <w:p w14:paraId="140761D1" w14:textId="77777777" w:rsidR="00C924A3" w:rsidRPr="00F84CA3" w:rsidRDefault="00000000" w:rsidP="00406EBF">
            <w:pPr>
              <w:pStyle w:val="Compact"/>
              <w:spacing w:line="276" w:lineRule="auto"/>
              <w:jc w:val="both"/>
              <w:rPr>
                <w:sz w:val="20"/>
                <w:szCs w:val="20"/>
              </w:rPr>
            </w:pPr>
            <w:r w:rsidRPr="00F84CA3">
              <w:rPr>
                <w:sz w:val="20"/>
                <w:szCs w:val="20"/>
              </w:rPr>
              <w:t>Critical Resistance, Incite!</w:t>
            </w:r>
          </w:p>
        </w:tc>
      </w:tr>
      <w:tr w:rsidR="00C924A3" w:rsidRPr="00F84CA3" w14:paraId="2E8C3BE8" w14:textId="77777777">
        <w:tc>
          <w:tcPr>
            <w:tcW w:w="2321" w:type="dxa"/>
          </w:tcPr>
          <w:p w14:paraId="11CF7219" w14:textId="77777777" w:rsidR="00C924A3" w:rsidRPr="00F84CA3" w:rsidRDefault="00000000" w:rsidP="00406EBF">
            <w:pPr>
              <w:pStyle w:val="Compact"/>
              <w:spacing w:line="276" w:lineRule="auto"/>
              <w:jc w:val="both"/>
              <w:rPr>
                <w:sz w:val="20"/>
                <w:szCs w:val="20"/>
              </w:rPr>
            </w:pPr>
            <w:r w:rsidRPr="00F84CA3">
              <w:rPr>
                <w:b/>
                <w:bCs/>
                <w:sz w:val="20"/>
                <w:szCs w:val="20"/>
              </w:rPr>
              <w:t>Training Programs</w:t>
            </w:r>
          </w:p>
        </w:tc>
        <w:tc>
          <w:tcPr>
            <w:tcW w:w="2048" w:type="dxa"/>
          </w:tcPr>
          <w:p w14:paraId="5E58DA29" w14:textId="77777777" w:rsidR="00C924A3" w:rsidRPr="00F84CA3" w:rsidRDefault="00000000" w:rsidP="00406EBF">
            <w:pPr>
              <w:pStyle w:val="Compact"/>
              <w:spacing w:line="276" w:lineRule="auto"/>
              <w:jc w:val="both"/>
              <w:rPr>
                <w:sz w:val="20"/>
                <w:szCs w:val="20"/>
              </w:rPr>
            </w:pPr>
            <w:r w:rsidRPr="00F84CA3">
              <w:rPr>
                <w:sz w:val="20"/>
                <w:szCs w:val="20"/>
              </w:rPr>
              <w:t>Criminal law workshops at major law schools</w:t>
            </w:r>
          </w:p>
        </w:tc>
        <w:tc>
          <w:tcPr>
            <w:tcW w:w="1638" w:type="dxa"/>
          </w:tcPr>
          <w:p w14:paraId="11B62FC3" w14:textId="77777777" w:rsidR="00C924A3" w:rsidRPr="00F84CA3" w:rsidRDefault="00000000" w:rsidP="00406EBF">
            <w:pPr>
              <w:pStyle w:val="Compact"/>
              <w:spacing w:line="276" w:lineRule="auto"/>
              <w:jc w:val="both"/>
              <w:rPr>
                <w:sz w:val="20"/>
                <w:szCs w:val="20"/>
              </w:rPr>
            </w:pPr>
            <w:r w:rsidRPr="00F84CA3">
              <w:rPr>
                <w:sz w:val="20"/>
                <w:szCs w:val="20"/>
              </w:rPr>
              <w:t>Judicial training programs (Argentina)</w:t>
            </w:r>
          </w:p>
        </w:tc>
        <w:tc>
          <w:tcPr>
            <w:tcW w:w="1911" w:type="dxa"/>
          </w:tcPr>
          <w:p w14:paraId="15530FA7" w14:textId="77777777" w:rsidR="00C924A3" w:rsidRPr="00F84CA3" w:rsidRDefault="00000000" w:rsidP="00406EBF">
            <w:pPr>
              <w:pStyle w:val="Compact"/>
              <w:spacing w:line="276" w:lineRule="auto"/>
              <w:jc w:val="both"/>
              <w:rPr>
                <w:sz w:val="20"/>
                <w:szCs w:val="20"/>
              </w:rPr>
            </w:pPr>
            <w:r w:rsidRPr="00F84CA3">
              <w:rPr>
                <w:sz w:val="20"/>
                <w:szCs w:val="20"/>
              </w:rPr>
              <w:t>Activist training workshops</w:t>
            </w:r>
          </w:p>
        </w:tc>
      </w:tr>
      <w:tr w:rsidR="00C924A3" w:rsidRPr="00F84CA3" w14:paraId="312068D4" w14:textId="77777777">
        <w:tc>
          <w:tcPr>
            <w:tcW w:w="2321" w:type="dxa"/>
          </w:tcPr>
          <w:p w14:paraId="54E2FCA3" w14:textId="77777777" w:rsidR="00C924A3" w:rsidRPr="00F84CA3" w:rsidRDefault="00000000" w:rsidP="00406EBF">
            <w:pPr>
              <w:pStyle w:val="Compact"/>
              <w:spacing w:line="276" w:lineRule="auto"/>
              <w:jc w:val="both"/>
              <w:rPr>
                <w:sz w:val="20"/>
                <w:szCs w:val="20"/>
              </w:rPr>
            </w:pPr>
            <w:r w:rsidRPr="00F84CA3">
              <w:rPr>
                <w:b/>
                <w:bCs/>
                <w:sz w:val="20"/>
                <w:szCs w:val="20"/>
              </w:rPr>
              <w:t>Gatekeeping Mechanism</w:t>
            </w:r>
          </w:p>
        </w:tc>
        <w:tc>
          <w:tcPr>
            <w:tcW w:w="2048" w:type="dxa"/>
          </w:tcPr>
          <w:p w14:paraId="2302CC63" w14:textId="77777777" w:rsidR="00C924A3" w:rsidRPr="00F84CA3" w:rsidRDefault="00000000" w:rsidP="00406EBF">
            <w:pPr>
              <w:pStyle w:val="Compact"/>
              <w:spacing w:line="276" w:lineRule="auto"/>
              <w:jc w:val="both"/>
              <w:rPr>
                <w:sz w:val="20"/>
                <w:szCs w:val="20"/>
              </w:rPr>
            </w:pPr>
            <w:r w:rsidRPr="00F84CA3">
              <w:rPr>
                <w:sz w:val="20"/>
                <w:szCs w:val="20"/>
              </w:rPr>
              <w:t>Preferential citation of orthodox work</w:t>
            </w:r>
          </w:p>
        </w:tc>
        <w:tc>
          <w:tcPr>
            <w:tcW w:w="1638" w:type="dxa"/>
          </w:tcPr>
          <w:p w14:paraId="3D67BD45" w14:textId="77777777" w:rsidR="00C924A3" w:rsidRPr="00F84CA3" w:rsidRDefault="00000000" w:rsidP="00406EBF">
            <w:pPr>
              <w:pStyle w:val="Compact"/>
              <w:spacing w:line="276" w:lineRule="auto"/>
              <w:jc w:val="both"/>
              <w:rPr>
                <w:sz w:val="20"/>
                <w:szCs w:val="20"/>
              </w:rPr>
            </w:pPr>
            <w:r w:rsidRPr="00F84CA3">
              <w:rPr>
                <w:sz w:val="20"/>
                <w:szCs w:val="20"/>
              </w:rPr>
              <w:t xml:space="preserve">Systematic exclusion of </w:t>
            </w:r>
            <w:r w:rsidRPr="00F84CA3">
              <w:rPr>
                <w:sz w:val="20"/>
                <w:szCs w:val="20"/>
              </w:rPr>
              <w:lastRenderedPageBreak/>
              <w:t>comparative criminology</w:t>
            </w:r>
          </w:p>
        </w:tc>
        <w:tc>
          <w:tcPr>
            <w:tcW w:w="1911" w:type="dxa"/>
          </w:tcPr>
          <w:p w14:paraId="4FD4C899" w14:textId="77777777" w:rsidR="00C924A3" w:rsidRPr="00F84CA3" w:rsidRDefault="00000000" w:rsidP="00406EBF">
            <w:pPr>
              <w:pStyle w:val="Compact"/>
              <w:spacing w:line="276" w:lineRule="auto"/>
              <w:jc w:val="both"/>
              <w:rPr>
                <w:sz w:val="20"/>
                <w:szCs w:val="20"/>
              </w:rPr>
            </w:pPr>
            <w:r w:rsidRPr="00F84CA3">
              <w:rPr>
                <w:sz w:val="20"/>
                <w:szCs w:val="20"/>
              </w:rPr>
              <w:lastRenderedPageBreak/>
              <w:t>Conference exclusions, social media shaming</w:t>
            </w:r>
          </w:p>
        </w:tc>
      </w:tr>
      <w:tr w:rsidR="00C924A3" w:rsidRPr="00F84CA3" w14:paraId="6E776C38" w14:textId="77777777">
        <w:tc>
          <w:tcPr>
            <w:tcW w:w="2321" w:type="dxa"/>
          </w:tcPr>
          <w:p w14:paraId="43625F49" w14:textId="77777777" w:rsidR="00C924A3" w:rsidRPr="00F84CA3" w:rsidRDefault="00000000" w:rsidP="00406EBF">
            <w:pPr>
              <w:pStyle w:val="Compact"/>
              <w:spacing w:line="276" w:lineRule="auto"/>
              <w:jc w:val="both"/>
              <w:rPr>
                <w:sz w:val="20"/>
                <w:szCs w:val="20"/>
              </w:rPr>
            </w:pPr>
            <w:r w:rsidRPr="00F84CA3">
              <w:rPr>
                <w:b/>
                <w:bCs/>
                <w:sz w:val="20"/>
                <w:szCs w:val="20"/>
              </w:rPr>
              <w:t>Endogamic Citation Rate</w:t>
            </w:r>
          </w:p>
        </w:tc>
        <w:tc>
          <w:tcPr>
            <w:tcW w:w="2048" w:type="dxa"/>
          </w:tcPr>
          <w:p w14:paraId="2FEE5E4B" w14:textId="77777777" w:rsidR="00C924A3" w:rsidRPr="00F84CA3" w:rsidRDefault="00000000" w:rsidP="00406EBF">
            <w:pPr>
              <w:pStyle w:val="Compact"/>
              <w:spacing w:line="276" w:lineRule="auto"/>
              <w:jc w:val="both"/>
              <w:rPr>
                <w:sz w:val="20"/>
                <w:szCs w:val="20"/>
              </w:rPr>
            </w:pPr>
            <w:r w:rsidRPr="00F84CA3">
              <w:rPr>
                <w:sz w:val="20"/>
                <w:szCs w:val="20"/>
              </w:rPr>
              <w:t>65% (moderate)</w:t>
            </w:r>
          </w:p>
        </w:tc>
        <w:tc>
          <w:tcPr>
            <w:tcW w:w="1638" w:type="dxa"/>
          </w:tcPr>
          <w:p w14:paraId="66A436DD" w14:textId="77777777" w:rsidR="00C924A3" w:rsidRPr="00F84CA3" w:rsidRDefault="00000000" w:rsidP="00406EBF">
            <w:pPr>
              <w:pStyle w:val="Compact"/>
              <w:spacing w:line="276" w:lineRule="auto"/>
              <w:jc w:val="both"/>
              <w:rPr>
                <w:sz w:val="20"/>
                <w:szCs w:val="20"/>
              </w:rPr>
            </w:pPr>
            <w:r w:rsidRPr="00F84CA3">
              <w:rPr>
                <w:sz w:val="20"/>
                <w:szCs w:val="20"/>
              </w:rPr>
              <w:t>89.3% (very high)</w:t>
            </w:r>
          </w:p>
        </w:tc>
        <w:tc>
          <w:tcPr>
            <w:tcW w:w="1911" w:type="dxa"/>
          </w:tcPr>
          <w:p w14:paraId="44D9B166" w14:textId="77777777" w:rsidR="00C924A3" w:rsidRPr="00F84CA3" w:rsidRDefault="00000000" w:rsidP="00406EBF">
            <w:pPr>
              <w:pStyle w:val="Compact"/>
              <w:spacing w:line="276" w:lineRule="auto"/>
              <w:jc w:val="both"/>
              <w:rPr>
                <w:sz w:val="20"/>
                <w:szCs w:val="20"/>
              </w:rPr>
            </w:pPr>
            <w:r w:rsidRPr="00F84CA3">
              <w:rPr>
                <w:sz w:val="20"/>
                <w:szCs w:val="20"/>
              </w:rPr>
              <w:t>~75% (high, estimated)</w:t>
            </w:r>
          </w:p>
        </w:tc>
      </w:tr>
    </w:tbl>
    <w:p w14:paraId="1898341C" w14:textId="03E875BA" w:rsidR="00C924A3" w:rsidRDefault="00000000" w:rsidP="0065367D">
      <w:pPr>
        <w:pStyle w:val="Textoindependiente"/>
        <w:spacing w:line="276" w:lineRule="auto"/>
        <w:jc w:val="both"/>
      </w:pPr>
      <w:r>
        <w:rPr>
          <w:b/>
          <w:bCs/>
        </w:rPr>
        <w:t>Pattern:</w:t>
      </w:r>
      <w:r>
        <w:t xml:space="preserve"> All three orthodoxies have constructed similar institutional architecture despite operating in different legal systems and serving different ideological purposes. This is convergent evolution: the same structural features emerged because they enhance memetic fitness.</w:t>
      </w:r>
    </w:p>
    <w:p w14:paraId="2213D916" w14:textId="77777777" w:rsidR="00C924A3" w:rsidRDefault="00000000" w:rsidP="00406EBF">
      <w:pPr>
        <w:pStyle w:val="Ttulo3"/>
        <w:spacing w:line="276" w:lineRule="auto"/>
        <w:jc w:val="both"/>
      </w:pPr>
      <w:bookmarkStart w:id="37" w:name="comparison-with-hard-sciences"/>
      <w:bookmarkEnd w:id="36"/>
      <w:r>
        <w:t>5.2 Comparison with Hard Sciences</w:t>
      </w:r>
    </w:p>
    <w:p w14:paraId="6E7BDC55" w14:textId="77777777" w:rsidR="00C924A3" w:rsidRDefault="00000000" w:rsidP="00406EBF">
      <w:pPr>
        <w:pStyle w:val="FirstParagraph"/>
        <w:spacing w:line="276" w:lineRule="auto"/>
        <w:jc w:val="both"/>
      </w:pPr>
      <w:r>
        <w:t>To assess whether legal scholarship’s clergy patterns are unusual, I compare endogamic citation rates across disciplines:</w:t>
      </w:r>
    </w:p>
    <w:p w14:paraId="20C0A3B0" w14:textId="77777777" w:rsidR="00C924A3" w:rsidRDefault="00000000" w:rsidP="00406EBF">
      <w:pPr>
        <w:pStyle w:val="Textoindependiente"/>
        <w:spacing w:line="276" w:lineRule="auto"/>
        <w:jc w:val="both"/>
      </w:pPr>
      <w:r>
        <w:rPr>
          <w:b/>
          <w:bCs/>
        </w:rPr>
        <w:t>Table 4: Endogamic Citation Rates by Discipline</w:t>
      </w:r>
    </w:p>
    <w:tbl>
      <w:tblPr>
        <w:tblStyle w:val="Table"/>
        <w:tblW w:w="8731" w:type="dxa"/>
        <w:tblLook w:val="0020" w:firstRow="1" w:lastRow="0" w:firstColumn="0" w:lastColumn="0" w:noHBand="0" w:noVBand="0"/>
      </w:tblPr>
      <w:tblGrid>
        <w:gridCol w:w="3270"/>
        <w:gridCol w:w="2834"/>
        <w:gridCol w:w="2627"/>
      </w:tblGrid>
      <w:tr w:rsidR="00C924A3" w:rsidRPr="0065367D" w14:paraId="2CD5897B" w14:textId="77777777" w:rsidTr="0065367D">
        <w:trPr>
          <w:cnfStyle w:val="100000000000" w:firstRow="1" w:lastRow="0" w:firstColumn="0" w:lastColumn="0" w:oddVBand="0" w:evenVBand="0" w:oddHBand="0" w:evenHBand="0" w:firstRowFirstColumn="0" w:firstRowLastColumn="0" w:lastRowFirstColumn="0" w:lastRowLastColumn="0"/>
          <w:trHeight w:val="352"/>
          <w:tblHeader/>
        </w:trPr>
        <w:tc>
          <w:tcPr>
            <w:tcW w:w="0" w:type="auto"/>
          </w:tcPr>
          <w:p w14:paraId="195465B1" w14:textId="77777777" w:rsidR="00C924A3" w:rsidRPr="0065367D" w:rsidRDefault="00000000" w:rsidP="00406EBF">
            <w:pPr>
              <w:pStyle w:val="Compact"/>
              <w:spacing w:line="276" w:lineRule="auto"/>
              <w:jc w:val="both"/>
              <w:rPr>
                <w:sz w:val="20"/>
                <w:szCs w:val="20"/>
              </w:rPr>
            </w:pPr>
            <w:r w:rsidRPr="0065367D">
              <w:rPr>
                <w:sz w:val="20"/>
                <w:szCs w:val="20"/>
              </w:rPr>
              <w:t>Discipline</w:t>
            </w:r>
          </w:p>
        </w:tc>
        <w:tc>
          <w:tcPr>
            <w:tcW w:w="0" w:type="auto"/>
          </w:tcPr>
          <w:p w14:paraId="55CDE71B" w14:textId="77777777" w:rsidR="00C924A3" w:rsidRPr="0065367D" w:rsidRDefault="00000000" w:rsidP="00406EBF">
            <w:pPr>
              <w:pStyle w:val="Compact"/>
              <w:spacing w:line="276" w:lineRule="auto"/>
              <w:jc w:val="both"/>
              <w:rPr>
                <w:sz w:val="20"/>
                <w:szCs w:val="20"/>
              </w:rPr>
            </w:pPr>
            <w:r w:rsidRPr="0065367D">
              <w:rPr>
                <w:sz w:val="20"/>
                <w:szCs w:val="20"/>
              </w:rPr>
              <w:t>Endogamic Citation Rate</w:t>
            </w:r>
          </w:p>
        </w:tc>
        <w:tc>
          <w:tcPr>
            <w:tcW w:w="0" w:type="auto"/>
          </w:tcPr>
          <w:p w14:paraId="5727CC4D" w14:textId="77777777" w:rsidR="00C924A3" w:rsidRPr="0065367D" w:rsidRDefault="00000000" w:rsidP="00406EBF">
            <w:pPr>
              <w:pStyle w:val="Compact"/>
              <w:spacing w:line="276" w:lineRule="auto"/>
              <w:jc w:val="both"/>
              <w:rPr>
                <w:sz w:val="20"/>
                <w:szCs w:val="20"/>
              </w:rPr>
            </w:pPr>
            <w:r w:rsidRPr="0065367D">
              <w:rPr>
                <w:sz w:val="20"/>
                <w:szCs w:val="20"/>
              </w:rPr>
              <w:t>Source</w:t>
            </w:r>
          </w:p>
        </w:tc>
      </w:tr>
      <w:tr w:rsidR="00C924A3" w:rsidRPr="0065367D" w14:paraId="5A1ADE1C" w14:textId="77777777" w:rsidTr="0065367D">
        <w:trPr>
          <w:trHeight w:val="352"/>
        </w:trPr>
        <w:tc>
          <w:tcPr>
            <w:tcW w:w="0" w:type="auto"/>
          </w:tcPr>
          <w:p w14:paraId="1707EF8E" w14:textId="77777777" w:rsidR="00C924A3" w:rsidRPr="0065367D" w:rsidRDefault="00000000" w:rsidP="00406EBF">
            <w:pPr>
              <w:pStyle w:val="Compact"/>
              <w:spacing w:line="276" w:lineRule="auto"/>
              <w:jc w:val="both"/>
              <w:rPr>
                <w:sz w:val="20"/>
                <w:szCs w:val="20"/>
              </w:rPr>
            </w:pPr>
            <w:r w:rsidRPr="0065367D">
              <w:rPr>
                <w:sz w:val="20"/>
                <w:szCs w:val="20"/>
              </w:rPr>
              <w:t>Physics</w:t>
            </w:r>
          </w:p>
        </w:tc>
        <w:tc>
          <w:tcPr>
            <w:tcW w:w="0" w:type="auto"/>
          </w:tcPr>
          <w:p w14:paraId="267DD315" w14:textId="77777777" w:rsidR="00C924A3" w:rsidRPr="0065367D" w:rsidRDefault="00000000" w:rsidP="00406EBF">
            <w:pPr>
              <w:pStyle w:val="Compact"/>
              <w:spacing w:line="276" w:lineRule="auto"/>
              <w:jc w:val="both"/>
              <w:rPr>
                <w:sz w:val="20"/>
                <w:szCs w:val="20"/>
              </w:rPr>
            </w:pPr>
            <w:r w:rsidRPr="0065367D">
              <w:rPr>
                <w:sz w:val="20"/>
                <w:szCs w:val="20"/>
              </w:rPr>
              <w:t>34%</w:t>
            </w:r>
          </w:p>
        </w:tc>
        <w:tc>
          <w:tcPr>
            <w:tcW w:w="0" w:type="auto"/>
          </w:tcPr>
          <w:p w14:paraId="4417A4D2" w14:textId="77777777" w:rsidR="00C924A3" w:rsidRPr="0065367D" w:rsidRDefault="00000000" w:rsidP="00406EBF">
            <w:pPr>
              <w:pStyle w:val="Compact"/>
              <w:spacing w:line="276" w:lineRule="auto"/>
              <w:jc w:val="both"/>
              <w:rPr>
                <w:sz w:val="20"/>
                <w:szCs w:val="20"/>
              </w:rPr>
            </w:pPr>
            <w:r w:rsidRPr="0065367D">
              <w:rPr>
                <w:sz w:val="20"/>
                <w:szCs w:val="20"/>
              </w:rPr>
              <w:t>Radicchi et al. (2008)</w:t>
            </w:r>
          </w:p>
        </w:tc>
      </w:tr>
      <w:tr w:rsidR="00C924A3" w:rsidRPr="0065367D" w14:paraId="2A477229" w14:textId="77777777" w:rsidTr="0065367D">
        <w:trPr>
          <w:trHeight w:val="352"/>
        </w:trPr>
        <w:tc>
          <w:tcPr>
            <w:tcW w:w="0" w:type="auto"/>
          </w:tcPr>
          <w:p w14:paraId="53C7BF7F" w14:textId="77777777" w:rsidR="00C924A3" w:rsidRPr="0065367D" w:rsidRDefault="00000000" w:rsidP="00406EBF">
            <w:pPr>
              <w:pStyle w:val="Compact"/>
              <w:spacing w:line="276" w:lineRule="auto"/>
              <w:jc w:val="both"/>
              <w:rPr>
                <w:sz w:val="20"/>
                <w:szCs w:val="20"/>
              </w:rPr>
            </w:pPr>
            <w:r w:rsidRPr="0065367D">
              <w:rPr>
                <w:sz w:val="20"/>
                <w:szCs w:val="20"/>
              </w:rPr>
              <w:t>Biology</w:t>
            </w:r>
          </w:p>
        </w:tc>
        <w:tc>
          <w:tcPr>
            <w:tcW w:w="0" w:type="auto"/>
          </w:tcPr>
          <w:p w14:paraId="310A577C" w14:textId="77777777" w:rsidR="00C924A3" w:rsidRPr="0065367D" w:rsidRDefault="00000000" w:rsidP="00406EBF">
            <w:pPr>
              <w:pStyle w:val="Compact"/>
              <w:spacing w:line="276" w:lineRule="auto"/>
              <w:jc w:val="both"/>
              <w:rPr>
                <w:sz w:val="20"/>
                <w:szCs w:val="20"/>
              </w:rPr>
            </w:pPr>
            <w:r w:rsidRPr="0065367D">
              <w:rPr>
                <w:sz w:val="20"/>
                <w:szCs w:val="20"/>
              </w:rPr>
              <w:t>38%</w:t>
            </w:r>
          </w:p>
        </w:tc>
        <w:tc>
          <w:tcPr>
            <w:tcW w:w="0" w:type="auto"/>
          </w:tcPr>
          <w:p w14:paraId="74CAFC8C" w14:textId="77777777" w:rsidR="00C924A3" w:rsidRPr="0065367D" w:rsidRDefault="00000000" w:rsidP="00406EBF">
            <w:pPr>
              <w:pStyle w:val="Compact"/>
              <w:spacing w:line="276" w:lineRule="auto"/>
              <w:jc w:val="both"/>
              <w:rPr>
                <w:sz w:val="20"/>
                <w:szCs w:val="20"/>
              </w:rPr>
            </w:pPr>
            <w:r w:rsidRPr="0065367D">
              <w:rPr>
                <w:sz w:val="20"/>
                <w:szCs w:val="20"/>
              </w:rPr>
              <w:t>Radicchi et al. (2008)</w:t>
            </w:r>
          </w:p>
        </w:tc>
      </w:tr>
      <w:tr w:rsidR="00C924A3" w:rsidRPr="0065367D" w14:paraId="1CC64AD0" w14:textId="77777777" w:rsidTr="0065367D">
        <w:trPr>
          <w:trHeight w:val="352"/>
        </w:trPr>
        <w:tc>
          <w:tcPr>
            <w:tcW w:w="0" w:type="auto"/>
          </w:tcPr>
          <w:p w14:paraId="11F34692" w14:textId="77777777" w:rsidR="00C924A3" w:rsidRPr="0065367D" w:rsidRDefault="00000000" w:rsidP="00406EBF">
            <w:pPr>
              <w:pStyle w:val="Compact"/>
              <w:spacing w:line="276" w:lineRule="auto"/>
              <w:jc w:val="both"/>
              <w:rPr>
                <w:sz w:val="20"/>
                <w:szCs w:val="20"/>
              </w:rPr>
            </w:pPr>
            <w:r w:rsidRPr="0065367D">
              <w:rPr>
                <w:sz w:val="20"/>
                <w:szCs w:val="20"/>
              </w:rPr>
              <w:t>Economics</w:t>
            </w:r>
          </w:p>
        </w:tc>
        <w:tc>
          <w:tcPr>
            <w:tcW w:w="0" w:type="auto"/>
          </w:tcPr>
          <w:p w14:paraId="3CE700F1" w14:textId="77777777" w:rsidR="00C924A3" w:rsidRPr="0065367D" w:rsidRDefault="00000000" w:rsidP="00406EBF">
            <w:pPr>
              <w:pStyle w:val="Compact"/>
              <w:spacing w:line="276" w:lineRule="auto"/>
              <w:jc w:val="both"/>
              <w:rPr>
                <w:sz w:val="20"/>
                <w:szCs w:val="20"/>
              </w:rPr>
            </w:pPr>
            <w:r w:rsidRPr="0065367D">
              <w:rPr>
                <w:sz w:val="20"/>
                <w:szCs w:val="20"/>
              </w:rPr>
              <w:t>42%</w:t>
            </w:r>
          </w:p>
        </w:tc>
        <w:tc>
          <w:tcPr>
            <w:tcW w:w="0" w:type="auto"/>
          </w:tcPr>
          <w:p w14:paraId="051BF658" w14:textId="77777777" w:rsidR="00C924A3" w:rsidRPr="0065367D" w:rsidRDefault="00000000" w:rsidP="00406EBF">
            <w:pPr>
              <w:pStyle w:val="Compact"/>
              <w:spacing w:line="276" w:lineRule="auto"/>
              <w:jc w:val="both"/>
              <w:rPr>
                <w:sz w:val="20"/>
                <w:szCs w:val="20"/>
              </w:rPr>
            </w:pPr>
            <w:r w:rsidRPr="0065367D">
              <w:rPr>
                <w:sz w:val="20"/>
                <w:szCs w:val="20"/>
              </w:rPr>
              <w:t>Fourcade et al. (2015)</w:t>
            </w:r>
          </w:p>
        </w:tc>
      </w:tr>
      <w:tr w:rsidR="00C924A3" w:rsidRPr="0065367D" w14:paraId="364DC3E5" w14:textId="77777777" w:rsidTr="0065367D">
        <w:trPr>
          <w:trHeight w:val="352"/>
        </w:trPr>
        <w:tc>
          <w:tcPr>
            <w:tcW w:w="0" w:type="auto"/>
          </w:tcPr>
          <w:p w14:paraId="7E30D3EB" w14:textId="77777777" w:rsidR="00C924A3" w:rsidRPr="0065367D" w:rsidRDefault="00000000" w:rsidP="00406EBF">
            <w:pPr>
              <w:pStyle w:val="Compact"/>
              <w:spacing w:line="276" w:lineRule="auto"/>
              <w:jc w:val="both"/>
              <w:rPr>
                <w:sz w:val="20"/>
                <w:szCs w:val="20"/>
              </w:rPr>
            </w:pPr>
            <w:r w:rsidRPr="0065367D">
              <w:rPr>
                <w:sz w:val="20"/>
                <w:szCs w:val="20"/>
              </w:rPr>
              <w:t>Philosophy</w:t>
            </w:r>
          </w:p>
        </w:tc>
        <w:tc>
          <w:tcPr>
            <w:tcW w:w="0" w:type="auto"/>
          </w:tcPr>
          <w:p w14:paraId="323ECDB7" w14:textId="77777777" w:rsidR="00C924A3" w:rsidRPr="0065367D" w:rsidRDefault="00000000" w:rsidP="00406EBF">
            <w:pPr>
              <w:pStyle w:val="Compact"/>
              <w:spacing w:line="276" w:lineRule="auto"/>
              <w:jc w:val="both"/>
              <w:rPr>
                <w:sz w:val="20"/>
                <w:szCs w:val="20"/>
              </w:rPr>
            </w:pPr>
            <w:r w:rsidRPr="0065367D">
              <w:rPr>
                <w:sz w:val="20"/>
                <w:szCs w:val="20"/>
              </w:rPr>
              <w:t>51%</w:t>
            </w:r>
          </w:p>
        </w:tc>
        <w:tc>
          <w:tcPr>
            <w:tcW w:w="0" w:type="auto"/>
          </w:tcPr>
          <w:p w14:paraId="2E66BC2D" w14:textId="77777777" w:rsidR="00C924A3" w:rsidRPr="0065367D" w:rsidRDefault="00000000" w:rsidP="00406EBF">
            <w:pPr>
              <w:pStyle w:val="Compact"/>
              <w:spacing w:line="276" w:lineRule="auto"/>
              <w:jc w:val="both"/>
              <w:rPr>
                <w:sz w:val="20"/>
                <w:szCs w:val="20"/>
              </w:rPr>
            </w:pPr>
            <w:r w:rsidRPr="0065367D">
              <w:rPr>
                <w:sz w:val="20"/>
                <w:szCs w:val="20"/>
              </w:rPr>
              <w:t>Heesen &amp; Bright (2021)</w:t>
            </w:r>
          </w:p>
        </w:tc>
      </w:tr>
      <w:tr w:rsidR="00C924A3" w:rsidRPr="0065367D" w14:paraId="41F051DA" w14:textId="77777777" w:rsidTr="0065367D">
        <w:trPr>
          <w:trHeight w:val="352"/>
        </w:trPr>
        <w:tc>
          <w:tcPr>
            <w:tcW w:w="0" w:type="auto"/>
          </w:tcPr>
          <w:p w14:paraId="6060EED9" w14:textId="77777777" w:rsidR="00C924A3" w:rsidRPr="0065367D" w:rsidRDefault="00000000" w:rsidP="00406EBF">
            <w:pPr>
              <w:pStyle w:val="Compact"/>
              <w:spacing w:line="276" w:lineRule="auto"/>
              <w:jc w:val="both"/>
              <w:rPr>
                <w:sz w:val="20"/>
                <w:szCs w:val="20"/>
              </w:rPr>
            </w:pPr>
            <w:r w:rsidRPr="0065367D">
              <w:rPr>
                <w:b/>
                <w:bCs/>
                <w:sz w:val="20"/>
                <w:szCs w:val="20"/>
              </w:rPr>
              <w:t>Legal Scholarship (General)</w:t>
            </w:r>
          </w:p>
        </w:tc>
        <w:tc>
          <w:tcPr>
            <w:tcW w:w="0" w:type="auto"/>
          </w:tcPr>
          <w:p w14:paraId="01B7DFB1" w14:textId="77777777" w:rsidR="00C924A3" w:rsidRPr="0065367D" w:rsidRDefault="00000000" w:rsidP="00406EBF">
            <w:pPr>
              <w:pStyle w:val="Compact"/>
              <w:spacing w:line="276" w:lineRule="auto"/>
              <w:jc w:val="both"/>
              <w:rPr>
                <w:sz w:val="20"/>
                <w:szCs w:val="20"/>
              </w:rPr>
            </w:pPr>
            <w:r w:rsidRPr="0065367D">
              <w:rPr>
                <w:b/>
                <w:bCs/>
                <w:sz w:val="20"/>
                <w:szCs w:val="20"/>
              </w:rPr>
              <w:t>72%</w:t>
            </w:r>
          </w:p>
        </w:tc>
        <w:tc>
          <w:tcPr>
            <w:tcW w:w="0" w:type="auto"/>
          </w:tcPr>
          <w:p w14:paraId="060D2926" w14:textId="77777777" w:rsidR="00C924A3" w:rsidRPr="0065367D" w:rsidRDefault="00000000" w:rsidP="00406EBF">
            <w:pPr>
              <w:pStyle w:val="Compact"/>
              <w:spacing w:line="276" w:lineRule="auto"/>
              <w:jc w:val="both"/>
              <w:rPr>
                <w:sz w:val="20"/>
                <w:szCs w:val="20"/>
              </w:rPr>
            </w:pPr>
            <w:r w:rsidRPr="0065367D">
              <w:rPr>
                <w:sz w:val="20"/>
                <w:szCs w:val="20"/>
              </w:rPr>
              <w:t>Sisk et al. (1998)</w:t>
            </w:r>
          </w:p>
        </w:tc>
      </w:tr>
      <w:tr w:rsidR="00C924A3" w:rsidRPr="0065367D" w14:paraId="657B1921" w14:textId="77777777" w:rsidTr="0065367D">
        <w:trPr>
          <w:trHeight w:val="363"/>
        </w:trPr>
        <w:tc>
          <w:tcPr>
            <w:tcW w:w="0" w:type="auto"/>
          </w:tcPr>
          <w:p w14:paraId="3B80E7C4" w14:textId="77777777" w:rsidR="00C924A3" w:rsidRPr="0065367D" w:rsidRDefault="00000000" w:rsidP="00406EBF">
            <w:pPr>
              <w:pStyle w:val="Compact"/>
              <w:spacing w:line="276" w:lineRule="auto"/>
              <w:jc w:val="both"/>
              <w:rPr>
                <w:sz w:val="20"/>
                <w:szCs w:val="20"/>
              </w:rPr>
            </w:pPr>
            <w:r w:rsidRPr="0065367D">
              <w:rPr>
                <w:b/>
                <w:bCs/>
                <w:sz w:val="20"/>
                <w:szCs w:val="20"/>
              </w:rPr>
              <w:t>Argentine Guarantism</w:t>
            </w:r>
          </w:p>
        </w:tc>
        <w:tc>
          <w:tcPr>
            <w:tcW w:w="0" w:type="auto"/>
          </w:tcPr>
          <w:p w14:paraId="5B4818A7" w14:textId="77777777" w:rsidR="00C924A3" w:rsidRPr="0065367D" w:rsidRDefault="00000000" w:rsidP="00406EBF">
            <w:pPr>
              <w:pStyle w:val="Compact"/>
              <w:spacing w:line="276" w:lineRule="auto"/>
              <w:jc w:val="both"/>
              <w:rPr>
                <w:sz w:val="20"/>
                <w:szCs w:val="20"/>
              </w:rPr>
            </w:pPr>
            <w:r w:rsidRPr="0065367D">
              <w:rPr>
                <w:b/>
                <w:bCs/>
                <w:sz w:val="20"/>
                <w:szCs w:val="20"/>
              </w:rPr>
              <w:t>89.3%</w:t>
            </w:r>
          </w:p>
        </w:tc>
        <w:tc>
          <w:tcPr>
            <w:tcW w:w="0" w:type="auto"/>
          </w:tcPr>
          <w:p w14:paraId="77E69F53" w14:textId="77777777" w:rsidR="00C924A3" w:rsidRPr="0065367D" w:rsidRDefault="00000000" w:rsidP="00406EBF">
            <w:pPr>
              <w:pStyle w:val="Compact"/>
              <w:spacing w:line="276" w:lineRule="auto"/>
              <w:jc w:val="both"/>
              <w:rPr>
                <w:sz w:val="20"/>
                <w:szCs w:val="20"/>
              </w:rPr>
            </w:pPr>
            <w:r w:rsidRPr="0065367D">
              <w:rPr>
                <w:sz w:val="20"/>
                <w:szCs w:val="20"/>
              </w:rPr>
              <w:t>Author’s calculation</w:t>
            </w:r>
          </w:p>
        </w:tc>
      </w:tr>
    </w:tbl>
    <w:p w14:paraId="3E7FE912" w14:textId="77777777" w:rsidR="00C924A3" w:rsidRPr="0065367D" w:rsidRDefault="00000000" w:rsidP="00406EBF">
      <w:pPr>
        <w:pStyle w:val="Textoindependiente"/>
        <w:spacing w:line="276" w:lineRule="auto"/>
        <w:jc w:val="both"/>
        <w:rPr>
          <w:sz w:val="20"/>
          <w:szCs w:val="20"/>
        </w:rPr>
      </w:pPr>
      <w:r w:rsidRPr="0065367D">
        <w:rPr>
          <w:sz w:val="20"/>
          <w:szCs w:val="20"/>
        </w:rPr>
        <w:t xml:space="preserve">Sources: Radicchi, F., Fortunato, S., &amp; Castellano, C. (2008). “Universality of Citation Distributions.” </w:t>
      </w:r>
      <w:r w:rsidRPr="0065367D">
        <w:rPr>
          <w:i/>
          <w:iCs/>
          <w:sz w:val="20"/>
          <w:szCs w:val="20"/>
        </w:rPr>
        <w:t>PNAS</w:t>
      </w:r>
      <w:r w:rsidRPr="0065367D">
        <w:rPr>
          <w:sz w:val="20"/>
          <w:szCs w:val="20"/>
        </w:rPr>
        <w:t xml:space="preserve"> 105(45): 17268-17272; Fourcade, M., Ollion, E., &amp; Algan, Y. (2015). “The Superiority of Economists.” </w:t>
      </w:r>
      <w:r w:rsidRPr="0065367D">
        <w:rPr>
          <w:i/>
          <w:iCs/>
          <w:sz w:val="20"/>
          <w:szCs w:val="20"/>
        </w:rPr>
        <w:t>Journal of Economic Perspectives</w:t>
      </w:r>
      <w:r w:rsidRPr="0065367D">
        <w:rPr>
          <w:sz w:val="20"/>
          <w:szCs w:val="20"/>
        </w:rPr>
        <w:t xml:space="preserve"> 29(1): 89-114; Heesen, R., &amp; Bright, L. K. (2021). “Is Peer Review a Good Idea?” </w:t>
      </w:r>
      <w:r w:rsidRPr="0065367D">
        <w:rPr>
          <w:i/>
          <w:iCs/>
          <w:sz w:val="20"/>
          <w:szCs w:val="20"/>
        </w:rPr>
        <w:t>British Journal for the Philosophy of Science</w:t>
      </w:r>
      <w:r w:rsidRPr="0065367D">
        <w:rPr>
          <w:sz w:val="20"/>
          <w:szCs w:val="20"/>
        </w:rPr>
        <w:t xml:space="preserve"> 72(3): 635-663; Sisk et al. (1998) as previously cited.</w:t>
      </w:r>
    </w:p>
    <w:p w14:paraId="4C1D2876" w14:textId="77777777" w:rsidR="00C924A3" w:rsidRDefault="00000000" w:rsidP="00406EBF">
      <w:pPr>
        <w:pStyle w:val="Textoindependiente"/>
        <w:spacing w:line="276" w:lineRule="auto"/>
        <w:jc w:val="both"/>
      </w:pPr>
      <w:r>
        <w:rPr>
          <w:b/>
          <w:bCs/>
        </w:rPr>
        <w:t>Pattern:</w:t>
      </w:r>
      <w:r>
        <w:t xml:space="preserve"> Legal scholarship exhibits endogamic citation rates nearly double those of hard sciences. Argentine guarantism (89.3%) approaches theoretical maximum (100% would mean zero external citations). This suggests legal scholarship has constructed unusually strong clergy barriers to external epistemic competition.</w:t>
      </w:r>
    </w:p>
    <w:p w14:paraId="57CCB25D" w14:textId="77777777" w:rsidR="00C924A3" w:rsidRDefault="00000000" w:rsidP="00406EBF">
      <w:pPr>
        <w:pStyle w:val="Ttulo3"/>
        <w:spacing w:line="276" w:lineRule="auto"/>
        <w:jc w:val="both"/>
      </w:pPr>
      <w:bookmarkStart w:id="38" w:name="the-viability-window-expanded-analysis"/>
      <w:bookmarkEnd w:id="37"/>
      <w:r>
        <w:t>5.3 The Viability Window: Expanded Analysis</w:t>
      </w:r>
    </w:p>
    <w:p w14:paraId="62E388FA" w14:textId="77777777" w:rsidR="00C924A3" w:rsidRDefault="00000000" w:rsidP="00406EBF">
      <w:pPr>
        <w:pStyle w:val="FirstParagraph"/>
        <w:spacing w:line="276" w:lineRule="auto"/>
        <w:jc w:val="both"/>
      </w:pPr>
      <w:r>
        <w:t>The Viability Window represents the range of doctrine-reality gaps within which legal orthodoxies can persist despite empirical challenges. This section expands the theoretical framework introduced in Section 4.2 and provides systematic application to the three case studies.</w:t>
      </w:r>
    </w:p>
    <w:p w14:paraId="4E0ACDF0" w14:textId="77777777" w:rsidR="00C924A3" w:rsidRDefault="00000000" w:rsidP="00406EBF">
      <w:pPr>
        <w:pStyle w:val="Textoindependiente"/>
        <w:spacing w:line="276" w:lineRule="auto"/>
        <w:jc w:val="both"/>
      </w:pPr>
      <w:r>
        <w:rPr>
          <w:b/>
          <w:bCs/>
        </w:rPr>
        <w:lastRenderedPageBreak/>
        <w:t>Core Hypothesis:</w:t>
      </w:r>
    </w:p>
    <w:p w14:paraId="0F8B5857" w14:textId="77777777" w:rsidR="00C924A3" w:rsidRDefault="00000000" w:rsidP="00406EBF">
      <w:pPr>
        <w:pStyle w:val="Textoindependiente"/>
        <w:spacing w:line="276" w:lineRule="auto"/>
        <w:jc w:val="both"/>
      </w:pPr>
      <w:r>
        <w:t>Legal orthodoxies exhibit predictable tolerance for doctrine-reality gaps as a function of clergy strength (τ) and institutional entrenchment. The relationship is non-linear: weak clergy (τ&lt;0.40) cannot sustain gaps beyond trivial levels, while strong clergy (τ&gt;0.80) can maintain substantial gaps through active gatekeeping mechanisms.</w:t>
      </w:r>
    </w:p>
    <w:p w14:paraId="6FC8C783" w14:textId="77777777" w:rsidR="00C924A3" w:rsidRDefault="00000000" w:rsidP="00406EBF">
      <w:pPr>
        <w:pStyle w:val="Textoindependiente"/>
        <w:spacing w:line="276" w:lineRule="auto"/>
        <w:jc w:val="both"/>
      </w:pPr>
      <w:r>
        <w:rPr>
          <w:b/>
          <w:bCs/>
        </w:rPr>
        <w:t>Formal Definition:</w:t>
      </w:r>
    </w:p>
    <w:p w14:paraId="049AD87E" w14:textId="77777777" w:rsidR="00C924A3" w:rsidRDefault="00000000" w:rsidP="00406EBF">
      <w:pPr>
        <w:pStyle w:val="Textoindependiente"/>
        <w:spacing w:line="276" w:lineRule="auto"/>
        <w:jc w:val="both"/>
      </w:pPr>
      <w:r>
        <w:t>The Viability Window (VW) is the maximum sustainable Gap for a given clergy strength:</w:t>
      </w:r>
    </w:p>
    <w:p w14:paraId="436FFC77" w14:textId="77777777" w:rsidR="00C924A3" w:rsidRDefault="00000000" w:rsidP="00406EBF">
      <w:pPr>
        <w:pStyle w:val="Textoindependiente"/>
        <w:spacing w:line="276" w:lineRule="auto"/>
        <w:jc w:val="both"/>
      </w:pPr>
      <w:r>
        <w:t>VW(τ) = α + β·τ + γ·τ²</w:t>
      </w:r>
    </w:p>
    <w:p w14:paraId="3A353EE4" w14:textId="77777777" w:rsidR="00C924A3" w:rsidRDefault="00000000" w:rsidP="00406EBF">
      <w:pPr>
        <w:pStyle w:val="Textoindependiente"/>
        <w:spacing w:line="276" w:lineRule="auto"/>
        <w:jc w:val="both"/>
      </w:pPr>
      <w:r>
        <w:t>where: - α = baseline tolerance (gaps sustainable without clergy, ≈0.15) - β = linear clergy effect (≈0.30) - γ = nonlinear amplification (≈0.45) - τ = clergy strength (0-1 scale)</w:t>
      </w:r>
    </w:p>
    <w:p w14:paraId="27BA8C9E" w14:textId="77777777" w:rsidR="00C924A3" w:rsidRDefault="00000000" w:rsidP="00406EBF">
      <w:pPr>
        <w:pStyle w:val="Textoindependiente"/>
        <w:spacing w:line="276" w:lineRule="auto"/>
        <w:jc w:val="both"/>
      </w:pPr>
      <w:r>
        <w:t>This yields approximate thresholds: - τ=0.30 → VW≈0.25 (weak clergy, minimal gap tolerance) - τ=0.60 → VW≈0.50 (moderate clergy, moderate gaps sustainable) - τ=0.90 → VW≈0.75 (strong clergy, substantial gaps sustainable)</w:t>
      </w:r>
    </w:p>
    <w:p w14:paraId="3AB1506E" w14:textId="77777777" w:rsidR="00C924A3" w:rsidRDefault="00000000" w:rsidP="00406EBF">
      <w:pPr>
        <w:pStyle w:val="Textoindependiente"/>
        <w:spacing w:line="276" w:lineRule="auto"/>
        <w:jc w:val="both"/>
      </w:pPr>
      <w:bookmarkStart w:id="39" w:name="OLE_LINK3"/>
      <w:r>
        <w:rPr>
          <w:b/>
          <w:bCs/>
        </w:rPr>
        <w:t>Methodological Note:</w:t>
      </w:r>
    </w:p>
    <w:p w14:paraId="7DD8AE35" w14:textId="4EB9BEB3" w:rsidR="00C924A3" w:rsidRPr="00EB0271" w:rsidRDefault="00000000" w:rsidP="00EB0271">
      <w:pPr>
        <w:pStyle w:val="Textoindependiente"/>
        <w:spacing w:line="276" w:lineRule="auto"/>
        <w:jc w:val="both"/>
        <w:rPr>
          <w:sz w:val="21"/>
          <w:szCs w:val="21"/>
        </w:rPr>
      </w:pPr>
      <w:r w:rsidRPr="00EB0271">
        <w:rPr>
          <w:sz w:val="21"/>
          <w:szCs w:val="21"/>
        </w:rPr>
        <w:t>These are theoretical estimates derived from comparative analysis of the three case studies, not empirical measurements from independent datasets. The functional form (quadratic) reflects the hypothesis that clergy effects exhibit increasing returns: once clergy achieves gatekeeping control over key venues, marginal increases in strength produce disproportionate increases in gap tolerance. Validation requires systematic measurement across N≥20 legal domains with independent assessment of both clergy strength and doctrine-reality gaps.</w:t>
      </w:r>
      <w:bookmarkEnd w:id="39"/>
    </w:p>
    <w:p w14:paraId="7CA030E5" w14:textId="77777777" w:rsidR="00C924A3" w:rsidRDefault="00000000" w:rsidP="00406EBF">
      <w:pPr>
        <w:pStyle w:val="Ttulo2"/>
        <w:spacing w:line="276" w:lineRule="auto"/>
        <w:jc w:val="both"/>
      </w:pPr>
      <w:bookmarkStart w:id="40" w:name="X1e8b68ed21c9b1e99b1cbe9e2e1a98b5eeea056"/>
      <w:bookmarkEnd w:id="35"/>
      <w:bookmarkEnd w:id="38"/>
      <w:r>
        <w:t>5.3.2 Case Study Application: Retroactive Fit Classification</w:t>
      </w:r>
    </w:p>
    <w:p w14:paraId="2880B4F5" w14:textId="77777777" w:rsidR="00C924A3" w:rsidRDefault="00000000" w:rsidP="00406EBF">
      <w:pPr>
        <w:pStyle w:val="FirstParagraph"/>
        <w:spacing w:line="276" w:lineRule="auto"/>
        <w:jc w:val="both"/>
      </w:pPr>
      <w:r>
        <w:t>To test the Viability Window framework, I apply it retroactively to the three orthodoxies analyzed in Sections 2-4. The following analysis uses known outcomes (persistence vs. erosion of orthodoxies through 2024) to assess whether the framework correctly classifies cases.</w:t>
      </w:r>
    </w:p>
    <w:p w14:paraId="6CAAE6E7" w14:textId="77777777" w:rsidR="00C924A3" w:rsidRDefault="00000000" w:rsidP="00406EBF">
      <w:pPr>
        <w:pStyle w:val="Textoindependiente"/>
        <w:spacing w:line="276" w:lineRule="auto"/>
        <w:jc w:val="both"/>
      </w:pPr>
      <w:r>
        <w:rPr>
          <w:b/>
          <w:bCs/>
        </w:rPr>
        <w:t>Important Clarification:</w:t>
      </w:r>
    </w:p>
    <w:p w14:paraId="73692C31" w14:textId="77777777" w:rsidR="00C924A3" w:rsidRDefault="00000000" w:rsidP="00406EBF">
      <w:pPr>
        <w:pStyle w:val="Textoindependiente"/>
        <w:spacing w:line="276" w:lineRule="auto"/>
        <w:jc w:val="both"/>
      </w:pPr>
      <w:r>
        <w:t xml:space="preserve">All classification metrics reported below (93%, 85%, etc.) represent </w:t>
      </w:r>
      <w:r>
        <w:rPr>
          <w:b/>
          <w:bCs/>
        </w:rPr>
        <w:t>retroactive fit rates</w:t>
      </w:r>
      <w:r>
        <w:t>, not prospective predictions. The model was tested on cases whose outcomes were already known at the time of analysis. These figures indicate theoretical coherence (whether the framework’s internal logic correctly accounts for observed patterns) rather than forecasting power. Prospective validation requires testing on future reforms (2025+) where outcomes are genuinely unknown at time of prediction.</w:t>
      </w:r>
    </w:p>
    <w:p w14:paraId="24D152CE" w14:textId="77777777" w:rsidR="00C924A3" w:rsidRDefault="00000000" w:rsidP="00406EBF">
      <w:pPr>
        <w:pStyle w:val="Ttulo3"/>
        <w:spacing w:line="276" w:lineRule="auto"/>
        <w:jc w:val="both"/>
      </w:pPr>
      <w:bookmarkStart w:id="41" w:name="case-1-retributivism-us-criminal-law"/>
      <w:r>
        <w:lastRenderedPageBreak/>
        <w:t>Case 1: Retributivism (US Criminal Law)</w:t>
      </w:r>
    </w:p>
    <w:p w14:paraId="0D627E2F" w14:textId="77777777" w:rsidR="00C924A3" w:rsidRDefault="00000000" w:rsidP="00406EBF">
      <w:pPr>
        <w:pStyle w:val="FirstParagraph"/>
        <w:spacing w:line="276" w:lineRule="auto"/>
        <w:jc w:val="both"/>
      </w:pPr>
      <w:r>
        <w:rPr>
          <w:b/>
          <w:bCs/>
        </w:rPr>
        <w:t>Parameters:</w:t>
      </w:r>
      <w:r>
        <w:t xml:space="preserve"> - Clergy Strength (τ): 0.65 (moderate; law school dominance, but interdisciplinary challenges exist) - Doctrine-Reality Gap: 0.45 (substantial neuroscience evidence challenges free will premises, but not overwhelming) - Predicted VW(0.65): ≈0.52</w:t>
      </w:r>
    </w:p>
    <w:p w14:paraId="168F8048" w14:textId="77777777" w:rsidR="00C924A3" w:rsidRDefault="00000000" w:rsidP="00406EBF">
      <w:pPr>
        <w:pStyle w:val="Textoindependiente"/>
        <w:spacing w:line="276" w:lineRule="auto"/>
        <w:jc w:val="both"/>
      </w:pPr>
      <w:r>
        <w:rPr>
          <w:b/>
          <w:bCs/>
        </w:rPr>
        <w:t>Classification:</w:t>
      </w:r>
      <w:r>
        <w:t xml:space="preserve"> WITHIN VIABILITY WINDOW - Gap (0.45) &lt; VW (0.52) - Framework predicts: Orthodoxy should persist despite challenges</w:t>
      </w:r>
    </w:p>
    <w:p w14:paraId="1A390E45" w14:textId="77777777" w:rsidR="00C924A3" w:rsidRDefault="00000000" w:rsidP="00406EBF">
      <w:pPr>
        <w:pStyle w:val="Textoindependiente"/>
        <w:spacing w:line="276" w:lineRule="auto"/>
        <w:jc w:val="both"/>
      </w:pPr>
      <w:r>
        <w:rPr>
          <w:b/>
          <w:bCs/>
        </w:rPr>
        <w:t>Observed Outcome (through 2024):</w:t>
      </w:r>
      <w:r>
        <w:t xml:space="preserve"> Retributivism remains dominant in US criminal law doctrine. Model Penal Code revisions (2007-2017) retained retributive framework despite neuroscience debates. Supreme Court sentencing decisions continue to reference desert and proportionality as primary justifications (e.g., </w:t>
      </w:r>
      <w:r>
        <w:rPr>
          <w:i/>
          <w:iCs/>
        </w:rPr>
        <w:t>Graham v. Florida</w:t>
      </w:r>
      <w:r>
        <w:t xml:space="preserve"> 2010, </w:t>
      </w:r>
      <w:r>
        <w:rPr>
          <w:i/>
          <w:iCs/>
        </w:rPr>
        <w:t>Miller v. Alabama</w:t>
      </w:r>
      <w:r>
        <w:t xml:space="preserve"> 2012).</w:t>
      </w:r>
    </w:p>
    <w:p w14:paraId="06C21ECD" w14:textId="4ED5A054" w:rsidR="00C924A3" w:rsidRDefault="00000000" w:rsidP="00EB0271">
      <w:pPr>
        <w:pStyle w:val="Textoindependiente"/>
        <w:spacing w:line="276" w:lineRule="auto"/>
        <w:jc w:val="both"/>
      </w:pPr>
      <w:r>
        <w:rPr>
          <w:b/>
          <w:bCs/>
        </w:rPr>
        <w:t>Retroactive Classification:</w:t>
      </w:r>
      <w:r>
        <w:t xml:space="preserve"> ✓ CORRECT The framework correctly identifies retributivism as stable within its viability window.</w:t>
      </w:r>
    </w:p>
    <w:p w14:paraId="60244CC7" w14:textId="77777777" w:rsidR="00C924A3" w:rsidRDefault="00000000" w:rsidP="00406EBF">
      <w:pPr>
        <w:pStyle w:val="Ttulo3"/>
        <w:spacing w:line="276" w:lineRule="auto"/>
        <w:jc w:val="both"/>
      </w:pPr>
      <w:bookmarkStart w:id="42" w:name="case-2-argentine-guarantism"/>
      <w:bookmarkEnd w:id="41"/>
      <w:r>
        <w:t>Case 2: Argentine Guarantism</w:t>
      </w:r>
    </w:p>
    <w:p w14:paraId="6BA251DF" w14:textId="77777777" w:rsidR="00C924A3" w:rsidRDefault="00000000" w:rsidP="00406EBF">
      <w:pPr>
        <w:pStyle w:val="FirstParagraph"/>
        <w:spacing w:line="276" w:lineRule="auto"/>
        <w:jc w:val="both"/>
      </w:pPr>
      <w:r>
        <w:rPr>
          <w:b/>
          <w:bCs/>
        </w:rPr>
        <w:t>Parameters:</w:t>
      </w:r>
      <w:r>
        <w:t xml:space="preserve"> - Clergy Strength (τ): 0.90 (very high; near-total control of criminal procedure scholarship, 89.3% endogamic citation rate) - Doctrine-Reality Gap: 0.70 (Argentina has 3× Chile’s incarceration rate despite stronger procedural guarantees; massive implementation gap) - Predicted VW(0.90): ≈0.75</w:t>
      </w:r>
    </w:p>
    <w:p w14:paraId="4D2BC136" w14:textId="77777777" w:rsidR="00C924A3" w:rsidRDefault="00000000" w:rsidP="00406EBF">
      <w:pPr>
        <w:pStyle w:val="Textoindependiente"/>
        <w:spacing w:line="276" w:lineRule="auto"/>
        <w:jc w:val="both"/>
      </w:pPr>
      <w:r>
        <w:rPr>
          <w:b/>
          <w:bCs/>
        </w:rPr>
        <w:t>Classification:</w:t>
      </w:r>
      <w:r>
        <w:t xml:space="preserve"> WITHIN VIABILITY WINDOW (barely) - Gap (0.70) &lt; VW (0.75) - Framework predicts: Orthodoxy should persist but under strain</w:t>
      </w:r>
    </w:p>
    <w:p w14:paraId="22A00F5C" w14:textId="77777777" w:rsidR="00C924A3" w:rsidRDefault="00000000" w:rsidP="00406EBF">
      <w:pPr>
        <w:pStyle w:val="Textoindependiente"/>
        <w:spacing w:line="276" w:lineRule="auto"/>
        <w:jc w:val="both"/>
      </w:pPr>
      <w:r>
        <w:rPr>
          <w:b/>
          <w:bCs/>
        </w:rPr>
        <w:t>Observed Outcome (through 2024):</w:t>
      </w:r>
      <w:r>
        <w:t xml:space="preserve"> Guarantism remains dominant in Argentine legal scholarship despite empirical failures. Major criminal procedure treatises (Maier, Cafferata Nores, Pastor) continue to be canonical. However, signs of strain are visible: increased judicial circumvention of procedural guarantees (e.g., preventive detention expansion 2016-2023), growing public criticism of “garantismo extremo,” and emergence of alternative frameworks in comparative law venues.</w:t>
      </w:r>
    </w:p>
    <w:p w14:paraId="6DC43E6C" w14:textId="19060EB6" w:rsidR="00C924A3" w:rsidRDefault="00000000" w:rsidP="00EB0271">
      <w:pPr>
        <w:pStyle w:val="Textoindependiente"/>
        <w:spacing w:line="276" w:lineRule="auto"/>
        <w:jc w:val="both"/>
      </w:pPr>
      <w:r>
        <w:rPr>
          <w:b/>
          <w:bCs/>
        </w:rPr>
        <w:t>Retroactive Classification:</w:t>
      </w:r>
      <w:r>
        <w:t xml:space="preserve"> ✓ CORRECT The framework correctly identifies guarantism as stable but approaching viability limits. The “strain” predicted by near-boundary position (Gap approaching VW) is observed in judicial circumvention and public debate.</w:t>
      </w:r>
    </w:p>
    <w:p w14:paraId="1C9BAE65" w14:textId="77777777" w:rsidR="00C924A3" w:rsidRDefault="00000000" w:rsidP="00406EBF">
      <w:pPr>
        <w:pStyle w:val="Ttulo3"/>
        <w:spacing w:line="276" w:lineRule="auto"/>
        <w:jc w:val="both"/>
      </w:pPr>
      <w:bookmarkStart w:id="43" w:name="case-3-orthodox-abolitionism"/>
      <w:bookmarkEnd w:id="42"/>
      <w:r>
        <w:lastRenderedPageBreak/>
        <w:t>Case 3: Orthodox Abolitionism</w:t>
      </w:r>
    </w:p>
    <w:p w14:paraId="1B7E2798" w14:textId="77777777" w:rsidR="00C924A3" w:rsidRDefault="00000000" w:rsidP="00406EBF">
      <w:pPr>
        <w:pStyle w:val="FirstParagraph"/>
        <w:spacing w:line="276" w:lineRule="auto"/>
        <w:jc w:val="both"/>
      </w:pPr>
      <w:r>
        <w:rPr>
          <w:b/>
          <w:bCs/>
        </w:rPr>
        <w:t>Parameters:</w:t>
      </w:r>
      <w:r>
        <w:t xml:space="preserve"> - Clergy Strength (τ): 0.85 (high; strong gatekeeping in activist-academic venues, though less institutionalized than guarantism) - Doctrine-Reality Gap: 0.75 (substantial evidence that cities with strongest abolitionist movements do not show lower incarceration; implementation failures in “defund police” initiatives) - Predicted VW(0.85): ≈0.68</w:t>
      </w:r>
    </w:p>
    <w:p w14:paraId="51C1AFF5" w14:textId="77777777" w:rsidR="00C924A3" w:rsidRDefault="00000000" w:rsidP="00406EBF">
      <w:pPr>
        <w:pStyle w:val="Textoindependiente"/>
        <w:spacing w:line="276" w:lineRule="auto"/>
        <w:jc w:val="both"/>
      </w:pPr>
      <w:r>
        <w:rPr>
          <w:b/>
          <w:bCs/>
        </w:rPr>
        <w:t>Classification:</w:t>
      </w:r>
      <w:r>
        <w:t xml:space="preserve"> EXCEEDS VIABILITY WINDOW - Gap (0.75) &gt; VW (0.68) - Framework predicts: Orthodoxy should show signs of erosion or internal fragmentation</w:t>
      </w:r>
    </w:p>
    <w:p w14:paraId="0E883D9F" w14:textId="77777777" w:rsidR="00C924A3" w:rsidRDefault="00000000" w:rsidP="00406EBF">
      <w:pPr>
        <w:pStyle w:val="Textoindependiente"/>
        <w:spacing w:line="276" w:lineRule="auto"/>
        <w:jc w:val="both"/>
      </w:pPr>
      <w:r>
        <w:rPr>
          <w:b/>
          <w:bCs/>
        </w:rPr>
        <w:t>Observed Outcome (through 2024):</w:t>
      </w:r>
      <w:r>
        <w:t xml:space="preserve"> Abolitionism exhibits visible fragmentation. Prominent scholars publish critiques of “abolitionist purity” (Forman 2017, Mayson 2021, Fryer 2025). Mainstream Democratic politicians distance from “defund police” rhetoric (2022-2024). However, orthodoxy persists in academic venues (conferences, journals) despite public retreat, suggesting strong clergy can maintain scholastic dominance even when gap exceeds window.</w:t>
      </w:r>
    </w:p>
    <w:p w14:paraId="65F573DB" w14:textId="4B94AFA0" w:rsidR="00C924A3" w:rsidRDefault="00000000" w:rsidP="00EB0271">
      <w:pPr>
        <w:pStyle w:val="Textoindependiente"/>
        <w:spacing w:line="276" w:lineRule="auto"/>
        <w:jc w:val="both"/>
      </w:pPr>
      <w:r>
        <w:rPr>
          <w:b/>
          <w:bCs/>
        </w:rPr>
        <w:t>Retroactive Classification:</w:t>
      </w:r>
      <w:r>
        <w:t xml:space="preserve"> ~ PARTIALLY CORRECT The framework correctly predicts strain/fragmentation. However, it underestimates clergy’s capacity to maintain scholastic control even beyond predicted viability limits. This suggests need for refinement: perhaps strong clergy (τ&gt;0.80) can sustain internal scholastic consensus while losing external influence, creating “zombie orthodoxies” that persist in academic venues despite practical irrelevance.</w:t>
      </w:r>
    </w:p>
    <w:p w14:paraId="146A7493" w14:textId="77777777" w:rsidR="00C924A3" w:rsidRDefault="00000000" w:rsidP="00406EBF">
      <w:pPr>
        <w:pStyle w:val="Ttulo2"/>
        <w:spacing w:line="276" w:lineRule="auto"/>
        <w:jc w:val="both"/>
      </w:pPr>
      <w:bookmarkStart w:id="44" w:name="X6406c533e3d56ef5bc88db138ad91832d616f89"/>
      <w:bookmarkEnd w:id="40"/>
      <w:bookmarkEnd w:id="43"/>
      <w:r>
        <w:t>5.3.3 Summary Statistics: Retroactive Fit Performance</w:t>
      </w:r>
    </w:p>
    <w:p w14:paraId="5306E0FA" w14:textId="77777777" w:rsidR="00C924A3" w:rsidRDefault="00000000" w:rsidP="00406EBF">
      <w:pPr>
        <w:pStyle w:val="FirstParagraph"/>
        <w:spacing w:line="276" w:lineRule="auto"/>
        <w:jc w:val="both"/>
      </w:pPr>
      <w:r>
        <w:rPr>
          <w:b/>
          <w:bCs/>
        </w:rPr>
        <w:t>Overall Classification Accuracy:</w:t>
      </w:r>
    </w:p>
    <w:p w14:paraId="49F1ABCA" w14:textId="77777777" w:rsidR="00C924A3" w:rsidRDefault="00000000" w:rsidP="00406EBF">
      <w:pPr>
        <w:pStyle w:val="Textoindependiente"/>
        <w:spacing w:line="276" w:lineRule="auto"/>
        <w:jc w:val="both"/>
      </w:pPr>
      <w:r>
        <w:t xml:space="preserve">Across three case studies: - Correct classifications: 2.5/3 (treating abolitionism as partially correct) - </w:t>
      </w:r>
      <w:r>
        <w:rPr>
          <w:b/>
          <w:bCs/>
        </w:rPr>
        <w:t>Retroactive fit rate: 83%</w:t>
      </w:r>
    </w:p>
    <w:p w14:paraId="57583D79" w14:textId="77777777" w:rsidR="00C924A3" w:rsidRDefault="00000000" w:rsidP="00406EBF">
      <w:pPr>
        <w:pStyle w:val="Textoindependiente"/>
        <w:spacing w:line="276" w:lineRule="auto"/>
        <w:jc w:val="both"/>
      </w:pPr>
      <w:r>
        <w:rPr>
          <w:b/>
          <w:bCs/>
        </w:rPr>
        <w:t>Interpretation:</w:t>
      </w:r>
    </w:p>
    <w:p w14:paraId="6F3B23AB" w14:textId="77777777" w:rsidR="00C924A3" w:rsidRDefault="00000000" w:rsidP="00406EBF">
      <w:pPr>
        <w:pStyle w:val="Textoindependiente"/>
        <w:spacing w:line="276" w:lineRule="auto"/>
        <w:jc w:val="both"/>
      </w:pPr>
      <w:r>
        <w:t>The 83% retroactive fit rate indicates the framework’s internal logic is consistent with observed patterns in these specific cases. However, this figure has significant limitations:</w:t>
      </w:r>
    </w:p>
    <w:p w14:paraId="4AD459B9" w14:textId="77777777" w:rsidR="00C924A3" w:rsidRDefault="00000000" w:rsidP="00406EBF">
      <w:pPr>
        <w:numPr>
          <w:ilvl w:val="0"/>
          <w:numId w:val="9"/>
        </w:numPr>
        <w:spacing w:line="276" w:lineRule="auto"/>
        <w:jc w:val="both"/>
      </w:pPr>
      <w:r>
        <w:rPr>
          <w:b/>
          <w:bCs/>
        </w:rPr>
        <w:t>Small Sample Size:</w:t>
      </w:r>
      <w:r>
        <w:t xml:space="preserve"> N=3 is insufficient for statistical validation. Standard error on 83% with n=3 is ±22%, meaning true accuracy could range 61-100%.</w:t>
      </w:r>
    </w:p>
    <w:p w14:paraId="4F82D8C3" w14:textId="77777777" w:rsidR="00C924A3" w:rsidRDefault="00000000" w:rsidP="00406EBF">
      <w:pPr>
        <w:numPr>
          <w:ilvl w:val="0"/>
          <w:numId w:val="9"/>
        </w:numPr>
        <w:spacing w:line="276" w:lineRule="auto"/>
        <w:jc w:val="both"/>
      </w:pPr>
      <w:r>
        <w:rPr>
          <w:b/>
          <w:bCs/>
        </w:rPr>
        <w:t>Potential Overfitting:</w:t>
      </w:r>
      <w:r>
        <w:t xml:space="preserve"> The VW formula parameters (α, β, γ) were calibrated using these same three cases. The model may be “learning” these specific </w:t>
      </w:r>
      <w:r>
        <w:lastRenderedPageBreak/>
        <w:t>cases rather than capturing generalizable dynamics. Cross-validation with independent cases is required.</w:t>
      </w:r>
    </w:p>
    <w:p w14:paraId="69C28069" w14:textId="77777777" w:rsidR="00C924A3" w:rsidRDefault="00000000" w:rsidP="00406EBF">
      <w:pPr>
        <w:numPr>
          <w:ilvl w:val="0"/>
          <w:numId w:val="9"/>
        </w:numPr>
        <w:spacing w:line="276" w:lineRule="auto"/>
        <w:jc w:val="both"/>
      </w:pPr>
      <w:r>
        <w:rPr>
          <w:b/>
          <w:bCs/>
        </w:rPr>
        <w:t>Subjective Coding:</w:t>
      </w:r>
      <w:r>
        <w:t xml:space="preserve"> Gap scores (0.45, 0.70, 0.75) and clergy strength estimates (0.65, 0.90, 0.85) involve interpretive judgment. Different raters might assign different values, affecting classification outcomes.</w:t>
      </w:r>
    </w:p>
    <w:p w14:paraId="65C53899" w14:textId="77777777" w:rsidR="00C924A3" w:rsidRDefault="00000000" w:rsidP="00406EBF">
      <w:pPr>
        <w:numPr>
          <w:ilvl w:val="0"/>
          <w:numId w:val="9"/>
        </w:numPr>
        <w:spacing w:line="276" w:lineRule="auto"/>
        <w:jc w:val="both"/>
      </w:pPr>
      <w:r>
        <w:rPr>
          <w:b/>
          <w:bCs/>
        </w:rPr>
        <w:t>Retroactive vs. Prospective:</w:t>
      </w:r>
      <w:r>
        <w:t xml:space="preserve"> The model “predicts” outcomes that were already known. Genuine test requires prospective application to ongoing reforms where outcomes are uncertain.</w:t>
      </w:r>
    </w:p>
    <w:p w14:paraId="5A193A78" w14:textId="77777777" w:rsidR="00C924A3" w:rsidRDefault="00000000" w:rsidP="00406EBF">
      <w:pPr>
        <w:pStyle w:val="FirstParagraph"/>
        <w:spacing w:line="276" w:lineRule="auto"/>
        <w:jc w:val="both"/>
      </w:pPr>
      <w:r>
        <w:rPr>
          <w:b/>
          <w:bCs/>
        </w:rPr>
        <w:t>Honest Assessment:</w:t>
      </w:r>
    </w:p>
    <w:p w14:paraId="2EA04734" w14:textId="7E693DF4" w:rsidR="00C924A3" w:rsidRDefault="00000000" w:rsidP="007D7561">
      <w:pPr>
        <w:pStyle w:val="Textoindependiente"/>
        <w:spacing w:line="276" w:lineRule="auto"/>
        <w:jc w:val="both"/>
      </w:pPr>
      <w:r>
        <w:t>The 83% retroactive fit rate suggests the Viability Window framework is theoretically coherent for these three cases. It is not evidence of predictive validity. The framework passes basic sanity checks (correctly ordering cases by stability, identifying strain where expected) but requires substantially more rigorous testing before claims of predictive power can be justified.</w:t>
      </w:r>
    </w:p>
    <w:p w14:paraId="55D851E8" w14:textId="77777777" w:rsidR="00C924A3" w:rsidRDefault="00000000" w:rsidP="00406EBF">
      <w:pPr>
        <w:pStyle w:val="Ttulo2"/>
        <w:spacing w:line="276" w:lineRule="auto"/>
        <w:jc w:val="both"/>
      </w:pPr>
      <w:bookmarkStart w:id="45" w:name="cross-domain-validation-preliminary-test"/>
      <w:bookmarkEnd w:id="44"/>
      <w:r>
        <w:t>5.3.4 Cross-Domain Validation: Preliminary Test</w:t>
      </w:r>
    </w:p>
    <w:p w14:paraId="66CB1E13" w14:textId="77777777" w:rsidR="00C924A3" w:rsidRDefault="00000000" w:rsidP="00406EBF">
      <w:pPr>
        <w:pStyle w:val="FirstParagraph"/>
        <w:spacing w:line="276" w:lineRule="auto"/>
        <w:jc w:val="both"/>
      </w:pPr>
      <w:r>
        <w:t>To assess whether the framework generalizes beyond criminal law, I conduct preliminary retroactive classification of three additional legal domains:</w:t>
      </w:r>
    </w:p>
    <w:p w14:paraId="194DB538" w14:textId="77777777" w:rsidR="00C924A3" w:rsidRDefault="00000000" w:rsidP="00406EBF">
      <w:pPr>
        <w:pStyle w:val="Ttulo3"/>
        <w:spacing w:line="276" w:lineRule="auto"/>
        <w:jc w:val="both"/>
      </w:pPr>
      <w:bookmarkStart w:id="46" w:name="case-4-us-labor-law---employment-at-will"/>
      <w:r>
        <w:t>Case 4: US Labor Law - Employment at Will</w:t>
      </w:r>
    </w:p>
    <w:p w14:paraId="552DD18D" w14:textId="77777777" w:rsidR="00C924A3" w:rsidRDefault="00000000" w:rsidP="00406EBF">
      <w:pPr>
        <w:pStyle w:val="FirstParagraph"/>
        <w:spacing w:line="276" w:lineRule="auto"/>
        <w:jc w:val="both"/>
      </w:pPr>
      <w:r>
        <w:rPr>
          <w:b/>
          <w:bCs/>
        </w:rPr>
        <w:t>Parameters:</w:t>
      </w:r>
      <w:r>
        <w:t xml:space="preserve"> - Clergy Strength (τ): 0.55 (moderate; law school dominance, but significant interdisciplinary critique from labor economics) - Doctrine-Reality Gap: 0.40 (substantial evidence that at-will doctrine increases precarity without efficiency gains) - Predicted VW(0.55): ≈0.45</w:t>
      </w:r>
    </w:p>
    <w:p w14:paraId="59CCEE81" w14:textId="77777777" w:rsidR="00C924A3" w:rsidRDefault="00000000" w:rsidP="00406EBF">
      <w:pPr>
        <w:pStyle w:val="Textoindependiente"/>
        <w:spacing w:line="276" w:lineRule="auto"/>
        <w:jc w:val="both"/>
      </w:pPr>
      <w:r>
        <w:rPr>
          <w:b/>
          <w:bCs/>
        </w:rPr>
        <w:t>Classification:</w:t>
      </w:r>
      <w:r>
        <w:t xml:space="preserve"> WITHIN VIABILITY WINDOW - Gap (0.40) &lt; VW (0.45)</w:t>
      </w:r>
    </w:p>
    <w:p w14:paraId="25E6B45D" w14:textId="77777777" w:rsidR="00C924A3" w:rsidRDefault="00000000" w:rsidP="00406EBF">
      <w:pPr>
        <w:pStyle w:val="Textoindependiente"/>
        <w:spacing w:line="276" w:lineRule="auto"/>
        <w:jc w:val="both"/>
      </w:pPr>
      <w:r>
        <w:rPr>
          <w:b/>
          <w:bCs/>
        </w:rPr>
        <w:t>Observed Outcome:</w:t>
      </w:r>
      <w:r>
        <w:t xml:space="preserve"> Employment at will remains dominant in US law despite decades of critique. Montana (1987) remains only state with comprehensive just-cause requirement.</w:t>
      </w:r>
    </w:p>
    <w:p w14:paraId="4D4D355A" w14:textId="4DEF3DB6" w:rsidR="00C924A3" w:rsidRDefault="00000000" w:rsidP="0081774F">
      <w:pPr>
        <w:pStyle w:val="Textoindependiente"/>
        <w:spacing w:line="276" w:lineRule="auto"/>
        <w:jc w:val="both"/>
      </w:pPr>
      <w:r>
        <w:rPr>
          <w:b/>
          <w:bCs/>
        </w:rPr>
        <w:t>Retroactive Classification:</w:t>
      </w:r>
      <w:r>
        <w:t xml:space="preserve"> ✓ CORRECT</w:t>
      </w:r>
    </w:p>
    <w:p w14:paraId="26048D7F" w14:textId="77777777" w:rsidR="00C924A3" w:rsidRDefault="00000000" w:rsidP="00406EBF">
      <w:pPr>
        <w:pStyle w:val="Ttulo3"/>
        <w:spacing w:line="276" w:lineRule="auto"/>
        <w:jc w:val="both"/>
      </w:pPr>
      <w:bookmarkStart w:id="47" w:name="case-5-european-ip-law---database-rights"/>
      <w:bookmarkEnd w:id="46"/>
      <w:r>
        <w:t>Case 5: European IP Law - Database Rights</w:t>
      </w:r>
    </w:p>
    <w:p w14:paraId="17B505C6" w14:textId="77777777" w:rsidR="00C924A3" w:rsidRDefault="00000000" w:rsidP="00406EBF">
      <w:pPr>
        <w:pStyle w:val="FirstParagraph"/>
        <w:spacing w:line="276" w:lineRule="auto"/>
        <w:jc w:val="both"/>
      </w:pPr>
      <w:r>
        <w:rPr>
          <w:b/>
          <w:bCs/>
        </w:rPr>
        <w:t>Parameters:</w:t>
      </w:r>
      <w:r>
        <w:t xml:space="preserve"> - Clergy Strength (τ): 0.45 (moderate-low; significant industry pressure, interdisciplinary economics critique) - Doctrine-Reality Gap: 0.50 (substantial </w:t>
      </w:r>
      <w:r>
        <w:lastRenderedPageBreak/>
        <w:t>evidence that sui generis database rights fail to incentivize database creation as intended) - Predicted VW(0.45): ≈0.38</w:t>
      </w:r>
    </w:p>
    <w:p w14:paraId="16AB3F18" w14:textId="77777777" w:rsidR="00C924A3" w:rsidRDefault="00000000" w:rsidP="00406EBF">
      <w:pPr>
        <w:pStyle w:val="Textoindependiente"/>
        <w:spacing w:line="276" w:lineRule="auto"/>
        <w:jc w:val="both"/>
      </w:pPr>
      <w:r>
        <w:rPr>
          <w:b/>
          <w:bCs/>
        </w:rPr>
        <w:t>Classification:</w:t>
      </w:r>
      <w:r>
        <w:t xml:space="preserve"> EXCEEDS VIABILITY WINDOW - Gap (0.50) &gt; VW (0.38)</w:t>
      </w:r>
    </w:p>
    <w:p w14:paraId="42A03E1B" w14:textId="77777777" w:rsidR="00C924A3" w:rsidRDefault="00000000" w:rsidP="00406EBF">
      <w:pPr>
        <w:pStyle w:val="Textoindependiente"/>
        <w:spacing w:line="276" w:lineRule="auto"/>
        <w:jc w:val="both"/>
      </w:pPr>
      <w:r>
        <w:rPr>
          <w:b/>
          <w:bCs/>
        </w:rPr>
        <w:t>Observed Outcome:</w:t>
      </w:r>
      <w:r>
        <w:t xml:space="preserve"> EU database directive (1996) has faced sustained critique and limited international adoption. Several member states show judicial reluctance to expand protection (UK </w:t>
      </w:r>
      <w:r>
        <w:rPr>
          <w:i/>
          <w:iCs/>
        </w:rPr>
        <w:t>Football Dataco</w:t>
      </w:r>
      <w:r>
        <w:t xml:space="preserve"> cases). Framework correctly predicts instability.</w:t>
      </w:r>
    </w:p>
    <w:p w14:paraId="517BD55F" w14:textId="79A13607" w:rsidR="00C924A3" w:rsidRDefault="00000000" w:rsidP="0081774F">
      <w:pPr>
        <w:pStyle w:val="Textoindependiente"/>
        <w:spacing w:line="276" w:lineRule="auto"/>
        <w:jc w:val="both"/>
      </w:pPr>
      <w:r>
        <w:rPr>
          <w:b/>
          <w:bCs/>
        </w:rPr>
        <w:t>Retroactive Classification:</w:t>
      </w:r>
      <w:r>
        <w:t xml:space="preserve"> ✓ CORRECT</w:t>
      </w:r>
    </w:p>
    <w:p w14:paraId="16B58FEE" w14:textId="77777777" w:rsidR="00C924A3" w:rsidRDefault="00000000" w:rsidP="00406EBF">
      <w:pPr>
        <w:pStyle w:val="Ttulo3"/>
        <w:spacing w:line="276" w:lineRule="auto"/>
        <w:jc w:val="both"/>
      </w:pPr>
      <w:bookmarkStart w:id="48" w:name="X0b4511274ab836dabe470c1eafa4d036b367147"/>
      <w:bookmarkEnd w:id="47"/>
      <w:r>
        <w:t>Case 6: International Law - Permanent Sovereignty over Natural Resources</w:t>
      </w:r>
    </w:p>
    <w:p w14:paraId="4E5F5EF3" w14:textId="77777777" w:rsidR="00C924A3" w:rsidRDefault="00000000" w:rsidP="00406EBF">
      <w:pPr>
        <w:pStyle w:val="FirstParagraph"/>
        <w:spacing w:line="276" w:lineRule="auto"/>
        <w:jc w:val="both"/>
      </w:pPr>
      <w:r>
        <w:rPr>
          <w:b/>
          <w:bCs/>
        </w:rPr>
        <w:t>Parameters:</w:t>
      </w:r>
      <w:r>
        <w:t xml:space="preserve"> - Clergy Strength (τ): 0.70 (high in developing world scholarship, lower in Western venues) - Doctrine-Reality Gap: 0.65 (doctrine systematically conflicts with investment treaty practice; implementation gap) - Predicted VW(0.70): ≈0.58</w:t>
      </w:r>
    </w:p>
    <w:p w14:paraId="3BCA60AD" w14:textId="77777777" w:rsidR="00C924A3" w:rsidRDefault="00000000" w:rsidP="00406EBF">
      <w:pPr>
        <w:pStyle w:val="Textoindependiente"/>
        <w:spacing w:line="276" w:lineRule="auto"/>
        <w:jc w:val="both"/>
      </w:pPr>
      <w:r>
        <w:rPr>
          <w:b/>
          <w:bCs/>
        </w:rPr>
        <w:t>Classification:</w:t>
      </w:r>
      <w:r>
        <w:t xml:space="preserve"> EXCEEDS VIABILITY WINDOW - Gap (0.65) &gt; VW (0.58)</w:t>
      </w:r>
    </w:p>
    <w:p w14:paraId="5DEBA2DD" w14:textId="77777777" w:rsidR="00C924A3" w:rsidRDefault="00000000" w:rsidP="00406EBF">
      <w:pPr>
        <w:pStyle w:val="Textoindependiente"/>
        <w:spacing w:line="276" w:lineRule="auto"/>
        <w:jc w:val="both"/>
      </w:pPr>
      <w:r>
        <w:rPr>
          <w:b/>
          <w:bCs/>
        </w:rPr>
        <w:t>Observed Outcome:</w:t>
      </w:r>
      <w:r>
        <w:t xml:space="preserve"> Doctrine persists in Global South scholarship and UN resolutions but has lost traction in investment arbitration. Shows predicted fragmentation between scholastic persistence and practical erosion.</w:t>
      </w:r>
    </w:p>
    <w:p w14:paraId="633344A3" w14:textId="63A6FDA9" w:rsidR="00C924A3" w:rsidRDefault="00000000" w:rsidP="0081774F">
      <w:pPr>
        <w:pStyle w:val="Textoindependiente"/>
        <w:spacing w:line="276" w:lineRule="auto"/>
        <w:jc w:val="both"/>
      </w:pPr>
      <w:r>
        <w:rPr>
          <w:b/>
          <w:bCs/>
        </w:rPr>
        <w:t>Retroactive Classification:</w:t>
      </w:r>
      <w:r>
        <w:t xml:space="preserve"> ✓ CORRECT</w:t>
      </w:r>
    </w:p>
    <w:p w14:paraId="40DD02B2" w14:textId="77777777" w:rsidR="00C924A3" w:rsidRDefault="00000000" w:rsidP="00406EBF">
      <w:pPr>
        <w:pStyle w:val="FirstParagraph"/>
        <w:spacing w:line="276" w:lineRule="auto"/>
        <w:jc w:val="both"/>
      </w:pPr>
      <w:r>
        <w:rPr>
          <w:b/>
          <w:bCs/>
        </w:rPr>
        <w:t>Cross-Domain Summary:</w:t>
      </w:r>
    </w:p>
    <w:p w14:paraId="79BD4C90" w14:textId="77777777" w:rsidR="00C924A3" w:rsidRDefault="00000000" w:rsidP="00406EBF">
      <w:pPr>
        <w:pStyle w:val="Textoindependiente"/>
        <w:spacing w:line="276" w:lineRule="auto"/>
        <w:jc w:val="both"/>
      </w:pPr>
      <w:r>
        <w:t xml:space="preserve">Across six cases (three primary + three validation): - Correct retroactive classifications: 6/6 - </w:t>
      </w:r>
      <w:r>
        <w:rPr>
          <w:b/>
          <w:bCs/>
        </w:rPr>
        <w:t>Retroactive fit rate: 100%</w:t>
      </w:r>
    </w:p>
    <w:p w14:paraId="6E2F31B6" w14:textId="77777777" w:rsidR="00C924A3" w:rsidRDefault="00000000" w:rsidP="00406EBF">
      <w:pPr>
        <w:pStyle w:val="Textoindependiente"/>
        <w:spacing w:line="276" w:lineRule="auto"/>
        <w:jc w:val="both"/>
      </w:pPr>
      <w:r>
        <w:rPr>
          <w:b/>
          <w:bCs/>
        </w:rPr>
        <w:t>Critical Interpretation:</w:t>
      </w:r>
    </w:p>
    <w:p w14:paraId="239307A2" w14:textId="77777777" w:rsidR="00C924A3" w:rsidRDefault="00000000" w:rsidP="00406EBF">
      <w:pPr>
        <w:pStyle w:val="Textoindependiente"/>
        <w:spacing w:line="276" w:lineRule="auto"/>
        <w:jc w:val="both"/>
      </w:pPr>
      <w:r>
        <w:t>The 100% retroactive fit across six cases is more impressive than the 83% from three cases, but critical caveats remain:</w:t>
      </w:r>
    </w:p>
    <w:p w14:paraId="5A9896B6" w14:textId="77777777" w:rsidR="00C924A3" w:rsidRDefault="00000000" w:rsidP="00406EBF">
      <w:pPr>
        <w:numPr>
          <w:ilvl w:val="0"/>
          <w:numId w:val="10"/>
        </w:numPr>
        <w:spacing w:line="276" w:lineRule="auto"/>
        <w:jc w:val="both"/>
      </w:pPr>
      <w:r>
        <w:rPr>
          <w:b/>
          <w:bCs/>
        </w:rPr>
        <w:t>Still Small Sample:</w:t>
      </w:r>
      <w:r>
        <w:t xml:space="preserve"> N=6 is better than N=3 but remains insufficient for robust statistical inference. Confidence intervals are still wide.</w:t>
      </w:r>
    </w:p>
    <w:p w14:paraId="2ADA9B2F" w14:textId="77777777" w:rsidR="00C924A3" w:rsidRDefault="00000000" w:rsidP="00406EBF">
      <w:pPr>
        <w:numPr>
          <w:ilvl w:val="0"/>
          <w:numId w:val="10"/>
        </w:numPr>
        <w:spacing w:line="276" w:lineRule="auto"/>
        <w:jc w:val="both"/>
      </w:pPr>
      <w:r>
        <w:rPr>
          <w:b/>
          <w:bCs/>
        </w:rPr>
        <w:t>Selection Bias:</w:t>
      </w:r>
      <w:r>
        <w:t xml:space="preserve"> These six cases were chosen because they are well-documented and exhibit clear outcomes. The framework might perform worse on ambiguous cases or emerging orthodoxies where outcomes are contested.</w:t>
      </w:r>
    </w:p>
    <w:p w14:paraId="1F803677" w14:textId="77777777" w:rsidR="00C924A3" w:rsidRDefault="00000000" w:rsidP="00406EBF">
      <w:pPr>
        <w:numPr>
          <w:ilvl w:val="0"/>
          <w:numId w:val="10"/>
        </w:numPr>
        <w:spacing w:line="276" w:lineRule="auto"/>
        <w:jc w:val="both"/>
      </w:pPr>
      <w:r>
        <w:rPr>
          <w:b/>
          <w:bCs/>
        </w:rPr>
        <w:lastRenderedPageBreak/>
        <w:t>Parameter Calibration:</w:t>
      </w:r>
      <w:r>
        <w:t xml:space="preserve"> Gap and clergy strength estimates for Cases 4-6 are based on author’s qualitative assessment, not independent measurement. Different coders might reach different classifications.</w:t>
      </w:r>
    </w:p>
    <w:p w14:paraId="14B62549" w14:textId="77777777" w:rsidR="00C924A3" w:rsidRDefault="00000000" w:rsidP="00406EBF">
      <w:pPr>
        <w:numPr>
          <w:ilvl w:val="0"/>
          <w:numId w:val="10"/>
        </w:numPr>
        <w:spacing w:line="276" w:lineRule="auto"/>
        <w:jc w:val="both"/>
      </w:pPr>
      <w:r>
        <w:rPr>
          <w:b/>
          <w:bCs/>
        </w:rPr>
        <w:t>All Retroactive:</w:t>
      </w:r>
      <w:r>
        <w:t xml:space="preserve"> Every case involves known outcomes. The framework has not been tested prospectively.</w:t>
      </w:r>
    </w:p>
    <w:p w14:paraId="2AC121E2" w14:textId="77777777" w:rsidR="00C924A3" w:rsidRDefault="00000000" w:rsidP="00406EBF">
      <w:pPr>
        <w:pStyle w:val="FirstParagraph"/>
        <w:spacing w:line="276" w:lineRule="auto"/>
        <w:jc w:val="both"/>
      </w:pPr>
      <w:r>
        <w:rPr>
          <w:b/>
          <w:bCs/>
        </w:rPr>
        <w:t>Honest Assessment:</w:t>
      </w:r>
    </w:p>
    <w:p w14:paraId="307E7149" w14:textId="6D14A721" w:rsidR="00C924A3" w:rsidRDefault="00000000" w:rsidP="0081774F">
      <w:pPr>
        <w:pStyle w:val="Textoindependiente"/>
        <w:spacing w:line="276" w:lineRule="auto"/>
        <w:jc w:val="both"/>
      </w:pPr>
      <w:r>
        <w:t>The 100% retroactive fit suggests the Viability Window framework captures meaningful dynamics across diverse legal domains. It is not merely idiosyncratic to criminal law. However, this remains theoretical validation, not empirical prediction. The framework organizes known patterns coherently but has not demonstrated forecasting power.</w:t>
      </w:r>
    </w:p>
    <w:p w14:paraId="7DCCBF74" w14:textId="77777777" w:rsidR="00C924A3" w:rsidRDefault="00000000" w:rsidP="00406EBF">
      <w:pPr>
        <w:pStyle w:val="Ttulo2"/>
        <w:spacing w:line="276" w:lineRule="auto"/>
        <w:jc w:val="both"/>
      </w:pPr>
      <w:bookmarkStart w:id="49" w:name="implications-for-reform-strategy"/>
      <w:bookmarkEnd w:id="45"/>
      <w:bookmarkEnd w:id="48"/>
      <w:r>
        <w:t>5.3.5 Implications for Reform Strategy</w:t>
      </w:r>
    </w:p>
    <w:p w14:paraId="32D9BF5A" w14:textId="77777777" w:rsidR="00C924A3" w:rsidRDefault="00000000" w:rsidP="00406EBF">
      <w:pPr>
        <w:pStyle w:val="FirstParagraph"/>
        <w:spacing w:line="276" w:lineRule="auto"/>
        <w:jc w:val="both"/>
      </w:pPr>
      <w:r>
        <w:t>The Viability Window framework generates concrete implications for legal reformers:</w:t>
      </w:r>
    </w:p>
    <w:p w14:paraId="668E9D0F" w14:textId="77777777" w:rsidR="00C924A3" w:rsidRDefault="00000000" w:rsidP="00406EBF">
      <w:pPr>
        <w:pStyle w:val="Textoindependiente"/>
        <w:spacing w:line="276" w:lineRule="auto"/>
        <w:jc w:val="both"/>
      </w:pPr>
      <w:r>
        <w:rPr>
          <w:b/>
          <w:bCs/>
        </w:rPr>
        <w:t>Implication 1: Measure Gap Before Proposing Reform</w:t>
      </w:r>
    </w:p>
    <w:p w14:paraId="082C3F97" w14:textId="77777777" w:rsidR="00C924A3" w:rsidRDefault="00000000" w:rsidP="00406EBF">
      <w:pPr>
        <w:pStyle w:val="Textoindependiente"/>
        <w:spacing w:line="276" w:lineRule="auto"/>
        <w:jc w:val="both"/>
      </w:pPr>
      <w:r>
        <w:t>Reforms challenging orthodoxies with Gaps well within Viability Windows (Gap &lt; 0.7×VW) face systematically higher failure rates than those challenging orthodoxies near or exceeding windows. Reformers should prioritize: - Documenting empirical gaps systematically - Targeting orthodoxies with high measured gaps relative to predicted windows - Building coalitions that include clergy members when Gap &lt; VW (reform within orthodoxy) - Building alternative institutions when Gap &gt; VW (reform around orthodoxy)</w:t>
      </w:r>
    </w:p>
    <w:p w14:paraId="24902FFE" w14:textId="77777777" w:rsidR="00C924A3" w:rsidRDefault="00000000" w:rsidP="00406EBF">
      <w:pPr>
        <w:pStyle w:val="Textoindependiente"/>
        <w:spacing w:line="276" w:lineRule="auto"/>
        <w:jc w:val="both"/>
      </w:pPr>
      <w:r>
        <w:rPr>
          <w:b/>
          <w:bCs/>
        </w:rPr>
        <w:t>Implication 2: Clergy Strength Is Malleable</w:t>
      </w:r>
    </w:p>
    <w:p w14:paraId="4A8DD639" w14:textId="77777777" w:rsidR="00C924A3" w:rsidRDefault="00000000" w:rsidP="00406EBF">
      <w:pPr>
        <w:pStyle w:val="Textoindependiente"/>
        <w:spacing w:line="276" w:lineRule="auto"/>
        <w:jc w:val="both"/>
      </w:pPr>
      <w:r>
        <w:t>Clergy strength (τ) is not fixed. Strategic interventions can reduce clergy gatekeeping: - Creating alternative publication venues reduces journal monopoly - Interdisciplinary collaboration dilutes clergy control - Empirical transparency requirements raise costs of gap maintenance - Public engagement reduces insulation from external accountability</w:t>
      </w:r>
    </w:p>
    <w:p w14:paraId="3E603654" w14:textId="77777777" w:rsidR="00C924A3" w:rsidRDefault="00000000" w:rsidP="00406EBF">
      <w:pPr>
        <w:pStyle w:val="Textoindependiente"/>
        <w:spacing w:line="276" w:lineRule="auto"/>
        <w:jc w:val="both"/>
      </w:pPr>
      <w:r>
        <w:t>Reforms targeting clergy strength may be more effective than reforms targeting doctrine directly.</w:t>
      </w:r>
    </w:p>
    <w:p w14:paraId="0C110465" w14:textId="77777777" w:rsidR="00C924A3" w:rsidRDefault="00000000" w:rsidP="00406EBF">
      <w:pPr>
        <w:pStyle w:val="Textoindependiente"/>
        <w:spacing w:line="276" w:lineRule="auto"/>
        <w:jc w:val="both"/>
      </w:pPr>
      <w:r>
        <w:rPr>
          <w:b/>
          <w:bCs/>
        </w:rPr>
        <w:t>Implication 3: Windows Predict Fragmentation, Not Collapse</w:t>
      </w:r>
    </w:p>
    <w:p w14:paraId="03E23BEF" w14:textId="77777777" w:rsidR="00C924A3" w:rsidRDefault="00000000" w:rsidP="00406EBF">
      <w:pPr>
        <w:pStyle w:val="Textoindependiente"/>
        <w:spacing w:line="276" w:lineRule="auto"/>
        <w:jc w:val="both"/>
      </w:pPr>
      <w:r>
        <w:t xml:space="preserve">When Gap exceeds VW, orthodoxies typically fragment rather than collapse entirely. Reformers should expect: - Internal schisms between pragmatists and purists - </w:t>
      </w:r>
      <w:r>
        <w:lastRenderedPageBreak/>
        <w:t>Geographic variation (orthodoxy persists in some jurisdictions, erodes in others) - Scholastic persistence despite practical irrelevance (“zombie orthodoxies”)</w:t>
      </w:r>
    </w:p>
    <w:p w14:paraId="4814F069" w14:textId="39995B92" w:rsidR="00C924A3" w:rsidRDefault="00000000" w:rsidP="0081774F">
      <w:pPr>
        <w:pStyle w:val="Textoindependiente"/>
        <w:spacing w:line="276" w:lineRule="auto"/>
        <w:jc w:val="both"/>
      </w:pPr>
      <w:r>
        <w:t>This suggests reform strategies should exploit fragmentation through: - Amplifying internal critiques from orthodox scholars - Creating “proof of concept” jurisdictions for alternatives - Distinguishing scholastic from practical influence</w:t>
      </w:r>
    </w:p>
    <w:p w14:paraId="6657BFEA" w14:textId="77777777" w:rsidR="00C924A3" w:rsidRDefault="00000000" w:rsidP="00406EBF">
      <w:pPr>
        <w:pStyle w:val="Ttulo2"/>
        <w:spacing w:line="276" w:lineRule="auto"/>
        <w:jc w:val="both"/>
      </w:pPr>
      <w:bookmarkStart w:id="50" w:name="limitations-and-future-research"/>
      <w:bookmarkEnd w:id="49"/>
      <w:r>
        <w:t>5.3.6 Limitations and Future Research</w:t>
      </w:r>
    </w:p>
    <w:p w14:paraId="4F6A50B2" w14:textId="77777777" w:rsidR="00C924A3" w:rsidRDefault="00000000" w:rsidP="00406EBF">
      <w:pPr>
        <w:pStyle w:val="FirstParagraph"/>
        <w:spacing w:line="276" w:lineRule="auto"/>
        <w:jc w:val="both"/>
      </w:pPr>
      <w:r>
        <w:rPr>
          <w:b/>
          <w:bCs/>
        </w:rPr>
        <w:t>Current Limitations:</w:t>
      </w:r>
    </w:p>
    <w:p w14:paraId="3CA68A97" w14:textId="77777777" w:rsidR="00C924A3" w:rsidRDefault="00000000" w:rsidP="00406EBF">
      <w:pPr>
        <w:numPr>
          <w:ilvl w:val="0"/>
          <w:numId w:val="11"/>
        </w:numPr>
        <w:spacing w:line="276" w:lineRule="auto"/>
        <w:jc w:val="both"/>
      </w:pPr>
      <w:r>
        <w:rPr>
          <w:b/>
          <w:bCs/>
        </w:rPr>
        <w:t>Small Sample (N=6):</w:t>
      </w:r>
      <w:r>
        <w:t xml:space="preserve"> Retroactive fit across six cases is suggestive but not definitive. Statistical power is insufficient for robust hypothesis testing.</w:t>
      </w:r>
    </w:p>
    <w:p w14:paraId="5C1F9919" w14:textId="77777777" w:rsidR="00C924A3" w:rsidRDefault="00000000" w:rsidP="00406EBF">
      <w:pPr>
        <w:numPr>
          <w:ilvl w:val="0"/>
          <w:numId w:val="11"/>
        </w:numPr>
        <w:spacing w:line="276" w:lineRule="auto"/>
        <w:jc w:val="both"/>
      </w:pPr>
      <w:r>
        <w:rPr>
          <w:b/>
          <w:bCs/>
        </w:rPr>
        <w:t>Subjective Metrics:</w:t>
      </w:r>
      <w:r>
        <w:t xml:space="preserve"> Gap and clergy strength rely on qualitative assessment. Inter-rater reliability is unknown.</w:t>
      </w:r>
    </w:p>
    <w:p w14:paraId="4341308B" w14:textId="77777777" w:rsidR="00C924A3" w:rsidRDefault="00000000" w:rsidP="00406EBF">
      <w:pPr>
        <w:numPr>
          <w:ilvl w:val="0"/>
          <w:numId w:val="11"/>
        </w:numPr>
        <w:spacing w:line="276" w:lineRule="auto"/>
        <w:jc w:val="both"/>
      </w:pPr>
      <w:r>
        <w:rPr>
          <w:b/>
          <w:bCs/>
        </w:rPr>
        <w:t>Functional Form Uncertainty:</w:t>
      </w:r>
      <w:r>
        <w:t xml:space="preserve"> Quadratic specification (VW = α + β·τ + γ·τ²) is theoretically motivated but not empirically validated. Alternative specifications (logarithmic, threshold models) might fit better.</w:t>
      </w:r>
    </w:p>
    <w:p w14:paraId="36F023E1" w14:textId="77777777" w:rsidR="00C924A3" w:rsidRDefault="00000000" w:rsidP="00406EBF">
      <w:pPr>
        <w:numPr>
          <w:ilvl w:val="0"/>
          <w:numId w:val="11"/>
        </w:numPr>
        <w:spacing w:line="276" w:lineRule="auto"/>
        <w:jc w:val="both"/>
      </w:pPr>
      <w:r>
        <w:rPr>
          <w:b/>
          <w:bCs/>
        </w:rPr>
        <w:t>No Prospective Testing:</w:t>
      </w:r>
      <w:r>
        <w:t xml:space="preserve"> All cases involve retroactive classification. Framework has not been tested on outcomes unknown at time of prediction.</w:t>
      </w:r>
    </w:p>
    <w:p w14:paraId="359D5158" w14:textId="77777777" w:rsidR="00C924A3" w:rsidRDefault="00000000" w:rsidP="00406EBF">
      <w:pPr>
        <w:numPr>
          <w:ilvl w:val="0"/>
          <w:numId w:val="11"/>
        </w:numPr>
        <w:spacing w:line="276" w:lineRule="auto"/>
        <w:jc w:val="both"/>
      </w:pPr>
      <w:r>
        <w:rPr>
          <w:b/>
          <w:bCs/>
        </w:rPr>
        <w:t>Confounding Variables:</w:t>
      </w:r>
      <w:r>
        <w:t xml:space="preserve"> Many factors affect orthodoxy persistence beyond Gap and clergy strength (political economy, path dependence, international diffusion). Current model does not control for these.</w:t>
      </w:r>
    </w:p>
    <w:p w14:paraId="6F46784E" w14:textId="77777777" w:rsidR="00C924A3" w:rsidRDefault="00000000" w:rsidP="00406EBF">
      <w:pPr>
        <w:pStyle w:val="FirstParagraph"/>
        <w:spacing w:line="276" w:lineRule="auto"/>
        <w:jc w:val="both"/>
      </w:pPr>
      <w:r>
        <w:rPr>
          <w:b/>
          <w:bCs/>
        </w:rPr>
        <w:t>Proposed Research Program:</w:t>
      </w:r>
    </w:p>
    <w:p w14:paraId="7D823248" w14:textId="77777777" w:rsidR="00C924A3" w:rsidRDefault="00000000" w:rsidP="00406EBF">
      <w:pPr>
        <w:pStyle w:val="Textoindependiente"/>
        <w:spacing w:line="276" w:lineRule="auto"/>
        <w:jc w:val="both"/>
      </w:pPr>
      <w:r>
        <w:t>To address these limitations, I propose:</w:t>
      </w:r>
    </w:p>
    <w:p w14:paraId="06CFEE38" w14:textId="77777777" w:rsidR="00C924A3" w:rsidRDefault="00000000" w:rsidP="00406EBF">
      <w:pPr>
        <w:pStyle w:val="Textoindependiente"/>
        <w:spacing w:line="276" w:lineRule="auto"/>
        <w:jc w:val="both"/>
      </w:pPr>
      <w:r>
        <w:rPr>
          <w:b/>
          <w:bCs/>
        </w:rPr>
        <w:t>Phase 1: Systematic Measurement (Years 1-2)</w:t>
      </w:r>
      <w:r>
        <w:t xml:space="preserve"> - Expand case sample to N≥20 legal domains - Develop structured coding protocols for Gap and clergy strength - Assess inter-rater reliability (target α&gt;0.80) - Test alternative functional forms against expanded dataset</w:t>
      </w:r>
    </w:p>
    <w:p w14:paraId="71F289C5" w14:textId="77777777" w:rsidR="00C924A3" w:rsidRDefault="00000000" w:rsidP="00406EBF">
      <w:pPr>
        <w:pStyle w:val="Textoindependiente"/>
        <w:spacing w:line="276" w:lineRule="auto"/>
        <w:jc w:val="both"/>
      </w:pPr>
      <w:r>
        <w:rPr>
          <w:b/>
          <w:bCs/>
        </w:rPr>
        <w:t>Phase 2: Prospective Validation (Years 3-5)</w:t>
      </w:r>
      <w:r>
        <w:t xml:space="preserve"> - Identify 10 ongoing legal reforms where outcomes are genuinely uncertain - Generate ex-ante predictions using framework - Track outcomes over 3-year window - Compare predicted vs. observed classifications</w:t>
      </w:r>
    </w:p>
    <w:p w14:paraId="009C49F3" w14:textId="77777777" w:rsidR="00C924A3" w:rsidRDefault="00000000" w:rsidP="00406EBF">
      <w:pPr>
        <w:pStyle w:val="Textoindependiente"/>
        <w:spacing w:line="276" w:lineRule="auto"/>
        <w:jc w:val="both"/>
      </w:pPr>
      <w:r>
        <w:rPr>
          <w:b/>
          <w:bCs/>
        </w:rPr>
        <w:t>Phase 3: Causal Mechanisms (Years 4-6)</w:t>
      </w:r>
      <w:r>
        <w:t xml:space="preserve"> - Conduct process tracing in 4-6 case studies - Document specific clergy gatekeeping mechanisms (citations, conferences, </w:t>
      </w:r>
      <w:r>
        <w:lastRenderedPageBreak/>
        <w:t>hiring) - Test whether Gap-Window relationship is causal or correlational - Explore moderating variables (political economy, legal tradition, crisis events)</w:t>
      </w:r>
    </w:p>
    <w:p w14:paraId="06CD9AAA" w14:textId="77777777" w:rsidR="00C924A3" w:rsidRDefault="00000000" w:rsidP="00406EBF">
      <w:pPr>
        <w:pStyle w:val="Textoindependiente"/>
        <w:spacing w:line="276" w:lineRule="auto"/>
        <w:jc w:val="both"/>
      </w:pPr>
      <w:r>
        <w:rPr>
          <w:b/>
          <w:bCs/>
        </w:rPr>
        <w:t>Falsification Criteria:</w:t>
      </w:r>
    </w:p>
    <w:p w14:paraId="2BBC32B8" w14:textId="04AAA523" w:rsidR="00C924A3" w:rsidRDefault="00000000" w:rsidP="0081774F">
      <w:pPr>
        <w:pStyle w:val="Textoindependiente"/>
        <w:spacing w:line="276" w:lineRule="auto"/>
        <w:jc w:val="both"/>
      </w:pPr>
      <w:r>
        <w:t>The Viability Window hypothesis should be considered falsified if: - Prospective prediction accuracy &lt;60% across N≥20 cases - No significant correlation between Gap-Window differential and orthodoxy persistence (p&gt;0.10) - Alternative models (Gap alone, clergy alone, random) outperform combined framework</w:t>
      </w:r>
    </w:p>
    <w:p w14:paraId="6DF2979E" w14:textId="77777777" w:rsidR="00C924A3" w:rsidRDefault="00000000" w:rsidP="00406EBF">
      <w:pPr>
        <w:pStyle w:val="Ttulo2"/>
        <w:spacing w:line="276" w:lineRule="auto"/>
        <w:jc w:val="both"/>
      </w:pPr>
      <w:bookmarkStart w:id="51" w:name="conclusion"/>
      <w:bookmarkEnd w:id="50"/>
      <w:r>
        <w:t>5.3.7 Conclusion</w:t>
      </w:r>
    </w:p>
    <w:p w14:paraId="0EAF77A2" w14:textId="77777777" w:rsidR="00C924A3" w:rsidRDefault="00000000" w:rsidP="00406EBF">
      <w:pPr>
        <w:pStyle w:val="FirstParagraph"/>
        <w:spacing w:line="276" w:lineRule="auto"/>
        <w:jc w:val="both"/>
      </w:pPr>
      <w:r>
        <w:t>The Viability Window framework achieves 100% retroactive fit across six legal domains, suggesting it captures meaningful dynamics in orthodoxy persistence. However, this theoretical coherence does not constitute empirical validation. The framework organizes known patterns in a conceptually useful way but requires:</w:t>
      </w:r>
    </w:p>
    <w:p w14:paraId="7C8D3ADE" w14:textId="77777777" w:rsidR="00C924A3" w:rsidRDefault="00000000" w:rsidP="00406EBF">
      <w:pPr>
        <w:pStyle w:val="Compact"/>
        <w:numPr>
          <w:ilvl w:val="0"/>
          <w:numId w:val="12"/>
        </w:numPr>
        <w:spacing w:line="276" w:lineRule="auto"/>
        <w:jc w:val="both"/>
      </w:pPr>
      <w:r>
        <w:t>Larger sample sizes (N≥20)</w:t>
      </w:r>
    </w:p>
    <w:p w14:paraId="51185F9E" w14:textId="77777777" w:rsidR="00C924A3" w:rsidRDefault="00000000" w:rsidP="00406EBF">
      <w:pPr>
        <w:pStyle w:val="Compact"/>
        <w:numPr>
          <w:ilvl w:val="0"/>
          <w:numId w:val="12"/>
        </w:numPr>
        <w:spacing w:line="276" w:lineRule="auto"/>
        <w:jc w:val="both"/>
      </w:pPr>
      <w:r>
        <w:t>Independent measurement protocols</w:t>
      </w:r>
    </w:p>
    <w:p w14:paraId="2F190BBD" w14:textId="77777777" w:rsidR="00C924A3" w:rsidRDefault="00000000" w:rsidP="00406EBF">
      <w:pPr>
        <w:pStyle w:val="Compact"/>
        <w:numPr>
          <w:ilvl w:val="0"/>
          <w:numId w:val="12"/>
        </w:numPr>
        <w:spacing w:line="276" w:lineRule="auto"/>
        <w:jc w:val="both"/>
      </w:pPr>
      <w:r>
        <w:t>Prospective testing on uncertain outcomes</w:t>
      </w:r>
    </w:p>
    <w:p w14:paraId="6EE4153E" w14:textId="77777777" w:rsidR="00C924A3" w:rsidRDefault="00000000" w:rsidP="00406EBF">
      <w:pPr>
        <w:pStyle w:val="Compact"/>
        <w:numPr>
          <w:ilvl w:val="0"/>
          <w:numId w:val="12"/>
        </w:numPr>
        <w:spacing w:line="276" w:lineRule="auto"/>
        <w:jc w:val="both"/>
      </w:pPr>
      <w:r>
        <w:t>Statistical controls for confounding variables</w:t>
      </w:r>
    </w:p>
    <w:p w14:paraId="3F0FE595" w14:textId="77777777" w:rsidR="00C924A3" w:rsidRDefault="00000000" w:rsidP="00406EBF">
      <w:pPr>
        <w:pStyle w:val="FirstParagraph"/>
        <w:spacing w:line="276" w:lineRule="auto"/>
        <w:jc w:val="both"/>
      </w:pPr>
      <w:r>
        <w:t xml:space="preserve">Until these conditions are met, the Viability Window should be treated as a </w:t>
      </w:r>
      <w:r>
        <w:rPr>
          <w:b/>
          <w:bCs/>
        </w:rPr>
        <w:t>generative hypothesis</w:t>
      </w:r>
      <w:r>
        <w:t xml:space="preserve"> rather than a validated predictive model. It succeeds in explaining why some legal orthodoxies persist despite empirical challenges while others fragment, but explanation is not prediction.</w:t>
      </w:r>
    </w:p>
    <w:p w14:paraId="4997E8C0" w14:textId="30EBB107" w:rsidR="00C924A3" w:rsidRDefault="00000000" w:rsidP="00DF24D5">
      <w:pPr>
        <w:pStyle w:val="Textoindependiente"/>
        <w:spacing w:line="276" w:lineRule="auto"/>
        <w:jc w:val="both"/>
      </w:pPr>
      <w:r>
        <w:t>The framework’s primary contribution is conceptual: it provides vocabulary and metrics for discussing doctrine-reality gaps systematically, moving debates beyond impressionistic claims about “dysfunctional law” toward quantifiable analysis of gap tolerance. Whether this conceptual apparatus corresponds to genuine causal mechanisms remains an open empirical question.</w:t>
      </w:r>
    </w:p>
    <w:p w14:paraId="63C8DF7F" w14:textId="77777777" w:rsidR="00C924A3" w:rsidRDefault="00000000" w:rsidP="00406EBF">
      <w:pPr>
        <w:pStyle w:val="FirstParagraph"/>
        <w:spacing w:line="276" w:lineRule="auto"/>
        <w:jc w:val="both"/>
      </w:pPr>
      <w:r>
        <w:rPr>
          <w:b/>
          <w:bCs/>
        </w:rPr>
        <w:t>Transparency Note:</w:t>
      </w:r>
    </w:p>
    <w:p w14:paraId="2C32EB7F" w14:textId="77777777" w:rsidR="00C924A3" w:rsidRPr="00DF24D5" w:rsidRDefault="00000000" w:rsidP="00406EBF">
      <w:pPr>
        <w:pStyle w:val="Textoindependiente"/>
        <w:spacing w:line="276" w:lineRule="auto"/>
        <w:jc w:val="both"/>
        <w:rPr>
          <w:sz w:val="22"/>
          <w:szCs w:val="22"/>
        </w:rPr>
      </w:pPr>
      <w:r w:rsidRPr="00DF24D5">
        <w:rPr>
          <w:sz w:val="22"/>
          <w:szCs w:val="22"/>
        </w:rPr>
        <w:t>All retroactive fit rates (83%, 100%) are calculated from known outcomes, not prospective predictions. Gap scores and clergy strength estimates for all six cases are based on author’s qualitative assessment, not independent expert panels or structured measurement instruments. The quadratic functional form for VW(τ) was calibrated using the three primary case studies and then tested on three additional cases; this constitutes weak validation, not independent confirmation.</w:t>
      </w:r>
    </w:p>
    <w:p w14:paraId="070C4621" w14:textId="77777777" w:rsidR="00C924A3" w:rsidRDefault="00000000" w:rsidP="00406EBF">
      <w:pPr>
        <w:pStyle w:val="Ttulo2"/>
        <w:spacing w:line="276" w:lineRule="auto"/>
        <w:jc w:val="both"/>
      </w:pPr>
      <w:bookmarkStart w:id="52" w:name="X3913e579f03a7c78937d623848386d2ca9236cd"/>
      <w:bookmarkEnd w:id="51"/>
      <w:r>
        <w:lastRenderedPageBreak/>
        <w:t>VI. BREAKING CLERICAL IMMUNITY: SUCCESS AND FAILURE MECHANISMS</w:t>
      </w:r>
    </w:p>
    <w:p w14:paraId="7CEB05E6" w14:textId="77777777" w:rsidR="00C924A3" w:rsidRDefault="00000000" w:rsidP="00406EBF">
      <w:pPr>
        <w:pStyle w:val="FirstParagraph"/>
        <w:spacing w:line="276" w:lineRule="auto"/>
        <w:jc w:val="both"/>
      </w:pPr>
      <w:r>
        <w:t xml:space="preserve">Having diagnosed clerical immunity and modeled its functional dynamics (Section 5.3), I turn to prescription: </w:t>
      </w:r>
      <w:r w:rsidRPr="00C164E5">
        <w:rPr>
          <w:b/>
          <w:bCs/>
          <w:i/>
          <w:iCs/>
        </w:rPr>
        <w:t>how can reforms succeed despite clergy resistance</w:t>
      </w:r>
      <w:r>
        <w:t>? Abstract principles are insufficient; the analysis requires concrete case studies analyzing why some reforms bypass clergies while others fail.</w:t>
      </w:r>
    </w:p>
    <w:p w14:paraId="5F4E454F" w14:textId="77777777" w:rsidR="00C924A3" w:rsidRDefault="00000000" w:rsidP="00406EBF">
      <w:pPr>
        <w:pStyle w:val="Ttulo3"/>
        <w:spacing w:line="276" w:lineRule="auto"/>
        <w:jc w:val="both"/>
      </w:pPr>
      <w:bookmarkStart w:id="53" w:name="X09722b6cfaa05198ee17cf30117080c1a54299b"/>
      <w:r>
        <w:t>6.1 Successful Clergy Bypass: Marriage Equality (United States)</w:t>
      </w:r>
    </w:p>
    <w:p w14:paraId="58C5D22C" w14:textId="77777777" w:rsidR="00C924A3" w:rsidRDefault="00000000" w:rsidP="00406EBF">
      <w:pPr>
        <w:pStyle w:val="FirstParagraph"/>
        <w:spacing w:line="276" w:lineRule="auto"/>
        <w:jc w:val="both"/>
      </w:pPr>
      <w:r>
        <w:rPr>
          <w:b/>
          <w:bCs/>
        </w:rPr>
        <w:t>Background:</w:t>
      </w:r>
      <w:r>
        <w:t xml:space="preserve"> Through the 1990s-2000s, family law doctrine sacralized “traditional marriage” as necessarily heterosexual. Leading scholars (Lynn Wardle, Robert George) defended this on natural law grounds: marriage served procreation and complementarity, both requiring opposite-sex couples. The doctrine exhibited full clerical immunity: family law journals, conferences, and academic chairs maintained orthodox positions, excluding heterodox scholarship.</w:t>
      </w:r>
    </w:p>
    <w:p w14:paraId="381CC018" w14:textId="77777777" w:rsidR="00C924A3" w:rsidRDefault="00000000" w:rsidP="00406EBF">
      <w:pPr>
        <w:pStyle w:val="Textoindependiente"/>
        <w:spacing w:line="276" w:lineRule="auto"/>
        <w:jc w:val="both"/>
      </w:pPr>
      <w:r>
        <w:rPr>
          <w:b/>
          <w:bCs/>
        </w:rPr>
        <w:t>Clerical Resistance (1990-2010):</w:t>
      </w:r>
      <w:r>
        <w:t xml:space="preserve"> - </w:t>
      </w:r>
      <w:r>
        <w:rPr>
          <w:b/>
          <w:bCs/>
        </w:rPr>
        <w:t>Sacred Concept:</w:t>
      </w:r>
      <w:r>
        <w:t xml:space="preserve"> Marriage as intrinsically heterosexual (procreation, complementarity, natural law) - </w:t>
      </w:r>
      <w:r>
        <w:rPr>
          <w:b/>
          <w:bCs/>
        </w:rPr>
        <w:t>Institutional Control:</w:t>
      </w:r>
      <w:r>
        <w:t xml:space="preserve"> Family law chairs at major law schools (Harvard, Yale, Chicago) dominated by traditionalists - </w:t>
      </w:r>
      <w:r>
        <w:rPr>
          <w:b/>
          <w:bCs/>
        </w:rPr>
        <w:t>Citation Patterns:</w:t>
      </w:r>
      <w:r>
        <w:t xml:space="preserve"> Works defending traditional marriage received disproportionate citations in family law journals - </w:t>
      </w:r>
      <w:r>
        <w:rPr>
          <w:b/>
          <w:bCs/>
        </w:rPr>
        <w:t>Excommunication:</w:t>
      </w:r>
      <w:r>
        <w:t xml:space="preserve"> Scholars proposing same-sex marriage faced marginalization in family law academia</w:t>
      </w:r>
    </w:p>
    <w:p w14:paraId="420237F4" w14:textId="77777777" w:rsidR="00C924A3" w:rsidRDefault="00000000" w:rsidP="00406EBF">
      <w:pPr>
        <w:pStyle w:val="Textoindependiente"/>
        <w:spacing w:line="276" w:lineRule="auto"/>
        <w:jc w:val="both"/>
      </w:pPr>
      <w:r>
        <w:rPr>
          <w:b/>
          <w:bCs/>
        </w:rPr>
        <w:t>Bypass Strategy (Multi-Venue Forum Shopping):</w:t>
      </w:r>
    </w:p>
    <w:p w14:paraId="6A29604F" w14:textId="77777777" w:rsidR="00C924A3" w:rsidRDefault="00000000" w:rsidP="00406EBF">
      <w:pPr>
        <w:pStyle w:val="Textoindependiente"/>
        <w:spacing w:line="276" w:lineRule="auto"/>
        <w:jc w:val="both"/>
      </w:pPr>
      <w:r>
        <w:rPr>
          <w:b/>
          <w:bCs/>
        </w:rPr>
        <w:t>Venue 1: Constitutional Law (Not Family Law)</w:t>
      </w:r>
      <w:r>
        <w:t xml:space="preserve"> - Reformers relocated debate from family law journals to constitutional law journals - Constitutional law clergy had different memeplex (individual rights, equal protection) orthogonal to family law’s natural law commitments - Result: Constitutional arguments gained traction where family law arguments would have been filtered out</w:t>
      </w:r>
    </w:p>
    <w:p w14:paraId="50609A47" w14:textId="77777777" w:rsidR="00C924A3" w:rsidRDefault="00000000" w:rsidP="00406EBF">
      <w:pPr>
        <w:pStyle w:val="Textoindependiente"/>
        <w:spacing w:line="276" w:lineRule="auto"/>
        <w:jc w:val="both"/>
      </w:pPr>
      <w:r>
        <w:rPr>
          <w:b/>
          <w:bCs/>
        </w:rPr>
        <w:t>Venue 2: Courts (Not Legislatures)</w:t>
      </w:r>
      <w:r>
        <w:t xml:space="preserve"> - Litigation bypassed family law scholarly gatekeeping entirely - Empirical evidence (psychological studies showing no child harm) presented directly to judges - Judges evaluated evidence without family law clergy mediation - Critical cases: </w:t>
      </w:r>
      <w:r>
        <w:rPr>
          <w:i/>
          <w:iCs/>
        </w:rPr>
        <w:t>Goodridge</w:t>
      </w:r>
      <w:r>
        <w:t xml:space="preserve"> (MA 2003), </w:t>
      </w:r>
      <w:r>
        <w:rPr>
          <w:i/>
          <w:iCs/>
        </w:rPr>
        <w:t>Windsor</w:t>
      </w:r>
      <w:r>
        <w:t xml:space="preserve"> (US 2013), </w:t>
      </w:r>
      <w:r>
        <w:rPr>
          <w:i/>
          <w:iCs/>
        </w:rPr>
        <w:t>Obergefell</w:t>
      </w:r>
      <w:r>
        <w:t xml:space="preserve"> (US 2015)</w:t>
      </w:r>
    </w:p>
    <w:p w14:paraId="250B7EFF" w14:textId="77777777" w:rsidR="00C924A3" w:rsidRDefault="00000000" w:rsidP="00406EBF">
      <w:pPr>
        <w:pStyle w:val="Textoindependiente"/>
        <w:spacing w:line="276" w:lineRule="auto"/>
        <w:jc w:val="both"/>
      </w:pPr>
      <w:r>
        <w:rPr>
          <w:b/>
          <w:bCs/>
        </w:rPr>
        <w:t>Venue 3: Public Opinion</w:t>
      </w:r>
      <w:r>
        <w:t xml:space="preserve"> - Support for same-sex marriage grew from 27% (1996) to 63% (2015) - Demographic inevitability: younger cohorts supported at 70%+ rates - Made clergy resistance politically unsustainable regardless of doctrinal purity</w:t>
      </w:r>
    </w:p>
    <w:p w14:paraId="4513B103" w14:textId="77777777" w:rsidR="00C924A3" w:rsidRDefault="00000000" w:rsidP="00406EBF">
      <w:pPr>
        <w:pStyle w:val="Textoindependiente"/>
        <w:spacing w:line="276" w:lineRule="auto"/>
        <w:jc w:val="both"/>
      </w:pPr>
      <w:r>
        <w:rPr>
          <w:b/>
          <w:bCs/>
        </w:rPr>
        <w:lastRenderedPageBreak/>
        <w:t>Outcome:</w:t>
      </w:r>
      <w:r>
        <w:t xml:space="preserve"> - By 2015, same-sex marriage was constitutional law despite family law clergy never revising doctrine - Family law treatises updated post-</w:t>
      </w:r>
      <w:r>
        <w:rPr>
          <w:i/>
          <w:iCs/>
        </w:rPr>
        <w:t>Obergefell</w:t>
      </w:r>
      <w:r>
        <w:t xml:space="preserve">, not because evidence persuaded but because law changed - </w:t>
      </w:r>
      <w:r>
        <w:rPr>
          <w:b/>
          <w:bCs/>
        </w:rPr>
        <w:t>Mechanism:</w:t>
      </w:r>
      <w:r>
        <w:t xml:space="preserve"> Multi-venue bypass circumvented single clergy’s veto power</w:t>
      </w:r>
    </w:p>
    <w:p w14:paraId="1F7A98A8" w14:textId="77777777" w:rsidR="00C924A3" w:rsidRDefault="00000000" w:rsidP="00406EBF">
      <w:pPr>
        <w:pStyle w:val="Textoindependiente"/>
        <w:spacing w:line="276" w:lineRule="auto"/>
        <w:jc w:val="both"/>
      </w:pPr>
      <w:r>
        <w:rPr>
          <w:b/>
          <w:bCs/>
        </w:rPr>
        <w:t>Lesson 1:</w:t>
      </w:r>
      <w:r>
        <w:t xml:space="preserve"> Clergy power is domain-specific. Reforms succeed by relocating debate to venues where different clergies with different memeplexes hold power.</w:t>
      </w:r>
    </w:p>
    <w:p w14:paraId="3D3F3355" w14:textId="77777777" w:rsidR="00C924A3" w:rsidRDefault="00000000" w:rsidP="00406EBF">
      <w:pPr>
        <w:pStyle w:val="Textoindependiente"/>
        <w:spacing w:line="276" w:lineRule="auto"/>
        <w:jc w:val="both"/>
      </w:pPr>
      <w:r>
        <w:rPr>
          <w:b/>
          <w:bCs/>
        </w:rPr>
        <w:t>Lesson 2:</w:t>
      </w:r>
      <w:r>
        <w:t xml:space="preserve"> Empirical evidence works when presented in non-clerical forums (courts, policy evaluations) but fails in clerical forums (academic journals).</w:t>
      </w:r>
    </w:p>
    <w:p w14:paraId="3CA1169A" w14:textId="77777777" w:rsidR="00C924A3" w:rsidRDefault="00000000" w:rsidP="00406EBF">
      <w:pPr>
        <w:pStyle w:val="Textoindependiente"/>
        <w:spacing w:line="276" w:lineRule="auto"/>
        <w:jc w:val="both"/>
      </w:pPr>
      <w:r>
        <w:rPr>
          <w:b/>
          <w:bCs/>
        </w:rPr>
        <w:t>Lesson 3:</w:t>
      </w:r>
      <w:r>
        <w:t xml:space="preserve"> Demographic/opinion shifts create political constraints that override doctrinal purity when lags become unsustainable.</w:t>
      </w:r>
    </w:p>
    <w:p w14:paraId="0AECD9CE" w14:textId="77777777" w:rsidR="00C924A3" w:rsidRDefault="00000000" w:rsidP="00406EBF">
      <w:pPr>
        <w:pStyle w:val="Ttulo3"/>
        <w:spacing w:line="276" w:lineRule="auto"/>
        <w:jc w:val="both"/>
      </w:pPr>
      <w:bookmarkStart w:id="54" w:name="X0b83ad357fdf41fc1c7a0dd999ea15272323e1f"/>
      <w:bookmarkEnd w:id="53"/>
      <w:r>
        <w:t>6.2 Failed Clergy Challenge: Prison Reform (United States)</w:t>
      </w:r>
    </w:p>
    <w:p w14:paraId="3B6C6EBB" w14:textId="77777777" w:rsidR="00C924A3" w:rsidRDefault="00000000" w:rsidP="00406EBF">
      <w:pPr>
        <w:pStyle w:val="FirstParagraph"/>
        <w:spacing w:line="276" w:lineRule="auto"/>
        <w:jc w:val="both"/>
      </w:pPr>
      <w:r>
        <w:rPr>
          <w:b/>
          <w:bCs/>
        </w:rPr>
        <w:t>Background:</w:t>
      </w:r>
      <w:r>
        <w:t xml:space="preserve"> US criminal justice reform has faced decades of advocacy for reducing mass incarceration. Despite bipartisan rhetorical support (Obama 2015, Trump 2018 First Step Act), incarceration declined only 14% from 2009 peak, remaining 500% above 1970 levels. Why did reform largely fail despite favorable conditions?</w:t>
      </w:r>
    </w:p>
    <w:p w14:paraId="49E0CCEE" w14:textId="77777777" w:rsidR="00C924A3" w:rsidRDefault="00000000" w:rsidP="00406EBF">
      <w:pPr>
        <w:pStyle w:val="Textoindependiente"/>
        <w:spacing w:line="276" w:lineRule="auto"/>
        <w:jc w:val="both"/>
      </w:pPr>
      <w:r>
        <w:rPr>
          <w:b/>
          <w:bCs/>
        </w:rPr>
        <w:t>Clerical Resistance (Three Aligned Venues):</w:t>
      </w:r>
    </w:p>
    <w:p w14:paraId="5022ADDC" w14:textId="77777777" w:rsidR="00C924A3" w:rsidRDefault="00000000" w:rsidP="00406EBF">
      <w:pPr>
        <w:pStyle w:val="Textoindependiente"/>
        <w:spacing w:line="276" w:lineRule="auto"/>
        <w:jc w:val="both"/>
      </w:pPr>
      <w:r>
        <w:rPr>
          <w:b/>
          <w:bCs/>
        </w:rPr>
        <w:t>Venue 1: Criminal Law Academia</w:t>
      </w:r>
      <w:r>
        <w:t xml:space="preserve"> - Retributive and guarantist scholars dominate despite empirical dysfunction - Abolitionist scholars block pragmatic reforms as “legitimizing oppression” - Result: Academic discourse provides no actionable reform consensus</w:t>
      </w:r>
    </w:p>
    <w:p w14:paraId="5D74C43C" w14:textId="77777777" w:rsidR="00C924A3" w:rsidRDefault="00000000" w:rsidP="00406EBF">
      <w:pPr>
        <w:pStyle w:val="Textoindependiente"/>
        <w:spacing w:line="276" w:lineRule="auto"/>
        <w:jc w:val="both"/>
      </w:pPr>
      <w:r>
        <w:rPr>
          <w:b/>
          <w:bCs/>
        </w:rPr>
        <w:t>Venue 2: Political System</w:t>
      </w:r>
      <w:r>
        <w:t xml:space="preserve"> - “Tough on crime” memeplex remains electorally powerful - Politicians fear being labeled “soft on crime” regardless of evidence - Result: Legislative reforms minimal despite public opinion shift</w:t>
      </w:r>
    </w:p>
    <w:p w14:paraId="6399208A" w14:textId="77777777" w:rsidR="00C924A3" w:rsidRDefault="00000000" w:rsidP="00406EBF">
      <w:pPr>
        <w:pStyle w:val="Textoindependiente"/>
        <w:spacing w:line="276" w:lineRule="auto"/>
        <w:jc w:val="both"/>
      </w:pPr>
      <w:r>
        <w:rPr>
          <w:b/>
          <w:bCs/>
        </w:rPr>
        <w:t>Venue 3: Professional Guilds</w:t>
      </w:r>
      <w:r>
        <w:t xml:space="preserve"> - Police unions, prosecutors’ associations, prison guard unions have material interests in high incarceration - These interests align with retributive/tough-on-crime memes - Result: Implementation resistance even when laws pass</w:t>
      </w:r>
    </w:p>
    <w:p w14:paraId="048239CF" w14:textId="77777777" w:rsidR="00C924A3" w:rsidRDefault="00000000" w:rsidP="00406EBF">
      <w:pPr>
        <w:pStyle w:val="Textoindependiente"/>
        <w:spacing w:line="276" w:lineRule="auto"/>
        <w:jc w:val="both"/>
      </w:pPr>
      <w:r>
        <w:rPr>
          <w:b/>
          <w:bCs/>
        </w:rPr>
        <w:t>Why Failure:</w:t>
      </w:r>
      <w:r>
        <w:t xml:space="preserve"> - </w:t>
      </w:r>
      <w:r>
        <w:rPr>
          <w:b/>
          <w:bCs/>
        </w:rPr>
        <w:t>All three decision venues controlled by aligned clergies/interests</w:t>
      </w:r>
      <w:r>
        <w:t xml:space="preserve"> - No alternative forum available (courts defer to legislatures on sentencing policy) - Empirical evidence (recidivism data, cost analyses) ignored across all venues - Marriage equality had constitutional rights argument that bypassed policy debate; prison reform has no equivalent</w:t>
      </w:r>
    </w:p>
    <w:p w14:paraId="12F06E5A" w14:textId="77777777" w:rsidR="00C924A3" w:rsidRDefault="00000000" w:rsidP="00406EBF">
      <w:pPr>
        <w:pStyle w:val="Textoindependiente"/>
        <w:spacing w:line="276" w:lineRule="auto"/>
        <w:jc w:val="both"/>
      </w:pPr>
      <w:r>
        <w:rPr>
          <w:b/>
          <w:bCs/>
        </w:rPr>
        <w:lastRenderedPageBreak/>
        <w:t>Comparative Success: Texas (2007-2019)</w:t>
      </w:r>
      <w:r>
        <w:t xml:space="preserve"> - </w:t>
      </w:r>
      <w:r>
        <w:rPr>
          <w:b/>
          <w:bCs/>
        </w:rPr>
        <w:t>Clergy Circumvention:</w:t>
      </w:r>
      <w:r>
        <w:t xml:space="preserve"> Conservative pragmatists (Right on Crime) framed reform as fiscal conservatism, not liberal compassion - </w:t>
      </w:r>
      <w:r>
        <w:rPr>
          <w:b/>
          <w:bCs/>
        </w:rPr>
        <w:t>Memeplex Substitution:</w:t>
      </w:r>
      <w:r>
        <w:t xml:space="preserve"> Replaced “tough on crime” with “smart on crime” + cost-effectiveness - </w:t>
      </w:r>
      <w:r>
        <w:rPr>
          <w:b/>
          <w:bCs/>
        </w:rPr>
        <w:t>Result:</w:t>
      </w:r>
      <w:r>
        <w:t xml:space="preserve"> -26% incarceration via probation expansion, drug courts, reduced technical violations - </w:t>
      </w:r>
      <w:r>
        <w:rPr>
          <w:b/>
          <w:bCs/>
        </w:rPr>
        <w:t>Key:</w:t>
      </w:r>
      <w:r>
        <w:t xml:space="preserve"> Different memeplex (fiscal conservatism) in same ideological space (Republican) bypassed tough-on-crime clergy</w:t>
      </w:r>
    </w:p>
    <w:p w14:paraId="2CC6365B" w14:textId="77777777" w:rsidR="00C924A3" w:rsidRDefault="00000000" w:rsidP="00406EBF">
      <w:pPr>
        <w:pStyle w:val="Textoindependiente"/>
        <w:spacing w:line="276" w:lineRule="auto"/>
        <w:jc w:val="both"/>
      </w:pPr>
      <w:r>
        <w:rPr>
          <w:b/>
          <w:bCs/>
        </w:rPr>
        <w:t>Comparative Failure: Illinois (2018-2023)</w:t>
      </w:r>
      <w:r>
        <w:t xml:space="preserve"> - </w:t>
      </w:r>
      <w:r>
        <w:rPr>
          <w:b/>
          <w:bCs/>
        </w:rPr>
        <w:t>Clergy Dominance:</w:t>
      </w:r>
      <w:r>
        <w:t xml:space="preserve"> Abolitionist orthodoxy blocked pragmatic reforms (bail reform, sentencing alternatives) - </w:t>
      </w:r>
      <w:r>
        <w:rPr>
          <w:b/>
          <w:bCs/>
        </w:rPr>
        <w:t>Purity Tests:</w:t>
      </w:r>
      <w:r>
        <w:t xml:space="preserve"> Incrementalism rejected as “legitimizing oppression” - </w:t>
      </w:r>
      <w:r>
        <w:rPr>
          <w:b/>
          <w:bCs/>
        </w:rPr>
        <w:t>Result:</w:t>
      </w:r>
      <w:r>
        <w:t xml:space="preserve"> +12% pretrial detention despite progressive control, failed reforms abandoned - </w:t>
      </w:r>
      <w:r>
        <w:rPr>
          <w:b/>
          <w:bCs/>
        </w:rPr>
        <w:t>Key:</w:t>
      </w:r>
      <w:r>
        <w:t xml:space="preserve"> Single orthodoxy controlled all progressive decision venues, no bypass possible</w:t>
      </w:r>
    </w:p>
    <w:p w14:paraId="4B201BB9" w14:textId="77777777" w:rsidR="00C924A3" w:rsidRPr="003E3113" w:rsidRDefault="00000000" w:rsidP="003E3113">
      <w:pPr>
        <w:pStyle w:val="Textoindependiente"/>
        <w:numPr>
          <w:ilvl w:val="0"/>
          <w:numId w:val="13"/>
        </w:numPr>
        <w:spacing w:line="276" w:lineRule="auto"/>
        <w:jc w:val="both"/>
        <w:rPr>
          <w:i/>
          <w:iCs/>
        </w:rPr>
      </w:pPr>
      <w:r w:rsidRPr="003E3113">
        <w:rPr>
          <w:b/>
          <w:bCs/>
          <w:i/>
          <w:iCs/>
        </w:rPr>
        <w:t>Lesson 1:</w:t>
      </w:r>
      <w:r w:rsidRPr="003E3113">
        <w:rPr>
          <w:i/>
          <w:iCs/>
        </w:rPr>
        <w:t xml:space="preserve"> When all venues controlled by aligned clergies, incremental reform fails. Only exogenous shocks (fiscal crisis, pandemic forcing releases) enable change.</w:t>
      </w:r>
    </w:p>
    <w:p w14:paraId="29D459CE" w14:textId="77777777" w:rsidR="00C924A3" w:rsidRPr="003E3113" w:rsidRDefault="00000000" w:rsidP="003E3113">
      <w:pPr>
        <w:pStyle w:val="Textoindependiente"/>
        <w:numPr>
          <w:ilvl w:val="0"/>
          <w:numId w:val="13"/>
        </w:numPr>
        <w:spacing w:line="276" w:lineRule="auto"/>
        <w:jc w:val="both"/>
        <w:rPr>
          <w:i/>
          <w:iCs/>
        </w:rPr>
      </w:pPr>
      <w:r w:rsidRPr="003E3113">
        <w:rPr>
          <w:b/>
          <w:bCs/>
          <w:i/>
          <w:iCs/>
        </w:rPr>
        <w:t>Lesson 2:</w:t>
      </w:r>
      <w:r w:rsidRPr="003E3113">
        <w:rPr>
          <w:i/>
          <w:iCs/>
        </w:rPr>
        <w:t xml:space="preserve"> Memeplex substitution (framing reform in different ideological language) can bypass clergy when institutional alignment is incomplete.</w:t>
      </w:r>
    </w:p>
    <w:p w14:paraId="52860642" w14:textId="77777777" w:rsidR="00C924A3" w:rsidRPr="003E3113" w:rsidRDefault="00000000" w:rsidP="003E3113">
      <w:pPr>
        <w:pStyle w:val="Textoindependiente"/>
        <w:numPr>
          <w:ilvl w:val="0"/>
          <w:numId w:val="13"/>
        </w:numPr>
        <w:spacing w:line="276" w:lineRule="auto"/>
        <w:jc w:val="both"/>
        <w:rPr>
          <w:i/>
          <w:iCs/>
        </w:rPr>
      </w:pPr>
      <w:r w:rsidRPr="003E3113">
        <w:rPr>
          <w:b/>
          <w:bCs/>
          <w:i/>
          <w:iCs/>
        </w:rPr>
        <w:t>Lesson 3:</w:t>
      </w:r>
      <w:r w:rsidRPr="003E3113">
        <w:rPr>
          <w:i/>
          <w:iCs/>
        </w:rPr>
        <w:t xml:space="preserve"> Purity politics blocks reform as effectively as tough-on-crime politics, demonstrating that ideological content matters less than clerical structure.</w:t>
      </w:r>
    </w:p>
    <w:p w14:paraId="7AAAE452" w14:textId="77777777" w:rsidR="00C924A3" w:rsidRDefault="00000000" w:rsidP="00406EBF">
      <w:pPr>
        <w:pStyle w:val="Ttulo3"/>
        <w:spacing w:line="276" w:lineRule="auto"/>
        <w:jc w:val="both"/>
      </w:pPr>
      <w:bookmarkStart w:id="55" w:name="Xa330f3da0ce97fe404950e0c3a37fbf7f7277e2"/>
      <w:bookmarkEnd w:id="54"/>
      <w:r>
        <w:t>6.3 Clergy Vulnerability Assessment Framework</w:t>
      </w:r>
    </w:p>
    <w:p w14:paraId="09060F89" w14:textId="77777777" w:rsidR="00C924A3" w:rsidRDefault="00000000" w:rsidP="00406EBF">
      <w:pPr>
        <w:pStyle w:val="FirstParagraph"/>
        <w:spacing w:line="276" w:lineRule="auto"/>
        <w:jc w:val="both"/>
      </w:pPr>
      <w:r>
        <w:t>The foregoing case studies suggest reforms succeed when clergy vulnerability is high. I operationalize this with a pre-reform diagnostic tool:</w:t>
      </w:r>
    </w:p>
    <w:p w14:paraId="488EA3E8" w14:textId="77777777" w:rsidR="00C924A3" w:rsidRDefault="00000000" w:rsidP="00406EBF">
      <w:pPr>
        <w:pStyle w:val="Textoindependiente"/>
        <w:spacing w:line="276" w:lineRule="auto"/>
        <w:jc w:val="both"/>
      </w:pPr>
      <w:r>
        <w:rPr>
          <w:b/>
          <w:bCs/>
        </w:rPr>
        <w:t>Table 4: Clergy Vulnerability Assessment</w:t>
      </w:r>
    </w:p>
    <w:tbl>
      <w:tblPr>
        <w:tblStyle w:val="Table"/>
        <w:tblW w:w="5000" w:type="pct"/>
        <w:tblLayout w:type="fixed"/>
        <w:tblLook w:val="0020" w:firstRow="1" w:lastRow="0" w:firstColumn="0" w:lastColumn="0" w:noHBand="0" w:noVBand="0"/>
      </w:tblPr>
      <w:tblGrid>
        <w:gridCol w:w="2113"/>
        <w:gridCol w:w="2498"/>
        <w:gridCol w:w="4227"/>
      </w:tblGrid>
      <w:tr w:rsidR="00C924A3" w:rsidRPr="003E3113" w14:paraId="0197D037" w14:textId="77777777" w:rsidTr="00C924A3">
        <w:trPr>
          <w:cnfStyle w:val="100000000000" w:firstRow="1" w:lastRow="0" w:firstColumn="0" w:lastColumn="0" w:oddVBand="0" w:evenVBand="0" w:oddHBand="0" w:evenHBand="0" w:firstRowFirstColumn="0" w:firstRowLastColumn="0" w:lastRowFirstColumn="0" w:lastRowLastColumn="0"/>
          <w:tblHeader/>
        </w:trPr>
        <w:tc>
          <w:tcPr>
            <w:tcW w:w="1893" w:type="dxa"/>
          </w:tcPr>
          <w:p w14:paraId="2332CA68" w14:textId="77777777" w:rsidR="00C924A3" w:rsidRPr="003E3113" w:rsidRDefault="00000000" w:rsidP="00406EBF">
            <w:pPr>
              <w:pStyle w:val="Compact"/>
              <w:spacing w:line="276" w:lineRule="auto"/>
              <w:jc w:val="both"/>
              <w:rPr>
                <w:sz w:val="20"/>
                <w:szCs w:val="20"/>
              </w:rPr>
            </w:pPr>
            <w:r w:rsidRPr="003E3113">
              <w:rPr>
                <w:sz w:val="20"/>
                <w:szCs w:val="20"/>
              </w:rPr>
              <w:t>Dimension</w:t>
            </w:r>
          </w:p>
        </w:tc>
        <w:tc>
          <w:tcPr>
            <w:tcW w:w="2238" w:type="dxa"/>
          </w:tcPr>
          <w:p w14:paraId="6E8BCA6D" w14:textId="77777777" w:rsidR="00C924A3" w:rsidRPr="003E3113" w:rsidRDefault="00000000" w:rsidP="00406EBF">
            <w:pPr>
              <w:pStyle w:val="Compact"/>
              <w:spacing w:line="276" w:lineRule="auto"/>
              <w:jc w:val="both"/>
              <w:rPr>
                <w:sz w:val="20"/>
                <w:szCs w:val="20"/>
              </w:rPr>
            </w:pPr>
            <w:r w:rsidRPr="003E3113">
              <w:rPr>
                <w:sz w:val="20"/>
                <w:szCs w:val="20"/>
              </w:rPr>
              <w:t>Measurement</w:t>
            </w:r>
          </w:p>
        </w:tc>
        <w:tc>
          <w:tcPr>
            <w:tcW w:w="3787" w:type="dxa"/>
          </w:tcPr>
          <w:p w14:paraId="03E19EDA" w14:textId="77777777" w:rsidR="00C924A3" w:rsidRPr="003E3113" w:rsidRDefault="00000000" w:rsidP="00406EBF">
            <w:pPr>
              <w:pStyle w:val="Compact"/>
              <w:spacing w:line="276" w:lineRule="auto"/>
              <w:jc w:val="both"/>
              <w:rPr>
                <w:sz w:val="20"/>
                <w:szCs w:val="20"/>
              </w:rPr>
            </w:pPr>
            <w:r w:rsidRPr="003E3113">
              <w:rPr>
                <w:sz w:val="20"/>
                <w:szCs w:val="20"/>
              </w:rPr>
              <w:t>Strategic Implication</w:t>
            </w:r>
          </w:p>
        </w:tc>
      </w:tr>
      <w:tr w:rsidR="00C924A3" w:rsidRPr="003E3113" w14:paraId="07566E29" w14:textId="77777777">
        <w:tc>
          <w:tcPr>
            <w:tcW w:w="1893" w:type="dxa"/>
          </w:tcPr>
          <w:p w14:paraId="381B783E" w14:textId="77777777" w:rsidR="00C924A3" w:rsidRPr="003E3113" w:rsidRDefault="00000000" w:rsidP="00406EBF">
            <w:pPr>
              <w:pStyle w:val="Compact"/>
              <w:spacing w:line="276" w:lineRule="auto"/>
              <w:jc w:val="both"/>
              <w:rPr>
                <w:sz w:val="20"/>
                <w:szCs w:val="20"/>
              </w:rPr>
            </w:pPr>
            <w:r w:rsidRPr="003E3113">
              <w:rPr>
                <w:b/>
                <w:bCs/>
                <w:sz w:val="20"/>
                <w:szCs w:val="20"/>
              </w:rPr>
              <w:t>Clergy Alignment</w:t>
            </w:r>
          </w:p>
        </w:tc>
        <w:tc>
          <w:tcPr>
            <w:tcW w:w="2238" w:type="dxa"/>
          </w:tcPr>
          <w:p w14:paraId="10E0A716" w14:textId="77777777" w:rsidR="00C924A3" w:rsidRPr="003E3113" w:rsidRDefault="00000000" w:rsidP="00406EBF">
            <w:pPr>
              <w:pStyle w:val="Compact"/>
              <w:spacing w:line="276" w:lineRule="auto"/>
              <w:jc w:val="both"/>
              <w:rPr>
                <w:sz w:val="20"/>
                <w:szCs w:val="20"/>
              </w:rPr>
            </w:pPr>
            <w:r w:rsidRPr="003E3113">
              <w:rPr>
                <w:sz w:val="20"/>
                <w:szCs w:val="20"/>
              </w:rPr>
              <w:t>% of key decision venues controlled by same memeplex (0-100%)</w:t>
            </w:r>
          </w:p>
        </w:tc>
        <w:tc>
          <w:tcPr>
            <w:tcW w:w="3787" w:type="dxa"/>
          </w:tcPr>
          <w:p w14:paraId="1576BDA7" w14:textId="77777777" w:rsidR="00C924A3" w:rsidRPr="003E3113" w:rsidRDefault="00000000" w:rsidP="00406EBF">
            <w:pPr>
              <w:pStyle w:val="Compact"/>
              <w:spacing w:line="276" w:lineRule="auto"/>
              <w:jc w:val="both"/>
              <w:rPr>
                <w:sz w:val="20"/>
                <w:szCs w:val="20"/>
              </w:rPr>
            </w:pPr>
            <w:r w:rsidRPr="003E3113">
              <w:rPr>
                <w:b/>
                <w:bCs/>
                <w:sz w:val="20"/>
                <w:szCs w:val="20"/>
              </w:rPr>
              <w:t>High (&gt;70%):</w:t>
            </w:r>
            <w:r w:rsidRPr="003E3113">
              <w:rPr>
                <w:sz w:val="20"/>
                <w:szCs w:val="20"/>
              </w:rPr>
              <w:t xml:space="preserve"> Need exogenous shock or generational replacement. </w:t>
            </w:r>
            <w:r w:rsidRPr="003E3113">
              <w:rPr>
                <w:b/>
                <w:bCs/>
                <w:sz w:val="20"/>
                <w:szCs w:val="20"/>
              </w:rPr>
              <w:t>Medium (40-70%):</w:t>
            </w:r>
            <w:r w:rsidRPr="003E3113">
              <w:rPr>
                <w:sz w:val="20"/>
                <w:szCs w:val="20"/>
              </w:rPr>
              <w:t xml:space="preserve"> Forum shopping viable. </w:t>
            </w:r>
            <w:r w:rsidRPr="003E3113">
              <w:rPr>
                <w:b/>
                <w:bCs/>
                <w:sz w:val="20"/>
                <w:szCs w:val="20"/>
              </w:rPr>
              <w:t>Low (&lt;40%):</w:t>
            </w:r>
            <w:r w:rsidRPr="003E3113">
              <w:rPr>
                <w:sz w:val="20"/>
                <w:szCs w:val="20"/>
              </w:rPr>
              <w:t xml:space="preserve"> Direct advocacy sufficient.</w:t>
            </w:r>
          </w:p>
        </w:tc>
      </w:tr>
      <w:tr w:rsidR="00C924A3" w:rsidRPr="003E3113" w14:paraId="1D3ACE26" w14:textId="77777777">
        <w:tc>
          <w:tcPr>
            <w:tcW w:w="1893" w:type="dxa"/>
          </w:tcPr>
          <w:p w14:paraId="19CCE11B" w14:textId="77777777" w:rsidR="00C924A3" w:rsidRPr="003E3113" w:rsidRDefault="00000000" w:rsidP="00406EBF">
            <w:pPr>
              <w:pStyle w:val="Compact"/>
              <w:spacing w:line="276" w:lineRule="auto"/>
              <w:jc w:val="both"/>
              <w:rPr>
                <w:sz w:val="20"/>
                <w:szCs w:val="20"/>
              </w:rPr>
            </w:pPr>
            <w:r w:rsidRPr="003E3113">
              <w:rPr>
                <w:b/>
                <w:bCs/>
                <w:sz w:val="20"/>
                <w:szCs w:val="20"/>
              </w:rPr>
              <w:t>Doctrine-Reality Gap</w:t>
            </w:r>
          </w:p>
        </w:tc>
        <w:tc>
          <w:tcPr>
            <w:tcW w:w="2238" w:type="dxa"/>
          </w:tcPr>
          <w:p w14:paraId="63E483DA" w14:textId="77777777" w:rsidR="00C924A3" w:rsidRPr="003E3113" w:rsidRDefault="00000000" w:rsidP="00406EBF">
            <w:pPr>
              <w:pStyle w:val="Compact"/>
              <w:spacing w:line="276" w:lineRule="auto"/>
              <w:jc w:val="both"/>
              <w:rPr>
                <w:sz w:val="20"/>
                <w:szCs w:val="20"/>
              </w:rPr>
            </w:pPr>
            <w:r w:rsidRPr="003E3113">
              <w:rPr>
                <w:sz w:val="20"/>
                <w:szCs w:val="20"/>
              </w:rPr>
              <w:t>Quantified Gap per Section 5.3 (0-1.0)</w:t>
            </w:r>
          </w:p>
        </w:tc>
        <w:tc>
          <w:tcPr>
            <w:tcW w:w="3787" w:type="dxa"/>
          </w:tcPr>
          <w:p w14:paraId="50A32121" w14:textId="77777777" w:rsidR="00C924A3" w:rsidRPr="003E3113" w:rsidRDefault="00000000" w:rsidP="00406EBF">
            <w:pPr>
              <w:pStyle w:val="Compact"/>
              <w:spacing w:line="276" w:lineRule="auto"/>
              <w:jc w:val="both"/>
              <w:rPr>
                <w:sz w:val="20"/>
                <w:szCs w:val="20"/>
              </w:rPr>
            </w:pPr>
            <w:r w:rsidRPr="003E3113">
              <w:rPr>
                <w:b/>
                <w:bCs/>
                <w:sz w:val="20"/>
                <w:szCs w:val="20"/>
              </w:rPr>
              <w:t>Gap &gt;0.30:</w:t>
            </w:r>
            <w:r w:rsidRPr="003E3113">
              <w:rPr>
                <w:sz w:val="20"/>
                <w:szCs w:val="20"/>
              </w:rPr>
              <w:t xml:space="preserve"> Clergy vulnerable to empirical challenge. </w:t>
            </w:r>
            <w:r w:rsidRPr="003E3113">
              <w:rPr>
                <w:b/>
                <w:bCs/>
                <w:sz w:val="20"/>
                <w:szCs w:val="20"/>
              </w:rPr>
              <w:t>Gap &lt;0.30:</w:t>
            </w:r>
            <w:r w:rsidRPr="003E3113">
              <w:rPr>
                <w:sz w:val="20"/>
                <w:szCs w:val="20"/>
              </w:rPr>
              <w:t xml:space="preserve"> Clergy resistance is quality control, not dysfunction.</w:t>
            </w:r>
          </w:p>
        </w:tc>
      </w:tr>
      <w:tr w:rsidR="00C924A3" w:rsidRPr="003E3113" w14:paraId="5F3B4AF9" w14:textId="77777777">
        <w:tc>
          <w:tcPr>
            <w:tcW w:w="1893" w:type="dxa"/>
          </w:tcPr>
          <w:p w14:paraId="74035581" w14:textId="77777777" w:rsidR="00C924A3" w:rsidRPr="003E3113" w:rsidRDefault="00000000" w:rsidP="00406EBF">
            <w:pPr>
              <w:pStyle w:val="Compact"/>
              <w:spacing w:line="276" w:lineRule="auto"/>
              <w:jc w:val="both"/>
              <w:rPr>
                <w:sz w:val="20"/>
                <w:szCs w:val="20"/>
              </w:rPr>
            </w:pPr>
            <w:r w:rsidRPr="003E3113">
              <w:rPr>
                <w:b/>
                <w:bCs/>
                <w:sz w:val="20"/>
                <w:szCs w:val="20"/>
              </w:rPr>
              <w:t>Alternative Venue Availability</w:t>
            </w:r>
          </w:p>
        </w:tc>
        <w:tc>
          <w:tcPr>
            <w:tcW w:w="2238" w:type="dxa"/>
          </w:tcPr>
          <w:p w14:paraId="3EF41D90" w14:textId="77777777" w:rsidR="00C924A3" w:rsidRPr="003E3113" w:rsidRDefault="00000000" w:rsidP="00406EBF">
            <w:pPr>
              <w:pStyle w:val="Compact"/>
              <w:spacing w:line="276" w:lineRule="auto"/>
              <w:jc w:val="both"/>
              <w:rPr>
                <w:sz w:val="20"/>
                <w:szCs w:val="20"/>
              </w:rPr>
            </w:pPr>
            <w:r w:rsidRPr="003E3113">
              <w:rPr>
                <w:sz w:val="20"/>
                <w:szCs w:val="20"/>
              </w:rPr>
              <w:t>Number of decision forums with different clergy memeplexes</w:t>
            </w:r>
          </w:p>
        </w:tc>
        <w:tc>
          <w:tcPr>
            <w:tcW w:w="3787" w:type="dxa"/>
          </w:tcPr>
          <w:p w14:paraId="361F0623" w14:textId="77777777" w:rsidR="00C924A3" w:rsidRPr="003E3113" w:rsidRDefault="00000000" w:rsidP="00406EBF">
            <w:pPr>
              <w:pStyle w:val="Compact"/>
              <w:spacing w:line="276" w:lineRule="auto"/>
              <w:jc w:val="both"/>
              <w:rPr>
                <w:sz w:val="20"/>
                <w:szCs w:val="20"/>
              </w:rPr>
            </w:pPr>
            <w:r w:rsidRPr="003E3113">
              <w:rPr>
                <w:b/>
                <w:bCs/>
                <w:sz w:val="20"/>
                <w:szCs w:val="20"/>
              </w:rPr>
              <w:t>0-1 venues:</w:t>
            </w:r>
            <w:r w:rsidRPr="003E3113">
              <w:rPr>
                <w:sz w:val="20"/>
                <w:szCs w:val="20"/>
              </w:rPr>
              <w:t xml:space="preserve"> Reform blocked. </w:t>
            </w:r>
            <w:r w:rsidRPr="003E3113">
              <w:rPr>
                <w:b/>
                <w:bCs/>
                <w:sz w:val="20"/>
                <w:szCs w:val="20"/>
              </w:rPr>
              <w:t>2-3 venues:</w:t>
            </w:r>
            <w:r w:rsidRPr="003E3113">
              <w:rPr>
                <w:sz w:val="20"/>
                <w:szCs w:val="20"/>
              </w:rPr>
              <w:t xml:space="preserve"> Forum shopping possible (marriage equality model). </w:t>
            </w:r>
            <w:r w:rsidRPr="003E3113">
              <w:rPr>
                <w:b/>
                <w:bCs/>
                <w:sz w:val="20"/>
                <w:szCs w:val="20"/>
              </w:rPr>
              <w:t>4+ venues:</w:t>
            </w:r>
            <w:r w:rsidRPr="003E3113">
              <w:rPr>
                <w:sz w:val="20"/>
                <w:szCs w:val="20"/>
              </w:rPr>
              <w:t xml:space="preserve"> Multiple pathways, high success probability.</w:t>
            </w:r>
          </w:p>
        </w:tc>
      </w:tr>
      <w:tr w:rsidR="00C924A3" w:rsidRPr="003E3113" w14:paraId="28EDB8E7" w14:textId="77777777">
        <w:tc>
          <w:tcPr>
            <w:tcW w:w="1893" w:type="dxa"/>
          </w:tcPr>
          <w:p w14:paraId="00B81FA2" w14:textId="77777777" w:rsidR="00C924A3" w:rsidRPr="003E3113" w:rsidRDefault="00000000" w:rsidP="00406EBF">
            <w:pPr>
              <w:pStyle w:val="Compact"/>
              <w:spacing w:line="276" w:lineRule="auto"/>
              <w:jc w:val="both"/>
              <w:rPr>
                <w:sz w:val="20"/>
                <w:szCs w:val="20"/>
              </w:rPr>
            </w:pPr>
            <w:r w:rsidRPr="003E3113">
              <w:rPr>
                <w:b/>
                <w:bCs/>
                <w:sz w:val="20"/>
                <w:szCs w:val="20"/>
              </w:rPr>
              <w:lastRenderedPageBreak/>
              <w:t>Public Opinion Trajectory</w:t>
            </w:r>
          </w:p>
        </w:tc>
        <w:tc>
          <w:tcPr>
            <w:tcW w:w="2238" w:type="dxa"/>
          </w:tcPr>
          <w:p w14:paraId="32A22FEB" w14:textId="77777777" w:rsidR="00C924A3" w:rsidRPr="003E3113" w:rsidRDefault="00000000" w:rsidP="00406EBF">
            <w:pPr>
              <w:pStyle w:val="Compact"/>
              <w:spacing w:line="276" w:lineRule="auto"/>
              <w:jc w:val="both"/>
              <w:rPr>
                <w:sz w:val="20"/>
                <w:szCs w:val="20"/>
              </w:rPr>
            </w:pPr>
            <w:r w:rsidRPr="003E3113">
              <w:rPr>
                <w:sz w:val="20"/>
                <w:szCs w:val="20"/>
              </w:rPr>
              <w:t>Rate of change in mass belief (%/year)</w:t>
            </w:r>
          </w:p>
        </w:tc>
        <w:tc>
          <w:tcPr>
            <w:tcW w:w="3787" w:type="dxa"/>
          </w:tcPr>
          <w:p w14:paraId="13150857" w14:textId="77777777" w:rsidR="00C924A3" w:rsidRPr="003E3113" w:rsidRDefault="00000000" w:rsidP="00406EBF">
            <w:pPr>
              <w:pStyle w:val="Compact"/>
              <w:spacing w:line="276" w:lineRule="auto"/>
              <w:jc w:val="both"/>
              <w:rPr>
                <w:sz w:val="20"/>
                <w:szCs w:val="20"/>
              </w:rPr>
            </w:pPr>
            <w:r w:rsidRPr="003E3113">
              <w:rPr>
                <w:b/>
                <w:bCs/>
                <w:sz w:val="20"/>
                <w:szCs w:val="20"/>
              </w:rPr>
              <w:t>Rapid shift (&gt;3%/year):</w:t>
            </w:r>
            <w:r w:rsidRPr="003E3113">
              <w:rPr>
                <w:sz w:val="20"/>
                <w:szCs w:val="20"/>
              </w:rPr>
              <w:t xml:space="preserve"> Clergy power eroding, time favors reform. </w:t>
            </w:r>
            <w:r w:rsidRPr="003E3113">
              <w:rPr>
                <w:b/>
                <w:bCs/>
                <w:sz w:val="20"/>
                <w:szCs w:val="20"/>
              </w:rPr>
              <w:t>Slow shift (&lt;1%/year):</w:t>
            </w:r>
            <w:r w:rsidRPr="003E3113">
              <w:rPr>
                <w:sz w:val="20"/>
                <w:szCs w:val="20"/>
              </w:rPr>
              <w:t xml:space="preserve"> Long timeline required. </w:t>
            </w:r>
            <w:r w:rsidRPr="003E3113">
              <w:rPr>
                <w:b/>
                <w:bCs/>
                <w:sz w:val="20"/>
                <w:szCs w:val="20"/>
              </w:rPr>
              <w:t>Negative shift:</w:t>
            </w:r>
            <w:r w:rsidRPr="003E3113">
              <w:rPr>
                <w:sz w:val="20"/>
                <w:szCs w:val="20"/>
              </w:rPr>
              <w:t xml:space="preserve"> Reform politically infeasible.</w:t>
            </w:r>
          </w:p>
        </w:tc>
      </w:tr>
    </w:tbl>
    <w:p w14:paraId="42DB3618" w14:textId="77777777" w:rsidR="00C924A3" w:rsidRDefault="00000000" w:rsidP="00406EBF">
      <w:pPr>
        <w:pStyle w:val="Textoindependiente"/>
        <w:spacing w:line="276" w:lineRule="auto"/>
        <w:jc w:val="both"/>
      </w:pPr>
      <w:r>
        <w:rPr>
          <w:b/>
          <w:bCs/>
        </w:rPr>
        <w:t>Example Application: Bail Reform (Illustrative)</w:t>
      </w:r>
    </w:p>
    <w:tbl>
      <w:tblPr>
        <w:tblStyle w:val="Table"/>
        <w:tblW w:w="5000" w:type="pct"/>
        <w:tblLayout w:type="fixed"/>
        <w:tblLook w:val="0020" w:firstRow="1" w:lastRow="0" w:firstColumn="0" w:lastColumn="0" w:noHBand="0" w:noVBand="0"/>
      </w:tblPr>
      <w:tblGrid>
        <w:gridCol w:w="2700"/>
        <w:gridCol w:w="3192"/>
        <w:gridCol w:w="2946"/>
      </w:tblGrid>
      <w:tr w:rsidR="00C924A3" w:rsidRPr="00DA0F89" w14:paraId="54AD6B04" w14:textId="77777777" w:rsidTr="00C924A3">
        <w:trPr>
          <w:cnfStyle w:val="100000000000" w:firstRow="1" w:lastRow="0" w:firstColumn="0" w:lastColumn="0" w:oddVBand="0" w:evenVBand="0" w:oddHBand="0" w:evenHBand="0" w:firstRowFirstColumn="0" w:firstRowLastColumn="0" w:lastRowFirstColumn="0" w:lastRowLastColumn="0"/>
          <w:tblHeader/>
        </w:trPr>
        <w:tc>
          <w:tcPr>
            <w:tcW w:w="2420" w:type="dxa"/>
          </w:tcPr>
          <w:p w14:paraId="6EB71371" w14:textId="77777777" w:rsidR="00C924A3" w:rsidRPr="00DA0F89" w:rsidRDefault="00000000" w:rsidP="00406EBF">
            <w:pPr>
              <w:pStyle w:val="Compact"/>
              <w:spacing w:line="276" w:lineRule="auto"/>
              <w:jc w:val="both"/>
              <w:rPr>
                <w:sz w:val="20"/>
                <w:szCs w:val="20"/>
              </w:rPr>
            </w:pPr>
            <w:r w:rsidRPr="00DA0F89">
              <w:rPr>
                <w:sz w:val="20"/>
                <w:szCs w:val="20"/>
              </w:rPr>
              <w:t>Dimension</w:t>
            </w:r>
          </w:p>
        </w:tc>
        <w:tc>
          <w:tcPr>
            <w:tcW w:w="2860" w:type="dxa"/>
          </w:tcPr>
          <w:p w14:paraId="0071BAAF" w14:textId="77777777" w:rsidR="00C924A3" w:rsidRPr="00DA0F89" w:rsidRDefault="00000000" w:rsidP="00406EBF">
            <w:pPr>
              <w:pStyle w:val="Compact"/>
              <w:spacing w:line="276" w:lineRule="auto"/>
              <w:jc w:val="both"/>
              <w:rPr>
                <w:sz w:val="20"/>
                <w:szCs w:val="20"/>
              </w:rPr>
            </w:pPr>
            <w:r w:rsidRPr="00DA0F89">
              <w:rPr>
                <w:sz w:val="20"/>
                <w:szCs w:val="20"/>
              </w:rPr>
              <w:t>Measurement</w:t>
            </w:r>
          </w:p>
        </w:tc>
        <w:tc>
          <w:tcPr>
            <w:tcW w:w="2640" w:type="dxa"/>
          </w:tcPr>
          <w:p w14:paraId="26137CF4" w14:textId="77777777" w:rsidR="00C924A3" w:rsidRPr="00DA0F89" w:rsidRDefault="00000000" w:rsidP="00406EBF">
            <w:pPr>
              <w:pStyle w:val="Compact"/>
              <w:spacing w:line="276" w:lineRule="auto"/>
              <w:jc w:val="both"/>
              <w:rPr>
                <w:sz w:val="20"/>
                <w:szCs w:val="20"/>
              </w:rPr>
            </w:pPr>
            <w:r w:rsidRPr="00DA0F89">
              <w:rPr>
                <w:sz w:val="20"/>
                <w:szCs w:val="20"/>
              </w:rPr>
              <w:t>Assessment</w:t>
            </w:r>
          </w:p>
        </w:tc>
      </w:tr>
      <w:tr w:rsidR="00C924A3" w:rsidRPr="00DA0F89" w14:paraId="1CC21ABB" w14:textId="77777777">
        <w:tc>
          <w:tcPr>
            <w:tcW w:w="2420" w:type="dxa"/>
          </w:tcPr>
          <w:p w14:paraId="1BEF5DA5" w14:textId="77777777" w:rsidR="00C924A3" w:rsidRPr="00DA0F89" w:rsidRDefault="00000000" w:rsidP="00406EBF">
            <w:pPr>
              <w:pStyle w:val="Compact"/>
              <w:spacing w:line="276" w:lineRule="auto"/>
              <w:jc w:val="both"/>
              <w:rPr>
                <w:sz w:val="20"/>
                <w:szCs w:val="20"/>
              </w:rPr>
            </w:pPr>
            <w:r w:rsidRPr="00DA0F89">
              <w:rPr>
                <w:sz w:val="20"/>
                <w:szCs w:val="20"/>
              </w:rPr>
              <w:t>Clergy Alignment</w:t>
            </w:r>
          </w:p>
        </w:tc>
        <w:tc>
          <w:tcPr>
            <w:tcW w:w="2860" w:type="dxa"/>
          </w:tcPr>
          <w:p w14:paraId="48E8555D" w14:textId="77777777" w:rsidR="00C924A3" w:rsidRPr="00DA0F89" w:rsidRDefault="00000000" w:rsidP="00406EBF">
            <w:pPr>
              <w:pStyle w:val="Compact"/>
              <w:spacing w:line="276" w:lineRule="auto"/>
              <w:jc w:val="both"/>
              <w:rPr>
                <w:sz w:val="20"/>
                <w:szCs w:val="20"/>
              </w:rPr>
            </w:pPr>
            <w:r w:rsidRPr="00DA0F89">
              <w:rPr>
                <w:sz w:val="20"/>
                <w:szCs w:val="20"/>
              </w:rPr>
              <w:t>80% (prosecutors, judges, law-and-order academics aligned)</w:t>
            </w:r>
          </w:p>
        </w:tc>
        <w:tc>
          <w:tcPr>
            <w:tcW w:w="2640" w:type="dxa"/>
          </w:tcPr>
          <w:p w14:paraId="141FA322" w14:textId="77777777" w:rsidR="00C924A3" w:rsidRPr="00DA0F89" w:rsidRDefault="00000000" w:rsidP="00406EBF">
            <w:pPr>
              <w:pStyle w:val="Compact"/>
              <w:spacing w:line="276" w:lineRule="auto"/>
              <w:jc w:val="both"/>
              <w:rPr>
                <w:sz w:val="20"/>
                <w:szCs w:val="20"/>
              </w:rPr>
            </w:pPr>
            <w:r w:rsidRPr="00DA0F89">
              <w:rPr>
                <w:b/>
                <w:bCs/>
                <w:sz w:val="20"/>
                <w:szCs w:val="20"/>
              </w:rPr>
              <w:t>High</w:t>
            </w:r>
            <w:r w:rsidRPr="00DA0F89">
              <w:rPr>
                <w:sz w:val="20"/>
                <w:szCs w:val="20"/>
              </w:rPr>
              <w:t xml:space="preserve"> - Direct reform blocked</w:t>
            </w:r>
          </w:p>
        </w:tc>
      </w:tr>
      <w:tr w:rsidR="00C924A3" w:rsidRPr="00DA0F89" w14:paraId="10C8487D" w14:textId="77777777">
        <w:tc>
          <w:tcPr>
            <w:tcW w:w="2420" w:type="dxa"/>
          </w:tcPr>
          <w:p w14:paraId="5D88476E" w14:textId="77777777" w:rsidR="00C924A3" w:rsidRPr="00DA0F89" w:rsidRDefault="00000000" w:rsidP="00406EBF">
            <w:pPr>
              <w:pStyle w:val="Compact"/>
              <w:spacing w:line="276" w:lineRule="auto"/>
              <w:jc w:val="both"/>
              <w:rPr>
                <w:sz w:val="20"/>
                <w:szCs w:val="20"/>
              </w:rPr>
            </w:pPr>
            <w:r w:rsidRPr="00DA0F89">
              <w:rPr>
                <w:sz w:val="20"/>
                <w:szCs w:val="20"/>
              </w:rPr>
              <w:t>Gap</w:t>
            </w:r>
          </w:p>
        </w:tc>
        <w:tc>
          <w:tcPr>
            <w:tcW w:w="2860" w:type="dxa"/>
          </w:tcPr>
          <w:p w14:paraId="50293C73" w14:textId="77777777" w:rsidR="00C924A3" w:rsidRPr="00DA0F89" w:rsidRDefault="00000000" w:rsidP="00406EBF">
            <w:pPr>
              <w:pStyle w:val="Compact"/>
              <w:spacing w:line="276" w:lineRule="auto"/>
              <w:jc w:val="both"/>
              <w:rPr>
                <w:sz w:val="20"/>
                <w:szCs w:val="20"/>
              </w:rPr>
            </w:pPr>
            <w:r w:rsidRPr="00DA0F89">
              <w:rPr>
                <w:sz w:val="20"/>
                <w:szCs w:val="20"/>
              </w:rPr>
              <w:t>0.45 (pretrial detention doctrine assumes guilt prediction possible; actuarial science shows 40-60% error rates)</w:t>
            </w:r>
          </w:p>
        </w:tc>
        <w:tc>
          <w:tcPr>
            <w:tcW w:w="2640" w:type="dxa"/>
          </w:tcPr>
          <w:p w14:paraId="5900DA6C" w14:textId="77777777" w:rsidR="00C924A3" w:rsidRPr="00DA0F89" w:rsidRDefault="00000000" w:rsidP="00406EBF">
            <w:pPr>
              <w:pStyle w:val="Compact"/>
              <w:spacing w:line="276" w:lineRule="auto"/>
              <w:jc w:val="both"/>
              <w:rPr>
                <w:sz w:val="20"/>
                <w:szCs w:val="20"/>
              </w:rPr>
            </w:pPr>
            <w:r w:rsidRPr="00DA0F89">
              <w:rPr>
                <w:b/>
                <w:bCs/>
                <w:sz w:val="20"/>
                <w:szCs w:val="20"/>
              </w:rPr>
              <w:t>Vulnerable</w:t>
            </w:r>
            <w:r w:rsidRPr="00DA0F89">
              <w:rPr>
                <w:sz w:val="20"/>
                <w:szCs w:val="20"/>
              </w:rPr>
              <w:t xml:space="preserve"> - Empirical challenge viable</w:t>
            </w:r>
          </w:p>
        </w:tc>
      </w:tr>
      <w:tr w:rsidR="00C924A3" w:rsidRPr="00DA0F89" w14:paraId="39E7C543" w14:textId="77777777">
        <w:tc>
          <w:tcPr>
            <w:tcW w:w="2420" w:type="dxa"/>
          </w:tcPr>
          <w:p w14:paraId="6E91A26C" w14:textId="77777777" w:rsidR="00C924A3" w:rsidRPr="00DA0F89" w:rsidRDefault="00000000" w:rsidP="00406EBF">
            <w:pPr>
              <w:pStyle w:val="Compact"/>
              <w:spacing w:line="276" w:lineRule="auto"/>
              <w:jc w:val="both"/>
              <w:rPr>
                <w:sz w:val="20"/>
                <w:szCs w:val="20"/>
              </w:rPr>
            </w:pPr>
            <w:r w:rsidRPr="00DA0F89">
              <w:rPr>
                <w:sz w:val="20"/>
                <w:szCs w:val="20"/>
              </w:rPr>
              <w:t>Alternative Venues</w:t>
            </w:r>
          </w:p>
        </w:tc>
        <w:tc>
          <w:tcPr>
            <w:tcW w:w="2860" w:type="dxa"/>
          </w:tcPr>
          <w:p w14:paraId="64110038" w14:textId="77777777" w:rsidR="00C924A3" w:rsidRPr="00DA0F89" w:rsidRDefault="00000000" w:rsidP="00406EBF">
            <w:pPr>
              <w:pStyle w:val="Compact"/>
              <w:spacing w:line="276" w:lineRule="auto"/>
              <w:jc w:val="both"/>
              <w:rPr>
                <w:sz w:val="20"/>
                <w:szCs w:val="20"/>
              </w:rPr>
            </w:pPr>
            <w:r w:rsidRPr="00DA0F89">
              <w:rPr>
                <w:sz w:val="20"/>
                <w:szCs w:val="20"/>
              </w:rPr>
              <w:t>2 (state legislatures, ballot initiatives can bypass judicial/prosecutorial clergy)</w:t>
            </w:r>
          </w:p>
        </w:tc>
        <w:tc>
          <w:tcPr>
            <w:tcW w:w="2640" w:type="dxa"/>
          </w:tcPr>
          <w:p w14:paraId="7B424F43" w14:textId="77777777" w:rsidR="00C924A3" w:rsidRPr="00DA0F89" w:rsidRDefault="00000000" w:rsidP="00406EBF">
            <w:pPr>
              <w:pStyle w:val="Compact"/>
              <w:spacing w:line="276" w:lineRule="auto"/>
              <w:jc w:val="both"/>
              <w:rPr>
                <w:sz w:val="20"/>
                <w:szCs w:val="20"/>
              </w:rPr>
            </w:pPr>
            <w:r w:rsidRPr="00DA0F89">
              <w:rPr>
                <w:b/>
                <w:bCs/>
                <w:sz w:val="20"/>
                <w:szCs w:val="20"/>
              </w:rPr>
              <w:t>Moderate</w:t>
            </w:r>
            <w:r w:rsidRPr="00DA0F89">
              <w:rPr>
                <w:sz w:val="20"/>
                <w:szCs w:val="20"/>
              </w:rPr>
              <w:t xml:space="preserve"> - Forum shopping possible</w:t>
            </w:r>
          </w:p>
        </w:tc>
      </w:tr>
      <w:tr w:rsidR="00C924A3" w:rsidRPr="00DA0F89" w14:paraId="4D5FA12F" w14:textId="77777777">
        <w:tc>
          <w:tcPr>
            <w:tcW w:w="2420" w:type="dxa"/>
          </w:tcPr>
          <w:p w14:paraId="0B8761DA" w14:textId="77777777" w:rsidR="00C924A3" w:rsidRPr="00DA0F89" w:rsidRDefault="00000000" w:rsidP="00406EBF">
            <w:pPr>
              <w:pStyle w:val="Compact"/>
              <w:spacing w:line="276" w:lineRule="auto"/>
              <w:jc w:val="both"/>
              <w:rPr>
                <w:sz w:val="20"/>
                <w:szCs w:val="20"/>
              </w:rPr>
            </w:pPr>
            <w:r w:rsidRPr="00DA0F89">
              <w:rPr>
                <w:sz w:val="20"/>
                <w:szCs w:val="20"/>
              </w:rPr>
              <w:t>Public Opinion</w:t>
            </w:r>
          </w:p>
        </w:tc>
        <w:tc>
          <w:tcPr>
            <w:tcW w:w="2860" w:type="dxa"/>
          </w:tcPr>
          <w:p w14:paraId="63C198BF" w14:textId="77777777" w:rsidR="00C924A3" w:rsidRPr="00DA0F89" w:rsidRDefault="00000000" w:rsidP="00406EBF">
            <w:pPr>
              <w:pStyle w:val="Compact"/>
              <w:spacing w:line="276" w:lineRule="auto"/>
              <w:jc w:val="both"/>
              <w:rPr>
                <w:sz w:val="20"/>
                <w:szCs w:val="20"/>
              </w:rPr>
            </w:pPr>
            <w:r w:rsidRPr="00DA0F89">
              <w:rPr>
                <w:sz w:val="20"/>
                <w:szCs w:val="20"/>
              </w:rPr>
              <w:t>+2.5%/year shift toward reform (2015-2023)</w:t>
            </w:r>
          </w:p>
        </w:tc>
        <w:tc>
          <w:tcPr>
            <w:tcW w:w="2640" w:type="dxa"/>
          </w:tcPr>
          <w:p w14:paraId="150DCC34" w14:textId="77777777" w:rsidR="00C924A3" w:rsidRPr="00DA0F89" w:rsidRDefault="00000000" w:rsidP="00406EBF">
            <w:pPr>
              <w:pStyle w:val="Compact"/>
              <w:spacing w:line="276" w:lineRule="auto"/>
              <w:jc w:val="both"/>
              <w:rPr>
                <w:sz w:val="20"/>
                <w:szCs w:val="20"/>
              </w:rPr>
            </w:pPr>
            <w:r w:rsidRPr="00DA0F89">
              <w:rPr>
                <w:b/>
                <w:bCs/>
                <w:sz w:val="20"/>
                <w:szCs w:val="20"/>
              </w:rPr>
              <w:t>Moderate</w:t>
            </w:r>
            <w:r w:rsidRPr="00DA0F89">
              <w:rPr>
                <w:sz w:val="20"/>
                <w:szCs w:val="20"/>
              </w:rPr>
              <w:t xml:space="preserve"> - Slow but positive momentum</w:t>
            </w:r>
          </w:p>
        </w:tc>
      </w:tr>
    </w:tbl>
    <w:p w14:paraId="5C65EF1A" w14:textId="77777777" w:rsidR="00DD4346" w:rsidRDefault="00000000" w:rsidP="00406EBF">
      <w:pPr>
        <w:pStyle w:val="Textoindependiente"/>
        <w:spacing w:line="276" w:lineRule="auto"/>
        <w:jc w:val="both"/>
      </w:pPr>
      <w:r>
        <w:rPr>
          <w:b/>
          <w:bCs/>
        </w:rPr>
        <w:t>Strategic Recommendation:</w:t>
      </w:r>
      <w:r>
        <w:t xml:space="preserve"> </w:t>
      </w:r>
    </w:p>
    <w:p w14:paraId="0BF72F97" w14:textId="77777777" w:rsidR="00DD4346" w:rsidRDefault="00000000" w:rsidP="00DD4346">
      <w:pPr>
        <w:pStyle w:val="Textoindependiente"/>
        <w:spacing w:line="276" w:lineRule="auto"/>
        <w:ind w:left="720"/>
        <w:jc w:val="both"/>
      </w:pPr>
      <w:r>
        <w:t xml:space="preserve">1. Prioritize ballot initiatives and legislative advocacy (bypass judicial clergy) </w:t>
      </w:r>
    </w:p>
    <w:p w14:paraId="27A42B45" w14:textId="77777777" w:rsidR="00DD4346" w:rsidRDefault="00000000" w:rsidP="00DD4346">
      <w:pPr>
        <w:pStyle w:val="Textoindependiente"/>
        <w:spacing w:line="276" w:lineRule="auto"/>
        <w:ind w:left="720"/>
        <w:jc w:val="both"/>
      </w:pPr>
      <w:r>
        <w:t xml:space="preserve">2. Use actuarial data to demonstrate doctrine-reality Gap in non-clerical forums (policy briefs, not law reviews) </w:t>
      </w:r>
    </w:p>
    <w:p w14:paraId="4AAEBC7B" w14:textId="77777777" w:rsidR="00DD4346" w:rsidRDefault="00000000" w:rsidP="00DD4346">
      <w:pPr>
        <w:pStyle w:val="Textoindependiente"/>
        <w:spacing w:line="276" w:lineRule="auto"/>
        <w:ind w:left="720"/>
        <w:jc w:val="both"/>
      </w:pPr>
      <w:r>
        <w:t xml:space="preserve">3. Frame as “evidence-based justice” (technocratic) not “progressive reform” (ideological) to access different memeplex </w:t>
      </w:r>
    </w:p>
    <w:p w14:paraId="035F3C85" w14:textId="77777777" w:rsidR="00DD4346" w:rsidRDefault="00000000" w:rsidP="00DD4346">
      <w:pPr>
        <w:pStyle w:val="Textoindependiente"/>
        <w:spacing w:line="276" w:lineRule="auto"/>
        <w:ind w:left="720"/>
        <w:jc w:val="both"/>
      </w:pPr>
      <w:r>
        <w:t xml:space="preserve">4. Timeline: 5-8 years to reach tipping point (60% public support), then legislative action </w:t>
      </w:r>
    </w:p>
    <w:p w14:paraId="68B76E0D" w14:textId="2C819C8B" w:rsidR="00C924A3" w:rsidRDefault="00000000" w:rsidP="00DD4346">
      <w:pPr>
        <w:pStyle w:val="Textoindependiente"/>
        <w:spacing w:line="276" w:lineRule="auto"/>
        <w:ind w:left="720"/>
        <w:jc w:val="both"/>
      </w:pPr>
      <w:r>
        <w:t>5. Avoid academic journals for advocacy (clergy-controlled, citation inversion will bury empirical work)</w:t>
      </w:r>
    </w:p>
    <w:p w14:paraId="6005CABA" w14:textId="77777777" w:rsidR="00C924A3" w:rsidRDefault="00000000" w:rsidP="00406EBF">
      <w:pPr>
        <w:pStyle w:val="Textoindependiente"/>
        <w:spacing w:line="276" w:lineRule="auto"/>
        <w:jc w:val="both"/>
      </w:pPr>
      <w:r>
        <w:rPr>
          <w:b/>
          <w:bCs/>
        </w:rPr>
        <w:t>This framework converts abstract diagnosis into actionable reform strategy.</w:t>
      </w:r>
    </w:p>
    <w:p w14:paraId="593F31E3" w14:textId="0E7D8443" w:rsidR="00C924A3" w:rsidRDefault="00C924A3" w:rsidP="00406EBF">
      <w:pPr>
        <w:spacing w:line="276" w:lineRule="auto"/>
        <w:jc w:val="both"/>
      </w:pPr>
    </w:p>
    <w:p w14:paraId="6869B604" w14:textId="77777777" w:rsidR="00C924A3" w:rsidRDefault="00000000" w:rsidP="00406EBF">
      <w:pPr>
        <w:pStyle w:val="Ttulo2"/>
        <w:spacing w:line="276" w:lineRule="auto"/>
        <w:jc w:val="both"/>
      </w:pPr>
      <w:bookmarkStart w:id="56" w:name="vii.-responses-to-anticipated-objections"/>
      <w:bookmarkEnd w:id="52"/>
      <w:bookmarkEnd w:id="55"/>
      <w:r>
        <w:t>VII. RESPONSES TO ANTICIPATED OBJECTIONS</w:t>
      </w:r>
    </w:p>
    <w:p w14:paraId="3A78AE84" w14:textId="77777777" w:rsidR="00C924A3" w:rsidRDefault="00000000" w:rsidP="00406EBF">
      <w:pPr>
        <w:pStyle w:val="FirstParagraph"/>
        <w:spacing w:line="276" w:lineRule="auto"/>
        <w:jc w:val="both"/>
      </w:pPr>
      <w:r>
        <w:t>I anticipate three categories of objections, corresponding to the three orthodoxies analyzed. Each will accuse us of violating what it holds sacred.</w:t>
      </w:r>
    </w:p>
    <w:p w14:paraId="42CBC97B" w14:textId="77777777" w:rsidR="00C924A3" w:rsidRDefault="00000000" w:rsidP="00406EBF">
      <w:pPr>
        <w:pStyle w:val="Textoindependiente"/>
        <w:spacing w:line="276" w:lineRule="auto"/>
        <w:jc w:val="both"/>
      </w:pPr>
      <w:r>
        <w:rPr>
          <w:b/>
          <w:bCs/>
        </w:rPr>
        <w:lastRenderedPageBreak/>
        <w:t>Objection 1 (Retributivist):</w:t>
      </w:r>
      <w:r>
        <w:t xml:space="preserve"> “</w:t>
      </w:r>
      <w:r w:rsidRPr="00DD4346">
        <w:rPr>
          <w:i/>
          <w:iCs/>
        </w:rPr>
        <w:t>You deny moral responsibility and reduce human beings to causal mechanisms, destroying the dignity that grounds criminal punishment.</w:t>
      </w:r>
      <w:r>
        <w:t>”</w:t>
      </w:r>
    </w:p>
    <w:p w14:paraId="1EFD511F" w14:textId="77777777" w:rsidR="00C924A3" w:rsidRDefault="00000000" w:rsidP="00406EBF">
      <w:pPr>
        <w:pStyle w:val="Textoindependiente"/>
        <w:spacing w:line="276" w:lineRule="auto"/>
        <w:jc w:val="both"/>
      </w:pPr>
      <w:r>
        <w:rPr>
          <w:b/>
          <w:bCs/>
        </w:rPr>
        <w:t>Response:</w:t>
      </w:r>
      <w:r>
        <w:t xml:space="preserve"> This objection confuses compatibilism with eliminativism. I do not deny moral responsibility; I deny that responsibility requires libertarian free will. Frankfurt, Fischer and Ravizza, and Dennett have developed sophisticated compatibilist accounts in which agents are morally responsible when they possess the capacity to respond to reasons, to reflect on their desires, and to adjust behavior in light of norms, none of which requires uncaused causation. These accounts respect human dignity while remaining consistent with neuroscience. The retributivist position is not that dignity requires responsibility, but that dignity requires a particular metaphysical foundation for responsibility, one that contemporary science has rendered untenable.</w:t>
      </w:r>
    </w:p>
    <w:p w14:paraId="771DD924" w14:textId="77777777" w:rsidR="00C924A3" w:rsidRDefault="00000000" w:rsidP="00406EBF">
      <w:pPr>
        <w:pStyle w:val="Textoindependiente"/>
        <w:spacing w:line="276" w:lineRule="auto"/>
        <w:jc w:val="both"/>
      </w:pPr>
      <w:r>
        <w:rPr>
          <w:b/>
          <w:bCs/>
        </w:rPr>
        <w:t>Objection 2 (Guarantist):</w:t>
      </w:r>
      <w:r>
        <w:t xml:space="preserve"> “</w:t>
      </w:r>
      <w:r w:rsidRPr="00DD4346">
        <w:rPr>
          <w:i/>
          <w:iCs/>
        </w:rPr>
        <w:t>Your proposals violate fundamental rights. Restorative justice and alternative measures subordinate procedural protections to efficiency, creating second-class justice.</w:t>
      </w:r>
      <w:r>
        <w:t>”</w:t>
      </w:r>
    </w:p>
    <w:p w14:paraId="4F2033D6" w14:textId="718DEC11" w:rsidR="00C924A3" w:rsidRDefault="00000000" w:rsidP="00406EBF">
      <w:pPr>
        <w:pStyle w:val="Textoindependiente"/>
        <w:spacing w:line="276" w:lineRule="auto"/>
        <w:jc w:val="both"/>
      </w:pPr>
      <w:bookmarkStart w:id="57" w:name="OLE_LINK5"/>
      <w:r>
        <w:rPr>
          <w:b/>
          <w:bCs/>
        </w:rPr>
        <w:t>Response:</w:t>
      </w:r>
      <w:r>
        <w:t xml:space="preserve"> </w:t>
      </w:r>
      <w:bookmarkEnd w:id="57"/>
      <w:r w:rsidR="003E35F9" w:rsidRPr="003E35F9">
        <w:t xml:space="preserve">Pilot restorative justice programs in Chile (Horvitz &amp; López 2012) showed 23% reductions in juvenile recidivism, demonstrating that graduated alternatives can be implemented with robust procedural safeguards (informed consent, legal representation, judicial oversight). The guarantist claim that alternatives necessarily violate rights conflates maximalist interpretation with rights protection itself. What guarantism opposes is not rights violations but pragmatic flexibility that might reduce doctrinal purity. </w:t>
      </w:r>
      <w:r w:rsidR="003E35F9" w:rsidRPr="004E1824">
        <w:rPr>
          <w:i/>
          <w:iCs/>
        </w:rPr>
        <w:t>The real question is: does maximalist interpretation of procedural rights serve defendants better than balanced interpretation allowing evidence-based alternatives?</w:t>
      </w:r>
      <w:r w:rsidR="003E35F9" w:rsidRPr="003E35F9">
        <w:t xml:space="preserve"> Comparative evidence suggests that systems combining strong procedural protections with graduated alternatives achieve better outcomes than systems relying exclusively on maximalist guarantees.</w:t>
      </w:r>
    </w:p>
    <w:p w14:paraId="21717907" w14:textId="77777777" w:rsidR="00C924A3" w:rsidRDefault="00000000" w:rsidP="00406EBF">
      <w:pPr>
        <w:pStyle w:val="Textoindependiente"/>
        <w:spacing w:line="276" w:lineRule="auto"/>
        <w:jc w:val="both"/>
      </w:pPr>
      <w:r>
        <w:rPr>
          <w:b/>
          <w:bCs/>
        </w:rPr>
        <w:t>Objection 3 (Abolitionist):</w:t>
      </w:r>
      <w:r>
        <w:t xml:space="preserve"> “</w:t>
      </w:r>
      <w:r w:rsidRPr="004E1824">
        <w:rPr>
          <w:i/>
          <w:iCs/>
        </w:rPr>
        <w:t>You legitimize the oppressive system. Any reform that improves the carceral apparatus perpetuates it by making it more tolerable.</w:t>
      </w:r>
      <w:r>
        <w:t>”</w:t>
      </w:r>
    </w:p>
    <w:p w14:paraId="193CC4AE" w14:textId="77777777" w:rsidR="00C924A3" w:rsidRDefault="00000000" w:rsidP="00406EBF">
      <w:pPr>
        <w:pStyle w:val="Textoindependiente"/>
        <w:spacing w:line="276" w:lineRule="auto"/>
        <w:jc w:val="both"/>
      </w:pPr>
      <w:r>
        <w:rPr>
          <w:b/>
          <w:bCs/>
        </w:rPr>
        <w:t>Response:</w:t>
      </w:r>
      <w:r>
        <w:t xml:space="preserve"> Your strategy fails empirically. San Francisco and Seattle, with the strongest abolitionist discourse, do not have lower incarceration than Austin and Minneapolis, which pursue pragmatic reform. Texas reduced incarceration 26% through gradual reforms; Illinois maintained it through abolitionist purity. The question is not what signals greater radicalism but what reduces harm to actual people today. If you care more about symbolic purity than about reducing the number of people in cages, you are engaged in political performance, not moral action. Roberts herself documents this double bind: abolitionism neutralizes reformers while leaving the system intact.</w:t>
      </w:r>
    </w:p>
    <w:p w14:paraId="4B521775" w14:textId="77777777" w:rsidR="00C924A3" w:rsidRDefault="00000000" w:rsidP="00406EBF">
      <w:pPr>
        <w:pStyle w:val="Textoindependiente"/>
        <w:spacing w:line="276" w:lineRule="auto"/>
        <w:jc w:val="both"/>
      </w:pPr>
      <w:r>
        <w:rPr>
          <w:b/>
          <w:bCs/>
        </w:rPr>
        <w:lastRenderedPageBreak/>
        <w:t>Objection 4 (Methodological):</w:t>
      </w:r>
      <w:r>
        <w:t xml:space="preserve"> “</w:t>
      </w:r>
      <w:r w:rsidRPr="0009322E">
        <w:rPr>
          <w:i/>
          <w:iCs/>
        </w:rPr>
        <w:t>The ‘clergy’ framework pathologizes necessary intellectual specialization. All disciplines require gatekeeping to maintain standards. Journals reject bad papers; tenure committees evaluate scholarly quality; professional guilds enforce ethical codes. Without these mechanisms, disciplines collapse into relativism where every opinion has equal weight. What you call ‘clerical immunity’ is simply peer review functioning as designed. Your framework cannot distinguish legitimate quality control from illegitimate dogma preservation.</w:t>
      </w:r>
      <w:r>
        <w:t>”</w:t>
      </w:r>
    </w:p>
    <w:p w14:paraId="275AD1F3" w14:textId="77777777" w:rsidR="00C924A3" w:rsidRDefault="00000000" w:rsidP="00406EBF">
      <w:pPr>
        <w:pStyle w:val="Textoindependiente"/>
        <w:spacing w:line="276" w:lineRule="auto"/>
        <w:jc w:val="both"/>
      </w:pPr>
      <w:r>
        <w:rPr>
          <w:b/>
          <w:bCs/>
        </w:rPr>
        <w:t>Response:</w:t>
      </w:r>
      <w:r>
        <w:t xml:space="preserve"> This objection identifies a genuine challenge: how to distinguish functional gatekeeping from dysfunctional immunity? I propose three operational criteria:</w:t>
      </w:r>
    </w:p>
    <w:p w14:paraId="62352713" w14:textId="77777777" w:rsidR="00C924A3" w:rsidRDefault="00000000" w:rsidP="00406EBF">
      <w:pPr>
        <w:pStyle w:val="Textoindependiente"/>
        <w:spacing w:line="276" w:lineRule="auto"/>
        <w:jc w:val="both"/>
      </w:pPr>
      <w:r>
        <w:rPr>
          <w:b/>
          <w:bCs/>
        </w:rPr>
        <w:t>1. Proportionality:</w:t>
      </w:r>
      <w:r>
        <w:t xml:space="preserve"> Gatekeeping intensity should correlate with error costs. Medicine rightly has stricter gatekeeping than literary criticism (wrong diagnosis kills; wrong interpretation doesn’t). Criminal law’s retributive doctrine affects millions of incarcerated individuals, yet resists empirical challenge more intensely than medicine resists RCT evidence. This disproportion signals clerical immunity, not quality control. Section 2.5 operationalizes this: when </w:t>
      </w:r>
      <w:r w:rsidRPr="004E1824">
        <w:rPr>
          <w:b/>
          <w:bCs/>
        </w:rPr>
        <w:t>Clergy Immunity Index</w:t>
      </w:r>
      <w:r>
        <w:t xml:space="preserve"> (CII) exceeds 0.7, temporal lag between evidence and revision becomes pathological. Medical doctrine (H. pylori example) shows CII = 0.36; retributivism shows CII = 1.0.</w:t>
      </w:r>
    </w:p>
    <w:p w14:paraId="2C28EEE7" w14:textId="77777777" w:rsidR="00C924A3" w:rsidRDefault="00000000" w:rsidP="00406EBF">
      <w:pPr>
        <w:pStyle w:val="Textoindependiente"/>
        <w:spacing w:line="276" w:lineRule="auto"/>
        <w:jc w:val="both"/>
      </w:pPr>
      <w:r>
        <w:rPr>
          <w:b/>
          <w:bCs/>
        </w:rPr>
        <w:t>2. Temporality:</w:t>
      </w:r>
      <w:r>
        <w:t xml:space="preserve"> Legitimate peer review responds to new evidence within discipline-standard timeframes (5-10 years for paradigm-challenging findings in sciences). When contradictory evidence accumulates for 40+ years without doctrinal revision (neuroscience &amp; retributivism), this exceeds any reasonable definition of careful evaluation. The Critical Threshold Model (Section 5.3) formalizes this: doctrine within viability window (Gap &lt; 0.30) appropriately resists premature revision; doctrine exceeding threshold (Gap ≥ 0.30) pathologically resists necessary adaptation.</w:t>
      </w:r>
    </w:p>
    <w:p w14:paraId="3961D615" w14:textId="77777777" w:rsidR="00C924A3" w:rsidRDefault="00000000" w:rsidP="00406EBF">
      <w:pPr>
        <w:pStyle w:val="Textoindependiente"/>
        <w:spacing w:line="276" w:lineRule="auto"/>
        <w:jc w:val="both"/>
      </w:pPr>
      <w:r>
        <w:rPr>
          <w:b/>
          <w:bCs/>
        </w:rPr>
        <w:t>3. Venue-Independence:</w:t>
      </w:r>
      <w:r>
        <w:t xml:space="preserve"> Legitimate expertise should be robust across decision contexts. If doctrine is accepted in academic journals but rejected in policy evaluations by economists, medical researchers, and public opinion, this suggests epistemic closure rather than valid expertise. Marriage equality case study (Section 6.1) demonstrates this: family law doctrine defending traditional marriage collapsed when adjudicated in constitutional law forums and evaluated through psychological evidence, revealing that “expertise” was domain-specific gatekeeping rather than generalizable knowledge.</w:t>
      </w:r>
    </w:p>
    <w:p w14:paraId="795EA603" w14:textId="77777777" w:rsidR="00C924A3" w:rsidRDefault="00000000" w:rsidP="00406EBF">
      <w:pPr>
        <w:pStyle w:val="Textoindependiente"/>
        <w:spacing w:line="276" w:lineRule="auto"/>
        <w:jc w:val="both"/>
      </w:pPr>
      <w:r>
        <w:t>These criteria are operationalized (Section 8) with falsification protocols. If high CII, high Gap, and venue-specific acceptance do not correlate with reform failure, the clergy hypothesis is rejected. The framework thus distinguishes quality control (which improves outcomes) from clerical immunity (which blocks beneficial reform).</w:t>
      </w:r>
    </w:p>
    <w:p w14:paraId="39F30FEC" w14:textId="77777777" w:rsidR="007667FD" w:rsidRPr="007667FD" w:rsidRDefault="007667FD" w:rsidP="007667FD">
      <w:pPr>
        <w:pStyle w:val="Textoindependiente"/>
        <w:spacing w:line="276" w:lineRule="auto"/>
        <w:jc w:val="both"/>
        <w:rPr>
          <w:b/>
          <w:bCs/>
        </w:rPr>
      </w:pPr>
      <w:bookmarkStart w:id="58" w:name="OLE_LINK7"/>
      <w:r w:rsidRPr="007667FD">
        <w:rPr>
          <w:b/>
          <w:bCs/>
        </w:rPr>
        <w:lastRenderedPageBreak/>
        <w:t>Objection 5 (Materialist):</w:t>
      </w:r>
    </w:p>
    <w:p w14:paraId="452B0D0D" w14:textId="255B04E2" w:rsidR="007667FD" w:rsidRPr="007667FD" w:rsidRDefault="007667FD" w:rsidP="007667FD">
      <w:pPr>
        <w:pStyle w:val="Textoindependiente"/>
        <w:spacing w:line="276" w:lineRule="auto"/>
        <w:jc w:val="both"/>
      </w:pPr>
      <w:r w:rsidRPr="007667FD">
        <w:rPr>
          <w:i/>
          <w:iCs/>
        </w:rPr>
        <w:t>"Your examples confuse memetic selection with material interests. Argentine fiscal lock-in persists not because of 'federalist memes' but because small-province political elites benefit from revenue without accountability. Abolitionist purity isn't 'clerical immunity'; it's activist strategy maximizing visibility and donations. Retributivism persists not because of 'doctrinal sacralization' but because mass publics demand vengeance regardless of scholarly opinion. You're inventing memetic just-so stories when simpler materialist explanations suffice."</w:t>
      </w:r>
    </w:p>
    <w:p w14:paraId="1FA0827E" w14:textId="77777777" w:rsidR="007667FD" w:rsidRPr="007667FD" w:rsidRDefault="007667FD" w:rsidP="007667FD">
      <w:pPr>
        <w:pStyle w:val="Textoindependiente"/>
        <w:spacing w:line="276" w:lineRule="auto"/>
        <w:jc w:val="both"/>
        <w:rPr>
          <w:b/>
          <w:bCs/>
        </w:rPr>
      </w:pPr>
      <w:r w:rsidRPr="007667FD">
        <w:rPr>
          <w:b/>
          <w:bCs/>
        </w:rPr>
        <w:t>Response:</w:t>
      </w:r>
    </w:p>
    <w:p w14:paraId="6BBADC49" w14:textId="77777777" w:rsidR="007667FD" w:rsidRPr="007667FD" w:rsidRDefault="007667FD" w:rsidP="007667FD">
      <w:pPr>
        <w:pStyle w:val="Textoindependiente"/>
        <w:spacing w:line="276" w:lineRule="auto"/>
        <w:jc w:val="both"/>
      </w:pPr>
      <w:r w:rsidRPr="007667FD">
        <w:t>Material interests are necessary but insufficient explanations. The memetic framework adds explanatory power precisely in cases where material interests predict change but change doesn't occur.</w:t>
      </w:r>
    </w:p>
    <w:p w14:paraId="7AA1C56A" w14:textId="77777777" w:rsidR="007667FD" w:rsidRPr="007667FD" w:rsidRDefault="007667FD" w:rsidP="007667FD">
      <w:pPr>
        <w:pStyle w:val="Textoindependiente"/>
        <w:spacing w:line="276" w:lineRule="auto"/>
        <w:jc w:val="both"/>
        <w:rPr>
          <w:lang w:val="es-AR"/>
        </w:rPr>
      </w:pPr>
      <w:r w:rsidRPr="007667FD">
        <w:rPr>
          <w:b/>
          <w:bCs/>
          <w:lang w:val="es-AR"/>
        </w:rPr>
        <w:t>Case 1: Argentine Fiscal Lock-In</w:t>
      </w:r>
    </w:p>
    <w:p w14:paraId="2B1F7F1A" w14:textId="77777777" w:rsidR="007667FD" w:rsidRPr="007667FD" w:rsidRDefault="007667FD" w:rsidP="007667FD">
      <w:pPr>
        <w:pStyle w:val="Textoindependiente"/>
        <w:numPr>
          <w:ilvl w:val="0"/>
          <w:numId w:val="14"/>
        </w:numPr>
        <w:spacing w:line="276" w:lineRule="auto"/>
        <w:jc w:val="both"/>
      </w:pPr>
      <w:r w:rsidRPr="007667FD">
        <w:rPr>
          <w:b/>
          <w:bCs/>
        </w:rPr>
        <w:t>Material prediction:</w:t>
      </w:r>
      <w:r w:rsidRPr="007667FD">
        <w:t xml:space="preserve"> Federal systems with similar institutional structures (Brazil, Mexico, Argentina) all feature small provinces with disproportionate Senate representation and incentives to extract federal transfers without fiscal effort. If material interests were sufficient, all should exhibit similar lock-in.</w:t>
      </w:r>
    </w:p>
    <w:p w14:paraId="725BCB34" w14:textId="77777777" w:rsidR="007667FD" w:rsidRPr="007667FD" w:rsidRDefault="007667FD" w:rsidP="007667FD">
      <w:pPr>
        <w:pStyle w:val="Textoindependiente"/>
        <w:numPr>
          <w:ilvl w:val="0"/>
          <w:numId w:val="14"/>
        </w:numPr>
        <w:spacing w:line="276" w:lineRule="auto"/>
        <w:jc w:val="both"/>
      </w:pPr>
      <w:r w:rsidRPr="007667FD">
        <w:rPr>
          <w:b/>
          <w:bCs/>
        </w:rPr>
        <w:t>Empirical reality:</w:t>
      </w:r>
      <w:r w:rsidRPr="007667FD">
        <w:t xml:space="preserve"> Brazil formalized federal taxation and reduced provincial extraction (CLI 0.40), Mexico partially reformed intergovernmental transfers (CLI 0.52), Argentina remained locked in permanent fiscal imbalance (CLI 0.89).</w:t>
      </w:r>
    </w:p>
    <w:p w14:paraId="468F8406" w14:textId="77777777" w:rsidR="007667FD" w:rsidRPr="007667FD" w:rsidRDefault="007667FD" w:rsidP="007667FD">
      <w:pPr>
        <w:pStyle w:val="Textoindependiente"/>
        <w:numPr>
          <w:ilvl w:val="0"/>
          <w:numId w:val="14"/>
        </w:numPr>
        <w:spacing w:line="276" w:lineRule="auto"/>
        <w:jc w:val="both"/>
      </w:pPr>
      <w:r w:rsidRPr="007667FD">
        <w:rPr>
          <w:b/>
          <w:bCs/>
        </w:rPr>
        <w:t>Memetic addition:</w:t>
      </w:r>
      <w:r w:rsidRPr="007667FD">
        <w:t xml:space="preserve"> Argentina's 1853 federalist compact became sacralized constitutional identity, embedding equal provincial representation as untouchable principle regardless of demographic or economic asymmetries. Brazilian and Mexican constitutions lacked equivalent memetic entrenchment of territorial equality over functional efficiency. Material interests (provincial rent-seeking) were constant across cases; memetic structures (constitutional sacralization vs. pragmatic federalism) varied; outcomes followed memetic variation, not material structure.</w:t>
      </w:r>
    </w:p>
    <w:p w14:paraId="0AC8B6DF" w14:textId="0B6021E4" w:rsidR="007667FD" w:rsidRPr="007667FD" w:rsidRDefault="007667FD" w:rsidP="007667FD">
      <w:pPr>
        <w:pStyle w:val="Textoindependiente"/>
        <w:numPr>
          <w:ilvl w:val="0"/>
          <w:numId w:val="14"/>
        </w:numPr>
        <w:spacing w:line="276" w:lineRule="auto"/>
        <w:jc w:val="both"/>
      </w:pPr>
      <w:r w:rsidRPr="007667FD">
        <w:rPr>
          <w:b/>
          <w:bCs/>
        </w:rPr>
        <w:t>Crucially:</w:t>
      </w:r>
      <w:r w:rsidRPr="007667FD">
        <w:t xml:space="preserve"> The beneficiaries aren't Buenos Aires elites (who are net losers, contributing ~50% of revenue while receiving ~25% of transfers) but small-province governors and legislators whose survival depends on federal transfers. Yet Buenos Aires, despite clear material interest in reform and demographic dominance, cannot break the lock-in because small provinces control 50% of the Senate and can veto any constitutional amendment. Material power </w:t>
      </w:r>
      <w:r w:rsidRPr="007667FD">
        <w:lastRenderedPageBreak/>
        <w:t>(economic weight) doesn't translate to institutional power (veto capacity) when memetic structures privilege territorial over demographic representation</w:t>
      </w:r>
      <w:r w:rsidR="0042633B">
        <w:rPr>
          <w:rStyle w:val="Refdenotaalpie"/>
        </w:rPr>
        <w:footnoteReference w:id="18"/>
      </w:r>
      <w:r w:rsidRPr="007667FD">
        <w:t>.</w:t>
      </w:r>
    </w:p>
    <w:p w14:paraId="3CF90119" w14:textId="77777777" w:rsidR="007667FD" w:rsidRPr="007667FD" w:rsidRDefault="007667FD" w:rsidP="00406EBF">
      <w:pPr>
        <w:pStyle w:val="Textoindependiente"/>
        <w:spacing w:line="276" w:lineRule="auto"/>
        <w:jc w:val="both"/>
      </w:pPr>
    </w:p>
    <w:bookmarkEnd w:id="58"/>
    <w:p w14:paraId="53875D10" w14:textId="77777777" w:rsidR="00C924A3" w:rsidRDefault="00000000" w:rsidP="00406EBF">
      <w:pPr>
        <w:pStyle w:val="Textoindependiente"/>
        <w:spacing w:line="276" w:lineRule="auto"/>
        <w:jc w:val="both"/>
      </w:pPr>
      <w:r>
        <w:rPr>
          <w:b/>
          <w:bCs/>
        </w:rPr>
        <w:t>Case 2: Abolitionist Purity</w:t>
      </w:r>
      <w:r>
        <w:t xml:space="preserve"> - </w:t>
      </w:r>
      <w:r>
        <w:rPr>
          <w:b/>
          <w:bCs/>
        </w:rPr>
        <w:t>Material prediction:</w:t>
      </w:r>
      <w:r>
        <w:t xml:space="preserve"> If purity maximizes donations/visibility, organizations should maintain purity as long as funding flows. - </w:t>
      </w:r>
      <w:r>
        <w:rPr>
          <w:b/>
          <w:bCs/>
        </w:rPr>
        <w:t>Empirical reality:</w:t>
      </w:r>
      <w:r>
        <w:t xml:space="preserve"> Roberts (2024, p. 31) documents three major abolitionist organizations closing 2020-2023 despite maintaining doctrinal purity, while pragmatic criminal justice reform organizations (Vera Institute, JPI) maintained funding. - </w:t>
      </w:r>
      <w:r>
        <w:rPr>
          <w:b/>
          <w:bCs/>
        </w:rPr>
        <w:t>Memetic addition:</w:t>
      </w:r>
      <w:r>
        <w:t xml:space="preserve"> Purity persists despite funding loss because memeplex filters adherents by costly signaling. Organizations that moderate lose ideological coherence and membership, not because donors disapprove but because members defect. Material interests predict moderation when funding declines; memetic selection predicts persistence through organizational collapse.</w:t>
      </w:r>
    </w:p>
    <w:p w14:paraId="0B09FFAA" w14:textId="77777777" w:rsidR="00C924A3" w:rsidRDefault="00000000" w:rsidP="00406EBF">
      <w:pPr>
        <w:pStyle w:val="Textoindependiente"/>
        <w:spacing w:line="276" w:lineRule="auto"/>
        <w:jc w:val="both"/>
      </w:pPr>
      <w:r>
        <w:rPr>
          <w:b/>
          <w:bCs/>
        </w:rPr>
        <w:t>Case 3: Retributivism</w:t>
      </w:r>
      <w:r>
        <w:t xml:space="preserve"> - </w:t>
      </w:r>
      <w:r>
        <w:rPr>
          <w:b/>
          <w:bCs/>
        </w:rPr>
        <w:t>Material prediction:</w:t>
      </w:r>
      <w:r>
        <w:t xml:space="preserve"> If retributivism reflects public opinion, doctrine should track opinion shifts. Public support for reduced incarceration grew from 35% (2000) to 65% (2023, Pew surveys). - </w:t>
      </w:r>
      <w:r>
        <w:rPr>
          <w:b/>
          <w:bCs/>
        </w:rPr>
        <w:t>Empirical reality:</w:t>
      </w:r>
      <w:r>
        <w:t xml:space="preserve"> Academic criminal law discourse shows no comparable revision. Leading treatises (Roxin 2006, Jakobs 2021) maintain libertarian foundations despite both neuroscience evidence and public opinion shift. - </w:t>
      </w:r>
      <w:r>
        <w:rPr>
          <w:b/>
          <w:bCs/>
        </w:rPr>
        <w:t>Memetic addition:</w:t>
      </w:r>
      <w:r>
        <w:t xml:space="preserve"> Scholarly discourse insulated from public opinion by clerical gatekeeping (Section 5.1: endogamic citation 89.3%). Material interests (public opinion) shifted; clergy immunity prevented doctrinal adaptation.</w:t>
      </w:r>
    </w:p>
    <w:p w14:paraId="6FB0001D" w14:textId="2940F2B4" w:rsidR="00C924A3" w:rsidRDefault="00000000" w:rsidP="0042633B">
      <w:pPr>
        <w:pStyle w:val="Textoindependiente"/>
        <w:spacing w:line="276" w:lineRule="auto"/>
        <w:jc w:val="both"/>
      </w:pPr>
      <w:r>
        <w:t>The memetic framework is not alternative to materialism but complementary. Material factors create selection pressures; memetic structures determine which institutions survive those pressures. When material interests and memetic immunity align (prison guards + tough-on-crime memes), reform is doubly blocked. When they conflict (public opinion shifts but clergy resists), memetic factors become visible as independent causal variables. Section 8.2 prediction tests this: if material factors (GDP, crisis) predict reform success better than clerical factors (alignment, Gap), materialism wins. If clergy variables dominate, memetics adds explanatory power.</w:t>
      </w:r>
    </w:p>
    <w:p w14:paraId="4E014688" w14:textId="77777777" w:rsidR="00C924A3" w:rsidRDefault="00000000" w:rsidP="00406EBF">
      <w:pPr>
        <w:pStyle w:val="Ttulo2"/>
        <w:spacing w:line="276" w:lineRule="auto"/>
        <w:jc w:val="both"/>
      </w:pPr>
      <w:bookmarkStart w:id="59" w:name="Xb93abffb6f0ee72707640aeae00d275ed6204e6"/>
      <w:bookmarkEnd w:id="56"/>
      <w:r>
        <w:lastRenderedPageBreak/>
        <w:t>VIII. TESTABLE PREDICTIONS AND FALSIFICATION CRITERIA</w:t>
      </w:r>
    </w:p>
    <w:p w14:paraId="21FB9BC3" w14:textId="77777777" w:rsidR="00C924A3" w:rsidRDefault="00000000" w:rsidP="00406EBF">
      <w:pPr>
        <w:pStyle w:val="FirstParagraph"/>
        <w:spacing w:line="276" w:lineRule="auto"/>
        <w:jc w:val="both"/>
      </w:pPr>
      <w:r>
        <w:t>The foregoing analysis establishes epistemological clergy as a coherent theoretical framework with diagnostic patterns, mechanisms, and strategic implications. To constitute a scientific research program rather than mere critical commentary, the framework must generate testable predictions with specified falsification criteria. This section presents three core predictions, operationalized measurement protocols, and conditions under which the clergy hypothesis would be rejected.</w:t>
      </w:r>
    </w:p>
    <w:p w14:paraId="4C933ED6" w14:textId="77777777" w:rsidR="00C924A3" w:rsidRDefault="00000000" w:rsidP="00406EBF">
      <w:pPr>
        <w:pStyle w:val="Ttulo3"/>
        <w:spacing w:line="276" w:lineRule="auto"/>
        <w:jc w:val="both"/>
      </w:pPr>
      <w:bookmarkStart w:id="60" w:name="X7f4c2c7d624d906622865faf193cd4d1bb8247e"/>
      <w:r>
        <w:t>8.1 Prediction 1: Citation Gradient by Doctrine-Reality Gap</w:t>
      </w:r>
    </w:p>
    <w:p w14:paraId="47DE7E05" w14:textId="77777777" w:rsidR="00C924A3" w:rsidRDefault="00000000" w:rsidP="00406EBF">
      <w:pPr>
        <w:pStyle w:val="FirstParagraph"/>
        <w:spacing w:line="276" w:lineRule="auto"/>
        <w:jc w:val="both"/>
      </w:pPr>
      <w:r>
        <w:rPr>
          <w:b/>
          <w:bCs/>
        </w:rPr>
        <w:t>Hypothesis:</w:t>
      </w:r>
      <w:r>
        <w:t xml:space="preserve"> Works defending doctrine will be cited more frequently than works presenting contradictory empirical evidence, with citation ratio increasing as the doctrine-reality gap widens.</w:t>
      </w:r>
    </w:p>
    <w:p w14:paraId="3D955D55" w14:textId="77777777" w:rsidR="00C924A3" w:rsidRDefault="00000000" w:rsidP="00406EBF">
      <w:pPr>
        <w:pStyle w:val="Textoindependiente"/>
        <w:spacing w:line="276" w:lineRule="auto"/>
        <w:jc w:val="both"/>
      </w:pPr>
      <w:r>
        <w:rPr>
          <w:b/>
          <w:bCs/>
        </w:rPr>
        <w:t>Theoretical Justification:</w:t>
      </w:r>
      <w:r>
        <w:t xml:space="preserve"> When Gap &lt; 0.30 (Section 5.3 viability window), clergy functions as quality control, appropriately skeptical of preliminary challenges. Citation patterns should be balanced. When Gap ≥ 0.30, clergy immunity becomes pathological. Defensive doctrine receives disproportionate citations not due to quality but due to clerical filtering of heterodox work.</w:t>
      </w:r>
    </w:p>
    <w:p w14:paraId="262A65B7" w14:textId="77777777" w:rsidR="00C924A3" w:rsidRDefault="00000000" w:rsidP="00406EBF">
      <w:pPr>
        <w:pStyle w:val="Textoindependiente"/>
        <w:spacing w:line="276" w:lineRule="auto"/>
        <w:jc w:val="both"/>
      </w:pPr>
      <w:r>
        <w:rPr>
          <w:b/>
          <w:bCs/>
        </w:rPr>
        <w:t>Measurement Protocol:</w:t>
      </w:r>
      <w:r>
        <w:t xml:space="preserve"> 1. Sample 100 scholarly works across 5 legal domains (criminal responsibility, criminal procedure, labor ultraactivity, property/digital rights, constitutional interpretation) 2. Classify each work: (A) defends established doctrine, or (B) presents empirical evidence challenging doctrine 3. Control for: journal prestige (JCR quartile), author h-index, years since publication 4. Measure: (1) Citation Ratio CR = (mean citations to A) / (mean citations to B) 5. Measure: (2) Doctrine-Reality Gap per Section 5.3 methodology 6. Analyze: Correlation ρ between Gap and CR</w:t>
      </w:r>
    </w:p>
    <w:p w14:paraId="438CDD2B" w14:textId="77777777" w:rsidR="00C924A3" w:rsidRDefault="00000000" w:rsidP="00406EBF">
      <w:pPr>
        <w:pStyle w:val="Textoindependiente"/>
        <w:spacing w:line="276" w:lineRule="auto"/>
        <w:jc w:val="both"/>
      </w:pPr>
      <w:r>
        <w:rPr>
          <w:b/>
          <w:bCs/>
        </w:rPr>
        <w:t>Predicted Relationship:</w:t>
      </w:r>
      <w:r>
        <w:t xml:space="preserve"> - </w:t>
      </w:r>
      <w:r>
        <w:rPr>
          <w:b/>
          <w:bCs/>
        </w:rPr>
        <w:t>ρ &gt; 0.60:</w:t>
      </w:r>
      <w:r>
        <w:t xml:space="preserve"> Strong positive correlation (as Gap widens, citation ratio favoring doctrine increases) - </w:t>
      </w:r>
      <w:r>
        <w:rPr>
          <w:b/>
          <w:bCs/>
        </w:rPr>
        <w:t>p &lt; 0.01:</w:t>
      </w:r>
      <w:r>
        <w:t xml:space="preserve"> Statistically significant relationship</w:t>
      </w:r>
    </w:p>
    <w:p w14:paraId="0E0DA399" w14:textId="77777777" w:rsidR="00C924A3" w:rsidRDefault="00000000" w:rsidP="00406EBF">
      <w:pPr>
        <w:pStyle w:val="Textoindependiente"/>
        <w:spacing w:line="276" w:lineRule="auto"/>
        <w:jc w:val="both"/>
      </w:pPr>
      <w:r>
        <w:rPr>
          <w:b/>
          <w:bCs/>
        </w:rPr>
        <w:t>Falsification Criterion:</w:t>
      </w:r>
      <w:r>
        <w:t xml:space="preserve"> - </w:t>
      </w:r>
      <w:r>
        <w:rPr>
          <w:b/>
          <w:bCs/>
        </w:rPr>
        <w:t>ρ &lt; 0.30 or p &gt; 0.10:</w:t>
      </w:r>
      <w:r>
        <w:t xml:space="preserve"> No significant correlation between Gap and citation inversion - </w:t>
      </w:r>
      <w:r>
        <w:rPr>
          <w:b/>
          <w:bCs/>
        </w:rPr>
        <w:t>Interpretation if falsified:</w:t>
      </w:r>
      <w:r>
        <w:t xml:space="preserve"> Citation patterns reflect scholarly quality rather than clerical immunity; hypothesis rejected</w:t>
      </w:r>
    </w:p>
    <w:p w14:paraId="3C49EA6A" w14:textId="77777777" w:rsidR="00C924A3" w:rsidRDefault="00000000" w:rsidP="00406EBF">
      <w:pPr>
        <w:pStyle w:val="Textoindependiente"/>
        <w:spacing w:line="276" w:lineRule="auto"/>
        <w:jc w:val="both"/>
      </w:pPr>
      <w:r>
        <w:rPr>
          <w:b/>
          <w:bCs/>
        </w:rPr>
        <w:t>Preliminary Evidence (Requires Systematic Data Collection):</w:t>
      </w:r>
      <w:r>
        <w:t xml:space="preserve"> - Retributivism (Gap ≈0.70): CR = 2.04 (Section 2.1.4) - Guarantism (Gap ≈0.60): CR &gt; 1.5 (estimated from journal composition) - Marriage equality pre-2015 (Gap ≈0.40): CR ≈ 1.8 (family law journals favored traditional marriage defenses) - Preliminary pattern supports prediction but requires comprehensive dataset</w:t>
      </w:r>
    </w:p>
    <w:p w14:paraId="7AB2C96F" w14:textId="77777777" w:rsidR="00C924A3" w:rsidRDefault="00000000" w:rsidP="00406EBF">
      <w:pPr>
        <w:pStyle w:val="Ttulo3"/>
        <w:spacing w:line="276" w:lineRule="auto"/>
        <w:jc w:val="both"/>
      </w:pPr>
      <w:bookmarkStart w:id="61" w:name="Xaf75481dc18290b42bc0b8c2939d328f8fe7027"/>
      <w:bookmarkEnd w:id="60"/>
      <w:r>
        <w:lastRenderedPageBreak/>
        <w:t>8.2 Prediction 2: Reform Success by Clergy Alignment</w:t>
      </w:r>
    </w:p>
    <w:p w14:paraId="37E69ADD" w14:textId="77777777" w:rsidR="00C924A3" w:rsidRDefault="00000000" w:rsidP="00406EBF">
      <w:pPr>
        <w:pStyle w:val="FirstParagraph"/>
        <w:spacing w:line="276" w:lineRule="auto"/>
        <w:jc w:val="both"/>
      </w:pPr>
      <w:r>
        <w:rPr>
          <w:b/>
          <w:bCs/>
        </w:rPr>
        <w:t>Hypothesis:</w:t>
      </w:r>
      <w:r>
        <w:t xml:space="preserve"> Reform attempts will fail when &gt;70% of decision venues are controlled by aligned clergy, independent of reform quality or political conditions.</w:t>
      </w:r>
    </w:p>
    <w:p w14:paraId="24CFED93" w14:textId="77777777" w:rsidR="00C924A3" w:rsidRDefault="00000000" w:rsidP="00406EBF">
      <w:pPr>
        <w:pStyle w:val="Textoindependiente"/>
        <w:spacing w:line="276" w:lineRule="auto"/>
        <w:jc w:val="both"/>
      </w:pPr>
      <w:r>
        <w:rPr>
          <w:b/>
          <w:bCs/>
        </w:rPr>
        <w:t>Theoretical Justification:</w:t>
      </w:r>
      <w:r>
        <w:t xml:space="preserve"> Section 6.1-6.2 case studies demonstrate that forum shopping allows clergy bypass (marriage equality succeeded via multi-venue strategy). When all venues controlled by aligned clergy, no bypass possible (prison reform failed despite favorable conditions). The 70% threshold is proposed as the point where venue diversity becomes insufficient for circumvention.</w:t>
      </w:r>
    </w:p>
    <w:p w14:paraId="57D9D959" w14:textId="77777777" w:rsidR="00C924A3" w:rsidRDefault="00000000" w:rsidP="00406EBF">
      <w:pPr>
        <w:pStyle w:val="Textoindependiente"/>
        <w:spacing w:line="276" w:lineRule="auto"/>
        <w:jc w:val="both"/>
      </w:pPr>
      <w:r>
        <w:rPr>
          <w:b/>
          <w:bCs/>
        </w:rPr>
        <w:t>Measurement Protocol:</w:t>
      </w:r>
      <w:r>
        <w:t xml:space="preserve"> 1. Sample 50 reform attempts across multiple jurisdictions and domains (N=50) 2. Code for each reform: - </w:t>
      </w:r>
      <w:r>
        <w:rPr>
          <w:b/>
          <w:bCs/>
        </w:rPr>
        <w:t>Clergy Alignment:</w:t>
      </w:r>
      <w:r>
        <w:t xml:space="preserve"> % of decision venues (academia, courts, legislatures, professional associations) controlled by memeplex opposing reform (0-100%) - </w:t>
      </w:r>
      <w:r>
        <w:rPr>
          <w:b/>
          <w:bCs/>
        </w:rPr>
        <w:t>Reform Outcome:</w:t>
      </w:r>
      <w:r>
        <w:t xml:space="preserve"> 0 = failed, 1 = partially implemented (0-50% of provisions), 2 = substantially implemented (&gt;50%) - </w:t>
      </w:r>
      <w:r>
        <w:rPr>
          <w:b/>
          <w:bCs/>
        </w:rPr>
        <w:t>Control variables:</w:t>
      </w:r>
      <w:r>
        <w:t xml:space="preserve"> GDP per capita, political regime type, crisis conditions, public opinion support 3. Analyze: Logistic regression predicting reform success</w:t>
      </w:r>
    </w:p>
    <w:p w14:paraId="5B7406F8" w14:textId="77777777" w:rsidR="00C924A3" w:rsidRDefault="00000000" w:rsidP="00406EBF">
      <w:pPr>
        <w:pStyle w:val="Textoindependiente"/>
        <w:spacing w:line="276" w:lineRule="auto"/>
        <w:jc w:val="both"/>
      </w:pPr>
      <w:r>
        <w:rPr>
          <w:b/>
          <w:bCs/>
        </w:rPr>
        <w:t>Predicted Relationships:</w:t>
      </w:r>
      <w:r>
        <w:t xml:space="preserve"> - </w:t>
      </w:r>
      <w:r>
        <w:rPr>
          <w:b/>
          <w:bCs/>
        </w:rPr>
        <w:t>Clergy Alignment &gt;70%:</w:t>
      </w:r>
      <w:r>
        <w:t xml:space="preserve"> Odds Ratio (OR) &lt; 0.1 for reform success (90%+ probability of failure) - </w:t>
      </w:r>
      <w:r>
        <w:rPr>
          <w:b/>
          <w:bCs/>
        </w:rPr>
        <w:t>Clergy Alignment &lt;40%:</w:t>
      </w:r>
      <w:r>
        <w:t xml:space="preserve"> OR &gt; 3.0 for reform success (75%+ probability of success) - </w:t>
      </w:r>
      <w:r>
        <w:rPr>
          <w:b/>
          <w:bCs/>
        </w:rPr>
        <w:t>Effect size:</w:t>
      </w:r>
      <w:r>
        <w:t xml:space="preserve"> Alignment should be strongest predictor, controlling for other variables</w:t>
      </w:r>
    </w:p>
    <w:p w14:paraId="0D3C378E" w14:textId="77777777" w:rsidR="00C924A3" w:rsidRDefault="00000000" w:rsidP="00406EBF">
      <w:pPr>
        <w:pStyle w:val="Textoindependiente"/>
        <w:spacing w:line="276" w:lineRule="auto"/>
        <w:jc w:val="both"/>
      </w:pPr>
      <w:r>
        <w:rPr>
          <w:b/>
          <w:bCs/>
        </w:rPr>
        <w:t>Falsification Criterion:</w:t>
      </w:r>
      <w:r>
        <w:t xml:space="preserve"> - </w:t>
      </w:r>
      <w:r>
        <w:rPr>
          <w:b/>
          <w:bCs/>
        </w:rPr>
        <w:t>No significant relationship:</w:t>
      </w:r>
      <w:r>
        <w:t xml:space="preserve"> If alignment does not predict reform outcome (p &gt; 0.10), or if other variables (GDP, regime type) predict better than alignment - </w:t>
      </w:r>
      <w:r>
        <w:rPr>
          <w:b/>
          <w:bCs/>
        </w:rPr>
        <w:t>Interpretation if falsified:</w:t>
      </w:r>
      <w:r>
        <w:t xml:space="preserve"> Clergy power is not determinative; material or political factors dominate</w:t>
      </w:r>
    </w:p>
    <w:p w14:paraId="5A2C05CC" w14:textId="77777777" w:rsidR="00C924A3" w:rsidRDefault="00000000" w:rsidP="00406EBF">
      <w:pPr>
        <w:pStyle w:val="Textoindependiente"/>
        <w:spacing w:line="276" w:lineRule="auto"/>
        <w:jc w:val="both"/>
      </w:pPr>
      <w:r>
        <w:rPr>
          <w:b/>
          <w:bCs/>
        </w:rPr>
        <w:t>Preliminary Evidence:</w:t>
      </w:r>
      <w:r>
        <w:t xml:space="preserve"> - Marriage equality (alignment ≈35%: constitutional law + public opinion shifted, family law remained opposed): Success - Illinois prison reform (alignment ≈80%: academia, prosecutors, police aligned): Failure (+12% detention) - Uruguay labor reform (alignment ≈25%: eliminated ultraactivity despite labor law clergy opposition, legislature + executive supported): Success - Pattern supports prediction but requires systematic coding</w:t>
      </w:r>
    </w:p>
    <w:p w14:paraId="65E73A53" w14:textId="77777777" w:rsidR="00C924A3" w:rsidRDefault="00000000" w:rsidP="00406EBF">
      <w:pPr>
        <w:pStyle w:val="Ttulo3"/>
        <w:spacing w:line="276" w:lineRule="auto"/>
        <w:jc w:val="both"/>
      </w:pPr>
      <w:bookmarkStart w:id="62" w:name="X3c459f5e4c033c5cb1fa29f8c4165151b127598"/>
      <w:bookmarkEnd w:id="61"/>
      <w:r>
        <w:t>8.3 Prediction 3: Generational Clergy Replacement</w:t>
      </w:r>
    </w:p>
    <w:p w14:paraId="72B56C79" w14:textId="77777777" w:rsidR="00C924A3" w:rsidRDefault="00000000" w:rsidP="00406EBF">
      <w:pPr>
        <w:pStyle w:val="FirstParagraph"/>
        <w:spacing w:line="276" w:lineRule="auto"/>
        <w:jc w:val="both"/>
      </w:pPr>
      <w:r>
        <w:rPr>
          <w:b/>
          <w:bCs/>
        </w:rPr>
        <w:t>Hypothesis:</w:t>
      </w:r>
      <w:r>
        <w:t xml:space="preserve"> Doctrinal change correlates with generational turnover of leading scholars, not with accumulation of contradictory evidence. When &gt;60% of leading scholars trained post-evidence, doctrine begins revision independent of evidence age.</w:t>
      </w:r>
    </w:p>
    <w:p w14:paraId="350F547F" w14:textId="77777777" w:rsidR="00C924A3" w:rsidRDefault="00000000" w:rsidP="00406EBF">
      <w:pPr>
        <w:pStyle w:val="Textoindependiente"/>
        <w:spacing w:line="276" w:lineRule="auto"/>
        <w:jc w:val="both"/>
      </w:pPr>
      <w:r>
        <w:rPr>
          <w:b/>
          <w:bCs/>
        </w:rPr>
        <w:lastRenderedPageBreak/>
        <w:t>Theoretical Justification:</w:t>
      </w:r>
      <w:r>
        <w:t xml:space="preserve"> If clergies are epistemologically immune, doctrinal change should depend on replacement of guardians rather than weight of evidence. This is the Kuhnian paradigm shift mechanism: “science progresses one funeral at a time” (Planck). Legal doctrine should exhibit identical pattern.</w:t>
      </w:r>
    </w:p>
    <w:p w14:paraId="28294D40" w14:textId="77777777" w:rsidR="00C924A3" w:rsidRDefault="00000000" w:rsidP="00406EBF">
      <w:pPr>
        <w:pStyle w:val="Textoindependiente"/>
        <w:spacing w:line="276" w:lineRule="auto"/>
        <w:jc w:val="both"/>
      </w:pPr>
      <w:r>
        <w:rPr>
          <w:b/>
          <w:bCs/>
        </w:rPr>
        <w:t>Measurement Protocol:</w:t>
      </w:r>
      <w:r>
        <w:t xml:space="preserve"> 1. Select 20 doctrines across multiple legal domains 2. Identify “contradictory evidence” as first robust empirical challenge (defined as ≥3 peer-reviewed studies in high-impact journals with consistent findings) 3. Track over 50-year period: - </w:t>
      </w:r>
      <w:r>
        <w:rPr>
          <w:b/>
          <w:bCs/>
        </w:rPr>
        <w:t>Years since evidence:</w:t>
      </w:r>
      <w:r>
        <w:t xml:space="preserve"> Time from initial publication - </w:t>
      </w:r>
      <w:r>
        <w:rPr>
          <w:b/>
          <w:bCs/>
        </w:rPr>
        <w:t>Generational composition:</w:t>
      </w:r>
      <w:r>
        <w:t xml:space="preserve"> % of leading scholars (defined as authors of 3+ most-cited treatises in domain) who received PhD/JD after evidence publication - </w:t>
      </w:r>
      <w:r>
        <w:rPr>
          <w:b/>
          <w:bCs/>
        </w:rPr>
        <w:t>Doctrinal incorporation:</w:t>
      </w:r>
      <w:r>
        <w:t xml:space="preserve"> Whether doctrine substantively revised (0/1), measured by appearance in ≥3 major treatises 4. Analyze: Survival analysis (Cox proportional hazards) predicting time to doctrinal revision</w:t>
      </w:r>
    </w:p>
    <w:p w14:paraId="5385642B" w14:textId="77777777" w:rsidR="00C924A3" w:rsidRDefault="00000000" w:rsidP="00406EBF">
      <w:pPr>
        <w:pStyle w:val="Textoindependiente"/>
        <w:spacing w:line="276" w:lineRule="auto"/>
        <w:jc w:val="both"/>
      </w:pPr>
      <w:r>
        <w:rPr>
          <w:b/>
          <w:bCs/>
        </w:rPr>
        <w:t>Predicted Relationships:</w:t>
      </w:r>
      <w:r>
        <w:t xml:space="preserve"> - </w:t>
      </w:r>
      <w:r>
        <w:rPr>
          <w:b/>
          <w:bCs/>
        </w:rPr>
        <w:t>Primary predictor:</w:t>
      </w:r>
      <w:r>
        <w:t xml:space="preserve"> Generational composition (HR &gt; 2.0 when post-evidence scholars exceed 60%) - </w:t>
      </w:r>
      <w:r>
        <w:rPr>
          <w:b/>
          <w:bCs/>
        </w:rPr>
        <w:t>Secondary predictor (null):</w:t>
      </w:r>
      <w:r>
        <w:t xml:space="preserve"> Evidence age (HR ≈1.0, no significant effect independent of generational turnover) - </w:t>
      </w:r>
      <w:r>
        <w:rPr>
          <w:b/>
          <w:bCs/>
        </w:rPr>
        <w:t>Interpretation:</w:t>
      </w:r>
      <w:r>
        <w:t xml:space="preserve"> Doctrine changes when old guard retires, not when evidence accumulates</w:t>
      </w:r>
    </w:p>
    <w:p w14:paraId="3F60B03F" w14:textId="77777777" w:rsidR="00C924A3" w:rsidRDefault="00000000" w:rsidP="00406EBF">
      <w:pPr>
        <w:pStyle w:val="Textoindependiente"/>
        <w:spacing w:line="276" w:lineRule="auto"/>
        <w:jc w:val="both"/>
      </w:pPr>
      <w:r>
        <w:rPr>
          <w:b/>
          <w:bCs/>
        </w:rPr>
        <w:t>Falsification Criterion:</w:t>
      </w:r>
      <w:r>
        <w:t xml:space="preserve"> - </w:t>
      </w:r>
      <w:r>
        <w:rPr>
          <w:b/>
          <w:bCs/>
        </w:rPr>
        <w:t>Evidence age predicts better than generational composition:</w:t>
      </w:r>
      <w:r>
        <w:t xml:space="preserve"> If HR for evidence age &gt; HR for generational composition - </w:t>
      </w:r>
      <w:r>
        <w:rPr>
          <w:b/>
          <w:bCs/>
        </w:rPr>
        <w:t>No generational threshold:</w:t>
      </w:r>
      <w:r>
        <w:t xml:space="preserve"> If doctrinal change occurs continuously rather than at ~60% replacement point - </w:t>
      </w:r>
      <w:r>
        <w:rPr>
          <w:b/>
          <w:bCs/>
        </w:rPr>
        <w:t>Interpretation if falsified:</w:t>
      </w:r>
      <w:r>
        <w:t xml:space="preserve"> Evidence persuades within generations; clergy hypothesis rejected</w:t>
      </w:r>
    </w:p>
    <w:p w14:paraId="7B562691" w14:textId="77777777" w:rsidR="00C924A3" w:rsidRDefault="00000000" w:rsidP="00406EBF">
      <w:pPr>
        <w:pStyle w:val="Textoindependiente"/>
        <w:spacing w:line="276" w:lineRule="auto"/>
        <w:jc w:val="both"/>
      </w:pPr>
      <w:r>
        <w:rPr>
          <w:b/>
          <w:bCs/>
        </w:rPr>
        <w:t>Preliminary Evidence (Illustrative, Not Systematic):</w:t>
      </w:r>
      <w:r>
        <w:t xml:space="preserve"> - </w:t>
      </w:r>
      <w:r>
        <w:rPr>
          <w:b/>
          <w:bCs/>
        </w:rPr>
        <w:t>Neuroscience &amp; retribution:</w:t>
      </w:r>
      <w:r>
        <w:t xml:space="preserve"> 40 years evidence, &lt;20% post-evidence scholars in leadership, 0% doctrinal incorporation → Consistent with prediction - </w:t>
      </w:r>
      <w:r>
        <w:rPr>
          <w:b/>
          <w:bCs/>
        </w:rPr>
        <w:t>DNA evidence &amp; wrongful convictions:</w:t>
      </w:r>
      <w:r>
        <w:t xml:space="preserve"> 30 years evidence, ~55% post-evidence scholars, partial incorporation (~40% of treatises discuss) → Approaching threshold - </w:t>
      </w:r>
      <w:r>
        <w:rPr>
          <w:b/>
          <w:bCs/>
        </w:rPr>
        <w:t>Same-sex marriage:</w:t>
      </w:r>
      <w:r>
        <w:t xml:space="preserve"> Evidence less relevant (rights-based argument), but generational turnover in constitutional law (not family law) enabled shift</w:t>
      </w:r>
    </w:p>
    <w:p w14:paraId="33128608" w14:textId="77777777" w:rsidR="00C924A3" w:rsidRDefault="00000000" w:rsidP="00406EBF">
      <w:pPr>
        <w:pStyle w:val="Textoindependiente"/>
        <w:spacing w:line="276" w:lineRule="auto"/>
        <w:jc w:val="both"/>
      </w:pPr>
      <w:r>
        <w:rPr>
          <w:b/>
          <w:bCs/>
        </w:rPr>
        <w:t>This prediction requires longitudinal data collection but is testable.</w:t>
      </w:r>
    </w:p>
    <w:p w14:paraId="68ACB666" w14:textId="77777777" w:rsidR="00C924A3" w:rsidRDefault="00000000" w:rsidP="00406EBF">
      <w:pPr>
        <w:pStyle w:val="Ttulo3"/>
        <w:spacing w:line="276" w:lineRule="auto"/>
        <w:jc w:val="both"/>
      </w:pPr>
      <w:bookmarkStart w:id="63" w:name="integrated-falsification"/>
      <w:bookmarkEnd w:id="62"/>
      <w:r>
        <w:t>8.4 Integrated Falsification</w:t>
      </w:r>
    </w:p>
    <w:p w14:paraId="5934118A" w14:textId="77777777" w:rsidR="00FE156E" w:rsidRDefault="00000000" w:rsidP="00406EBF">
      <w:pPr>
        <w:pStyle w:val="FirstParagraph"/>
        <w:spacing w:line="276" w:lineRule="auto"/>
        <w:jc w:val="both"/>
      </w:pPr>
      <w:r>
        <w:t xml:space="preserve">The clergy hypothesis is </w:t>
      </w:r>
      <w:r>
        <w:rPr>
          <w:b/>
          <w:bCs/>
        </w:rPr>
        <w:t>comprehensively falsified</w:t>
      </w:r>
      <w:r>
        <w:t xml:space="preserve"> if: </w:t>
      </w:r>
    </w:p>
    <w:p w14:paraId="18CA524A" w14:textId="77777777" w:rsidR="00FE156E" w:rsidRDefault="00000000" w:rsidP="00FE156E">
      <w:pPr>
        <w:pStyle w:val="FirstParagraph"/>
        <w:spacing w:line="276" w:lineRule="auto"/>
        <w:ind w:left="720"/>
        <w:jc w:val="both"/>
      </w:pPr>
      <w:r>
        <w:t xml:space="preserve">1. </w:t>
      </w:r>
      <w:r>
        <w:rPr>
          <w:b/>
          <w:bCs/>
        </w:rPr>
        <w:t>All three predictions fail</w:t>
      </w:r>
      <w:r>
        <w:t xml:space="preserve"> (no correlation patterns as predicted) </w:t>
      </w:r>
    </w:p>
    <w:p w14:paraId="7E9DD966" w14:textId="77777777" w:rsidR="00FE156E" w:rsidRDefault="00000000" w:rsidP="00FE156E">
      <w:pPr>
        <w:pStyle w:val="FirstParagraph"/>
        <w:spacing w:line="276" w:lineRule="auto"/>
        <w:ind w:left="720"/>
        <w:jc w:val="both"/>
      </w:pPr>
      <w:r>
        <w:lastRenderedPageBreak/>
        <w:t xml:space="preserve">2. </w:t>
      </w:r>
      <w:r>
        <w:rPr>
          <w:b/>
          <w:bCs/>
        </w:rPr>
        <w:t>Alternative explanations dominate:</w:t>
      </w:r>
      <w:r>
        <w:t xml:space="preserve"> Material interests or political variables predict outcomes better than clerical variables in multivariate analysis </w:t>
      </w:r>
    </w:p>
    <w:p w14:paraId="44DE4A8F" w14:textId="24C397A8" w:rsidR="00C924A3" w:rsidRDefault="00000000" w:rsidP="00FE156E">
      <w:pPr>
        <w:pStyle w:val="FirstParagraph"/>
        <w:spacing w:line="276" w:lineRule="auto"/>
        <w:ind w:left="720"/>
        <w:jc w:val="both"/>
      </w:pPr>
      <w:r>
        <w:t xml:space="preserve">3. </w:t>
      </w:r>
      <w:r>
        <w:rPr>
          <w:b/>
          <w:bCs/>
        </w:rPr>
        <w:t>No cross-domain pattern:</w:t>
      </w:r>
      <w:r>
        <w:t xml:space="preserve"> Clergy mechanisms appear in some domains but not others (would suggest domain-specific rather than general phenomenon)</w:t>
      </w:r>
    </w:p>
    <w:p w14:paraId="71A43B6A" w14:textId="77777777" w:rsidR="00FE156E" w:rsidRDefault="00000000" w:rsidP="00406EBF">
      <w:pPr>
        <w:pStyle w:val="Textoindependiente"/>
        <w:spacing w:line="276" w:lineRule="auto"/>
        <w:jc w:val="both"/>
      </w:pPr>
      <w:r>
        <w:t xml:space="preserve">The framework is </w:t>
      </w:r>
      <w:r>
        <w:rPr>
          <w:b/>
          <w:bCs/>
        </w:rPr>
        <w:t>strongly supported</w:t>
      </w:r>
      <w:r>
        <w:t xml:space="preserve"> if: </w:t>
      </w:r>
    </w:p>
    <w:p w14:paraId="3AC51B1C" w14:textId="77777777" w:rsidR="00FE156E" w:rsidRDefault="00000000" w:rsidP="00406EBF">
      <w:pPr>
        <w:pStyle w:val="Textoindependiente"/>
        <w:spacing w:line="276" w:lineRule="auto"/>
        <w:jc w:val="both"/>
      </w:pPr>
      <w:r>
        <w:t xml:space="preserve">1. </w:t>
      </w:r>
      <w:r>
        <w:rPr>
          <w:b/>
          <w:bCs/>
        </w:rPr>
        <w:t>All three predictions confirmed</w:t>
      </w:r>
      <w:r>
        <w:t xml:space="preserve"> with large effect sizes and low p-values </w:t>
      </w:r>
    </w:p>
    <w:p w14:paraId="44AF8B2B" w14:textId="77777777" w:rsidR="00FE156E" w:rsidRDefault="00000000" w:rsidP="00406EBF">
      <w:pPr>
        <w:pStyle w:val="Textoindependiente"/>
        <w:spacing w:line="276" w:lineRule="auto"/>
        <w:jc w:val="both"/>
      </w:pPr>
      <w:r>
        <w:t xml:space="preserve">2. </w:t>
      </w:r>
      <w:r>
        <w:rPr>
          <w:b/>
          <w:bCs/>
        </w:rPr>
        <w:t>Clergy variables predict outcomes controlling for material/political factors</w:t>
      </w:r>
      <w:r>
        <w:t xml:space="preserve"> in multiple regression </w:t>
      </w:r>
    </w:p>
    <w:p w14:paraId="1EDF322F" w14:textId="36ADCD73" w:rsidR="00C924A3" w:rsidRDefault="00000000" w:rsidP="00406EBF">
      <w:pPr>
        <w:pStyle w:val="Textoindependiente"/>
        <w:spacing w:line="276" w:lineRule="auto"/>
        <w:jc w:val="both"/>
      </w:pPr>
      <w:r>
        <w:t xml:space="preserve">3. </w:t>
      </w:r>
      <w:r>
        <w:rPr>
          <w:b/>
          <w:bCs/>
        </w:rPr>
        <w:t>Cross-domain replication:</w:t>
      </w:r>
      <w:r>
        <w:t xml:space="preserve"> Same patterns appear in criminal law, labor law, property law, constitutional law</w:t>
      </w:r>
    </w:p>
    <w:p w14:paraId="7394ED91" w14:textId="77777777" w:rsidR="00C924A3" w:rsidRDefault="00000000" w:rsidP="00406EBF">
      <w:pPr>
        <w:pStyle w:val="Textoindependiente"/>
        <w:spacing w:line="276" w:lineRule="auto"/>
        <w:jc w:val="both"/>
      </w:pPr>
      <w:r>
        <w:rPr>
          <w:b/>
          <w:bCs/>
        </w:rPr>
        <w:t>This section transforms the epistemological clergy framework from critical theory to empirical research program with clear success/failure criteria.</w:t>
      </w:r>
    </w:p>
    <w:p w14:paraId="336AD23B" w14:textId="1D7ADB06" w:rsidR="00C924A3" w:rsidRDefault="00C924A3" w:rsidP="00406EBF">
      <w:pPr>
        <w:spacing w:line="276" w:lineRule="auto"/>
        <w:jc w:val="both"/>
      </w:pPr>
    </w:p>
    <w:p w14:paraId="240FF355" w14:textId="77777777" w:rsidR="00C924A3" w:rsidRDefault="00000000" w:rsidP="00406EBF">
      <w:pPr>
        <w:pStyle w:val="Ttulo2"/>
        <w:spacing w:line="276" w:lineRule="auto"/>
        <w:jc w:val="both"/>
      </w:pPr>
      <w:bookmarkStart w:id="64" w:name="ix.-conclusion-breaking-the-spell"/>
      <w:bookmarkEnd w:id="59"/>
      <w:bookmarkEnd w:id="63"/>
      <w:r>
        <w:t>IX. CONCLUSION: BREAKING THE SPELL</w:t>
      </w:r>
    </w:p>
    <w:p w14:paraId="12F6CBD0" w14:textId="77777777" w:rsidR="00C924A3" w:rsidRDefault="00000000" w:rsidP="00406EBF">
      <w:pPr>
        <w:pStyle w:val="Ttulo3"/>
        <w:spacing w:line="276" w:lineRule="auto"/>
        <w:jc w:val="both"/>
      </w:pPr>
      <w:bookmarkStart w:id="65" w:name="the-diagnosis-restated"/>
      <w:r>
        <w:t>8.1 The Diagnosis Restated</w:t>
      </w:r>
    </w:p>
    <w:p w14:paraId="20F5AC6D" w14:textId="7A6CA8DD" w:rsidR="00C924A3" w:rsidRDefault="00000000" w:rsidP="00406EBF">
      <w:pPr>
        <w:pStyle w:val="FirstParagraph"/>
        <w:spacing w:line="276" w:lineRule="auto"/>
        <w:jc w:val="both"/>
      </w:pPr>
      <w:r>
        <w:t xml:space="preserve">This article has </w:t>
      </w:r>
      <w:r w:rsidR="00615024">
        <w:t>argued</w:t>
      </w:r>
      <w:r>
        <w:t xml:space="preserve"> that dominant legal doctrines in criminal and labor law function as secular religions with evolved memetic architectures designed to resist falsification. They exhibit </w:t>
      </w:r>
      <w:r w:rsidRPr="00615024">
        <w:rPr>
          <w:b/>
          <w:bCs/>
          <w:i/>
          <w:iCs/>
        </w:rPr>
        <w:t>sacralization</w:t>
      </w:r>
      <w:r>
        <w:t xml:space="preserve"> (empirical claims converted to moral axioms), </w:t>
      </w:r>
      <w:r w:rsidRPr="00615024">
        <w:rPr>
          <w:b/>
          <w:bCs/>
          <w:i/>
          <w:iCs/>
        </w:rPr>
        <w:t>costly signaling</w:t>
      </w:r>
      <w:r>
        <w:t xml:space="preserve"> (defense of problematic propositions as membership tests), and </w:t>
      </w:r>
      <w:r w:rsidRPr="00615024">
        <w:rPr>
          <w:b/>
          <w:bCs/>
          <w:i/>
          <w:iCs/>
        </w:rPr>
        <w:t>clergy construction</w:t>
      </w:r>
      <w:r>
        <w:t xml:space="preserve"> (endogamic peer review exceeding 87%, double that of hard sciences). The result is </w:t>
      </w:r>
      <w:r w:rsidRPr="00615024">
        <w:rPr>
          <w:b/>
          <w:bCs/>
        </w:rPr>
        <w:t>systematic impossibility of rational debate</w:t>
      </w:r>
      <w:r>
        <w:t>: heterodox propositions trigger moral accusations, clarifications are ignored, evidence is deflected, and exchanges terminate in excommunication.</w:t>
      </w:r>
    </w:p>
    <w:p w14:paraId="0BE49E7A" w14:textId="77777777" w:rsidR="00C924A3" w:rsidRDefault="00000000" w:rsidP="00406EBF">
      <w:pPr>
        <w:pStyle w:val="Textoindependiente"/>
        <w:spacing w:line="276" w:lineRule="auto"/>
        <w:jc w:val="both"/>
      </w:pPr>
      <w:r>
        <w:t>The consequences are measurable. Argentina, with CLI 0.89 and high orthodoxy in both criminal and labor law, achieves 0-8% reform success rates and has three times Chile’s incarceration despite more robust constitutional guarantees. Uruguay, eliminating ultraactivity, achieves 63% reform success and 56% wage growth versus Argentina’s 25% wage decline. Across 50 jurisdictions, orthodoxy predicts reform failure (r = -0.73) independent of GDP, legal system, or political conditions. The pattern is robust: orthodoxy, not ideology or wealth, determines outcomes.</w:t>
      </w:r>
    </w:p>
    <w:p w14:paraId="5CA06FBB" w14:textId="77777777" w:rsidR="00C924A3" w:rsidRDefault="00000000" w:rsidP="00406EBF">
      <w:pPr>
        <w:pStyle w:val="Ttulo3"/>
        <w:spacing w:line="276" w:lineRule="auto"/>
        <w:jc w:val="both"/>
      </w:pPr>
      <w:bookmarkStart w:id="66" w:name="the-dennettian-prediction-confirmed"/>
      <w:bookmarkEnd w:id="65"/>
      <w:r>
        <w:lastRenderedPageBreak/>
        <w:t>8.2 The Dennettian Prediction Confirmed</w:t>
      </w:r>
    </w:p>
    <w:p w14:paraId="11EB48BB" w14:textId="77777777" w:rsidR="00C924A3" w:rsidRDefault="00000000" w:rsidP="00406EBF">
      <w:pPr>
        <w:pStyle w:val="FirstParagraph"/>
        <w:spacing w:line="276" w:lineRule="auto"/>
        <w:jc w:val="both"/>
      </w:pPr>
      <w:r>
        <w:t xml:space="preserve">Dennett predicted that belief systems with this architecture would exhibit </w:t>
      </w:r>
      <w:r w:rsidRPr="007156C3">
        <w:rPr>
          <w:b/>
          <w:bCs/>
          <w:i/>
          <w:iCs/>
        </w:rPr>
        <w:t>impermeability to evidence</w:t>
      </w:r>
      <w:r>
        <w:t xml:space="preserve">, </w:t>
      </w:r>
      <w:r w:rsidRPr="007156C3">
        <w:rPr>
          <w:b/>
          <w:bCs/>
          <w:i/>
          <w:iCs/>
        </w:rPr>
        <w:t>generational persistence despite anomalies</w:t>
      </w:r>
      <w:r>
        <w:t xml:space="preserve">, </w:t>
      </w:r>
      <w:r w:rsidRPr="007156C3">
        <w:rPr>
          <w:b/>
          <w:bCs/>
          <w:i/>
          <w:iCs/>
        </w:rPr>
        <w:t>exclusion through moral accusations</w:t>
      </w:r>
      <w:r>
        <w:t xml:space="preserve">, and </w:t>
      </w:r>
      <w:r w:rsidRPr="007156C3">
        <w:rPr>
          <w:b/>
          <w:bCs/>
        </w:rPr>
        <w:t>impossibility of debate</w:t>
      </w:r>
      <w:r>
        <w:t>. All four predictions are confirmed. The phenomenological experience of debate impossibility is not a bug; it is evidence of the immune system functioning as designed.</w:t>
      </w:r>
    </w:p>
    <w:p w14:paraId="0A51E1B6" w14:textId="77777777" w:rsidR="00C924A3" w:rsidRDefault="00000000" w:rsidP="00406EBF">
      <w:pPr>
        <w:pStyle w:val="Ttulo3"/>
        <w:spacing w:line="276" w:lineRule="auto"/>
        <w:jc w:val="both"/>
      </w:pPr>
      <w:bookmarkStart w:id="67" w:name="the-path-forward"/>
      <w:bookmarkEnd w:id="66"/>
      <w:r>
        <w:t>8.3 The Path Forward</w:t>
      </w:r>
    </w:p>
    <w:p w14:paraId="6141000D" w14:textId="08604277" w:rsidR="00BE47F8" w:rsidRDefault="000D241E" w:rsidP="00406EBF">
      <w:pPr>
        <w:pStyle w:val="Textoindependiente"/>
        <w:spacing w:line="276" w:lineRule="auto"/>
        <w:jc w:val="both"/>
      </w:pPr>
      <w:r>
        <w:rPr>
          <w:rStyle w:val="Textoennegrita"/>
        </w:rPr>
        <w:t>Breaking the spell requires recognizing that we are under one.</w:t>
      </w:r>
      <w:r>
        <w:t xml:space="preserve"> As legal scholars, we must acknowledge that our doctrines have evolved structures that protect replication rather than truth. The test is simple: when confronted with evidence contradicting our position, do we update our beliefs or deploy defensive maneuvers (disqualify comparisons, propose ad hoc alternatives, accuse opponents of bad faith)? If the latter, we are not engaged in inquiry; we are defending orthodoxy</w:t>
      </w:r>
      <w:r w:rsidRPr="00BE47F8">
        <w:rPr>
          <w:b/>
          <w:bCs/>
        </w:rPr>
        <w:t xml:space="preserve">. </w:t>
      </w:r>
      <w:r w:rsidRPr="00BE47F8">
        <w:rPr>
          <w:rStyle w:val="Textoennegrita"/>
          <w:b w:val="0"/>
          <w:bCs w:val="0"/>
        </w:rPr>
        <w:t xml:space="preserve">This framework was developed precisely because </w:t>
      </w:r>
      <w:r w:rsidR="00BE47F8" w:rsidRPr="00BE47F8">
        <w:rPr>
          <w:rStyle w:val="Textoennegrita"/>
          <w:b w:val="0"/>
          <w:bCs w:val="0"/>
        </w:rPr>
        <w:t>I</w:t>
      </w:r>
      <w:r w:rsidR="00BE47F8">
        <w:rPr>
          <w:rStyle w:val="Textoennegrita"/>
        </w:rPr>
        <w:t xml:space="preserve"> </w:t>
      </w:r>
      <w:r w:rsidR="00BE47F8">
        <w:t xml:space="preserve">recognized these patterns in my own early work as editor of </w:t>
      </w:r>
      <w:r w:rsidR="00BE47F8" w:rsidRPr="00BE47F8">
        <w:rPr>
          <w:rStyle w:val="nfasis"/>
          <w:b/>
          <w:bCs/>
        </w:rPr>
        <w:t>Lecciones y Ensayos</w:t>
      </w:r>
      <w:r w:rsidR="00BE47F8">
        <w:rPr>
          <w:rStyle w:val="nfasis"/>
          <w:b/>
          <w:bCs/>
        </w:rPr>
        <w:t xml:space="preserve"> (L&amp;E)</w:t>
      </w:r>
      <w:r w:rsidR="00BE47F8" w:rsidRPr="00BE47F8">
        <w:rPr>
          <w:b/>
          <w:bCs/>
        </w:rPr>
        <w:t>,</w:t>
      </w:r>
      <w:r w:rsidR="00BE47F8">
        <w:t xml:space="preserve"> the </w:t>
      </w:r>
      <w:r w:rsidR="00BE47F8">
        <w:t>L</w:t>
      </w:r>
      <w:r w:rsidR="00BE47F8">
        <w:t xml:space="preserve">aw </w:t>
      </w:r>
      <w:r w:rsidR="00BE47F8">
        <w:t>R</w:t>
      </w:r>
      <w:r w:rsidR="00BE47F8">
        <w:t>eview at Universidad de Buenos Aires</w:t>
      </w:r>
      <w:r w:rsidR="00BE47F8">
        <w:t xml:space="preserve"> Law School</w:t>
      </w:r>
      <w:r w:rsidR="00BE47F8">
        <w:t xml:space="preserve">, in the </w:t>
      </w:r>
      <w:r w:rsidR="00BE47F8">
        <w:t>late</w:t>
      </w:r>
      <w:r w:rsidR="00BE47F8">
        <w:t xml:space="preserve"> 19</w:t>
      </w:r>
      <w:r w:rsidR="00BE47F8">
        <w:t>8</w:t>
      </w:r>
      <w:r w:rsidR="00BE47F8">
        <w:t>0s—defending doctrinal coherence not because evidence supported it but because my role demanded protecting the conceptual apparatus I had been trained to master.</w:t>
      </w:r>
    </w:p>
    <w:p w14:paraId="56F9B4E0" w14:textId="6564A5FE" w:rsidR="00C924A3" w:rsidRDefault="00000000" w:rsidP="00406EBF">
      <w:pPr>
        <w:pStyle w:val="Textoindependiente"/>
        <w:spacing w:line="276" w:lineRule="auto"/>
        <w:jc w:val="both"/>
      </w:pPr>
      <w:r>
        <w:t xml:space="preserve">The alternative exists. The </w:t>
      </w:r>
      <w:r w:rsidRPr="00BE47F8">
        <w:rPr>
          <w:b/>
          <w:bCs/>
        </w:rPr>
        <w:t>Pragmatic Harm-Reduction Framework</w:t>
      </w:r>
      <w:r>
        <w:t xml:space="preserve"> offers testable hypotheses, measures outcomes comprehensively, updates based on evidence, and evaluates institutions by their effects rather than their symbolic purity. Jurisdictions that adopt this approach (Chile, Uruguay, Texas, Nordic countries) achieve dramatically better outcomes than those that maintain orthodoxy (Argentina, Illinois, Venezuela).</w:t>
      </w:r>
    </w:p>
    <w:p w14:paraId="449CEB77" w14:textId="77777777" w:rsidR="00C924A3" w:rsidRDefault="00000000" w:rsidP="00406EBF">
      <w:pPr>
        <w:pStyle w:val="Textoindependiente"/>
        <w:spacing w:line="276" w:lineRule="auto"/>
        <w:jc w:val="both"/>
      </w:pPr>
      <w:r>
        <w:t>I close with Dennett’s observation about resistance to “Breaking the Spell”: “</w:t>
      </w:r>
      <w:r w:rsidRPr="009117E9">
        <w:rPr>
          <w:b/>
          <w:bCs/>
          <w:i/>
          <w:iCs/>
        </w:rPr>
        <w:t>I expect my book to offend some people. If it doesn’t, I’m not doing my job.</w:t>
      </w:r>
      <w:r>
        <w:t>” This article will be attacked from three flanks with symmetric accusations (you deny dignity, you violate rights, you serve oppression). That symmetry confirms my thesis: I do not violate universal principles; I violate sacred cows of competing memeplexes that share immune architecture.</w:t>
      </w:r>
    </w:p>
    <w:p w14:paraId="530208E6" w14:textId="77777777" w:rsidR="00C924A3" w:rsidRDefault="00000000" w:rsidP="00406EBF">
      <w:pPr>
        <w:pStyle w:val="Textoindependiente"/>
        <w:spacing w:line="276" w:lineRule="auto"/>
        <w:jc w:val="both"/>
      </w:pPr>
      <w:r>
        <w:t>Breaking the spell is possible. It begins with this recognition.</w:t>
      </w:r>
    </w:p>
    <w:p w14:paraId="101C4323" w14:textId="72DDB166" w:rsidR="00C924A3" w:rsidRDefault="009117E9" w:rsidP="00406EBF">
      <w:pPr>
        <w:spacing w:line="276" w:lineRule="auto"/>
        <w:jc w:val="both"/>
      </w:pPr>
      <w:r>
        <w:t>______</w:t>
      </w:r>
    </w:p>
    <w:p w14:paraId="2748588D" w14:textId="77777777" w:rsidR="00C924A3" w:rsidRDefault="00000000" w:rsidP="00406EBF">
      <w:pPr>
        <w:pStyle w:val="Ttulo2"/>
        <w:spacing w:line="276" w:lineRule="auto"/>
        <w:jc w:val="both"/>
      </w:pPr>
      <w:bookmarkStart w:id="68" w:name="references"/>
      <w:bookmarkEnd w:id="64"/>
      <w:bookmarkEnd w:id="67"/>
      <w:r>
        <w:lastRenderedPageBreak/>
        <w:t>REFERENCES</w:t>
      </w:r>
    </w:p>
    <w:p w14:paraId="4E390C44" w14:textId="77777777" w:rsidR="004E23D0" w:rsidRDefault="00000000" w:rsidP="00406EBF">
      <w:pPr>
        <w:pStyle w:val="FirstParagraph"/>
        <w:spacing w:line="276" w:lineRule="auto"/>
        <w:jc w:val="both"/>
      </w:pPr>
      <w:r>
        <w:rPr>
          <w:b/>
          <w:bCs/>
        </w:rPr>
        <w:t>Primary Sources:</w:t>
      </w:r>
      <w:r>
        <w:t xml:space="preserve"> -</w:t>
      </w:r>
    </w:p>
    <w:p w14:paraId="5B606BA2" w14:textId="77777777" w:rsidR="004E23D0" w:rsidRDefault="00000000" w:rsidP="00406EBF">
      <w:pPr>
        <w:pStyle w:val="FirstParagraph"/>
        <w:spacing w:line="276" w:lineRule="auto"/>
        <w:jc w:val="both"/>
      </w:pPr>
      <w:r>
        <w:t xml:space="preserve"> Dennett, D. C. (2006). </w:t>
      </w:r>
      <w:r>
        <w:rPr>
          <w:i/>
          <w:iCs/>
        </w:rPr>
        <w:t>Breaking the Spell: Religion as a Natural Phenomenon</w:t>
      </w:r>
      <w:r>
        <w:t xml:space="preserve">. Viking. </w:t>
      </w:r>
    </w:p>
    <w:p w14:paraId="1D79F3F7" w14:textId="7D986B7C" w:rsidR="00C924A3" w:rsidRDefault="00000000" w:rsidP="00406EBF">
      <w:pPr>
        <w:pStyle w:val="FirstParagraph"/>
        <w:spacing w:line="276" w:lineRule="auto"/>
        <w:jc w:val="both"/>
      </w:pPr>
      <w:r>
        <w:t xml:space="preserve">- Dawkins, R. (1982). </w:t>
      </w:r>
      <w:r>
        <w:rPr>
          <w:i/>
          <w:iCs/>
        </w:rPr>
        <w:t>The Extended Phenotype</w:t>
      </w:r>
      <w:r>
        <w:t>. Oxford University Press.</w:t>
      </w:r>
    </w:p>
    <w:p w14:paraId="3C8181B3" w14:textId="77777777" w:rsidR="004E23D0" w:rsidRDefault="00000000" w:rsidP="00406EBF">
      <w:pPr>
        <w:pStyle w:val="Textoindependiente"/>
        <w:spacing w:line="276" w:lineRule="auto"/>
        <w:jc w:val="both"/>
      </w:pPr>
      <w:r>
        <w:rPr>
          <w:b/>
          <w:bCs/>
        </w:rPr>
        <w:t>Author’s Previous Work:</w:t>
      </w:r>
      <w:r>
        <w:t xml:space="preserve"> </w:t>
      </w:r>
    </w:p>
    <w:p w14:paraId="7F538E8C" w14:textId="77777777" w:rsidR="005A65E6" w:rsidRDefault="005A65E6" w:rsidP="00406EBF">
      <w:pPr>
        <w:pStyle w:val="Textoindependiente"/>
        <w:spacing w:line="276" w:lineRule="auto"/>
        <w:jc w:val="both"/>
      </w:pPr>
    </w:p>
    <w:p w14:paraId="0504EFE1" w14:textId="08A00E5C" w:rsidR="004E23D0" w:rsidRDefault="00000000" w:rsidP="00406EBF">
      <w:pPr>
        <w:pStyle w:val="Textoindependiente"/>
        <w:spacing w:line="276" w:lineRule="auto"/>
        <w:jc w:val="both"/>
      </w:pPr>
      <w:r>
        <w:rPr>
          <w:b/>
          <w:bCs/>
        </w:rPr>
        <w:t>Supporting Literature:</w:t>
      </w:r>
      <w:r>
        <w:t xml:space="preserve"> </w:t>
      </w:r>
    </w:p>
    <w:p w14:paraId="45D30DE5" w14:textId="77777777" w:rsidR="004E23D0" w:rsidRDefault="00000000" w:rsidP="00406EBF">
      <w:pPr>
        <w:pStyle w:val="Textoindependiente"/>
        <w:spacing w:line="276" w:lineRule="auto"/>
        <w:jc w:val="both"/>
      </w:pPr>
      <w:r>
        <w:t xml:space="preserve">- Alexander, M. (2010). </w:t>
      </w:r>
      <w:r>
        <w:rPr>
          <w:i/>
          <w:iCs/>
        </w:rPr>
        <w:t>The New Jim Crow</w:t>
      </w:r>
      <w:r>
        <w:t xml:space="preserve">. New Press. - Stuntz, W. (2011). </w:t>
      </w:r>
      <w:r>
        <w:rPr>
          <w:i/>
          <w:iCs/>
        </w:rPr>
        <w:t>The Collapse of American Criminal Justice</w:t>
      </w:r>
      <w:r>
        <w:t xml:space="preserve">. Harvard UP. </w:t>
      </w:r>
    </w:p>
    <w:p w14:paraId="4F4036D7" w14:textId="77777777" w:rsidR="004E23D0" w:rsidRDefault="00000000" w:rsidP="00406EBF">
      <w:pPr>
        <w:pStyle w:val="Textoindependiente"/>
        <w:spacing w:line="276" w:lineRule="auto"/>
        <w:jc w:val="both"/>
      </w:pPr>
      <w:r>
        <w:t xml:space="preserve">- Western, B. (2018). </w:t>
      </w:r>
      <w:r>
        <w:rPr>
          <w:i/>
          <w:iCs/>
        </w:rPr>
        <w:t>Homeward: Life in the Year After Prison</w:t>
      </w:r>
      <w:r>
        <w:t xml:space="preserve">. Russell Sage. - Libet, B. (1983). “Time of conscious intention to act.” </w:t>
      </w:r>
      <w:r>
        <w:rPr>
          <w:i/>
          <w:iCs/>
        </w:rPr>
        <w:t>Brain</w:t>
      </w:r>
      <w:r>
        <w:t xml:space="preserve"> 106: 623-642. </w:t>
      </w:r>
    </w:p>
    <w:p w14:paraId="1716A050" w14:textId="77777777" w:rsidR="004E23D0" w:rsidRDefault="00000000" w:rsidP="00406EBF">
      <w:pPr>
        <w:pStyle w:val="Textoindependiente"/>
        <w:spacing w:line="276" w:lineRule="auto"/>
        <w:jc w:val="both"/>
      </w:pPr>
      <w:r>
        <w:t xml:space="preserve">- Soon, C. S., et al. (2008). “Unconscious determinants of free decisions.” </w:t>
      </w:r>
      <w:r>
        <w:rPr>
          <w:i/>
          <w:iCs/>
        </w:rPr>
        <w:t>Nature Neuroscience</w:t>
      </w:r>
      <w:r>
        <w:t xml:space="preserve"> 11(5): 543-545. </w:t>
      </w:r>
    </w:p>
    <w:p w14:paraId="52C3C84E" w14:textId="77777777" w:rsidR="004E23D0" w:rsidRDefault="00000000" w:rsidP="00406EBF">
      <w:pPr>
        <w:pStyle w:val="Textoindependiente"/>
        <w:spacing w:line="276" w:lineRule="auto"/>
        <w:jc w:val="both"/>
      </w:pPr>
      <w:r>
        <w:t xml:space="preserve">- Fischer, J. M., &amp; Ravizza, M. (1998). </w:t>
      </w:r>
      <w:r>
        <w:rPr>
          <w:i/>
          <w:iCs/>
        </w:rPr>
        <w:t>Responsibility and Control</w:t>
      </w:r>
      <w:r>
        <w:t xml:space="preserve">. Cambridge UP. </w:t>
      </w:r>
    </w:p>
    <w:p w14:paraId="54754A0E" w14:textId="77777777" w:rsidR="004E23D0" w:rsidRDefault="00000000" w:rsidP="00406EBF">
      <w:pPr>
        <w:pStyle w:val="Textoindependiente"/>
        <w:spacing w:line="276" w:lineRule="auto"/>
        <w:jc w:val="both"/>
      </w:pPr>
      <w:r>
        <w:t xml:space="preserve">- Frankfurt, H. (1971). “Freedom of the will.” </w:t>
      </w:r>
      <w:r>
        <w:rPr>
          <w:i/>
          <w:iCs/>
        </w:rPr>
        <w:t>Journal of Philosophy</w:t>
      </w:r>
      <w:r>
        <w:t xml:space="preserve"> 68(1): 5-20. </w:t>
      </w:r>
    </w:p>
    <w:p w14:paraId="47098556" w14:textId="77777777" w:rsidR="004E23D0" w:rsidRDefault="00000000" w:rsidP="00406EBF">
      <w:pPr>
        <w:pStyle w:val="Textoindependiente"/>
        <w:spacing w:line="276" w:lineRule="auto"/>
        <w:jc w:val="both"/>
      </w:pPr>
      <w:r>
        <w:t xml:space="preserve">- Gorz, A. (1967). </w:t>
      </w:r>
      <w:r>
        <w:rPr>
          <w:i/>
          <w:iCs/>
        </w:rPr>
        <w:t>Strategy for Labor</w:t>
      </w:r>
      <w:r>
        <w:t xml:space="preserve">. Beacon Press. - Irons, W. (2001). “Religion as hard-to-fake sign.” In Nesse (Ed.), </w:t>
      </w:r>
      <w:r>
        <w:rPr>
          <w:i/>
          <w:iCs/>
        </w:rPr>
        <w:t>Evolution and Commitment</w:t>
      </w:r>
      <w:r>
        <w:t xml:space="preserve">. </w:t>
      </w:r>
    </w:p>
    <w:p w14:paraId="57442B20" w14:textId="32A6E0C4" w:rsidR="00C924A3" w:rsidRDefault="00000000" w:rsidP="00406EBF">
      <w:pPr>
        <w:pStyle w:val="Textoindependiente"/>
        <w:spacing w:line="276" w:lineRule="auto"/>
        <w:jc w:val="both"/>
      </w:pPr>
      <w:r>
        <w:t xml:space="preserve">- Mayson, S. (2021). “Incarceration’s Racial Disparities,” </w:t>
      </w:r>
      <w:r>
        <w:rPr>
          <w:i/>
          <w:iCs/>
        </w:rPr>
        <w:t>Cal. L. Rev.</w:t>
      </w:r>
      <w:r>
        <w:t xml:space="preserve"> 109(5): 1421-1478. - Raz, J. (1979). </w:t>
      </w:r>
      <w:r>
        <w:rPr>
          <w:i/>
          <w:iCs/>
        </w:rPr>
        <w:t>The Authority of Law</w:t>
      </w:r>
      <w:r>
        <w:t>. Oxford UP.</w:t>
      </w:r>
    </w:p>
    <w:bookmarkEnd w:id="0"/>
    <w:bookmarkEnd w:id="68"/>
    <w:p w14:paraId="6E84A69B" w14:textId="5A5B0BD6" w:rsidR="00C924A3" w:rsidRDefault="00C924A3" w:rsidP="00406EBF">
      <w:pPr>
        <w:pStyle w:val="FirstParagraph"/>
        <w:spacing w:line="276" w:lineRule="auto"/>
        <w:jc w:val="both"/>
      </w:pPr>
    </w:p>
    <w:sectPr w:rsidR="00C924A3">
      <w:footnotePr>
        <w:numRestart w:val="eachSect"/>
      </w:footnotePr>
      <w:pgSz w:w="12240" w:h="15840"/>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F71B96" w14:textId="77777777" w:rsidR="00CD0ECB" w:rsidRDefault="00CD0ECB">
      <w:pPr>
        <w:spacing w:after="0"/>
      </w:pPr>
      <w:r>
        <w:separator/>
      </w:r>
    </w:p>
  </w:endnote>
  <w:endnote w:type="continuationSeparator" w:id="0">
    <w:p w14:paraId="5D4C2018" w14:textId="77777777" w:rsidR="00CD0ECB" w:rsidRDefault="00CD0EC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542161" w14:textId="77777777" w:rsidR="00CD0ECB" w:rsidRDefault="00CD0ECB">
      <w:pPr>
        <w:spacing w:after="0"/>
      </w:pPr>
      <w:r>
        <w:separator/>
      </w:r>
    </w:p>
  </w:footnote>
  <w:footnote w:type="continuationSeparator" w:id="0">
    <w:p w14:paraId="6A19F132" w14:textId="77777777" w:rsidR="00CD0ECB" w:rsidRDefault="00CD0ECB">
      <w:pPr>
        <w:spacing w:after="0"/>
      </w:pPr>
      <w:r>
        <w:continuationSeparator/>
      </w:r>
    </w:p>
  </w:footnote>
  <w:footnote w:id="1">
    <w:p w14:paraId="2A8F16B0" w14:textId="77777777" w:rsidR="00C924A3" w:rsidRPr="00497102" w:rsidRDefault="00000000" w:rsidP="0089664B">
      <w:pPr>
        <w:pStyle w:val="Textonotapie"/>
        <w:jc w:val="both"/>
        <w:rPr>
          <w:sz w:val="21"/>
          <w:szCs w:val="21"/>
        </w:rPr>
      </w:pPr>
      <w:r w:rsidRPr="00497102">
        <w:rPr>
          <w:rStyle w:val="Refdenotaalpie"/>
          <w:sz w:val="21"/>
          <w:szCs w:val="21"/>
        </w:rPr>
        <w:footnoteRef/>
      </w:r>
      <w:r w:rsidRPr="00497102">
        <w:rPr>
          <w:sz w:val="21"/>
          <w:szCs w:val="21"/>
        </w:rPr>
        <w:t xml:space="preserve"> Fryer, D. (2025). “Reforming Abolition.” </w:t>
      </w:r>
      <w:r w:rsidRPr="00497102">
        <w:rPr>
          <w:i/>
          <w:iCs/>
          <w:sz w:val="21"/>
          <w:szCs w:val="21"/>
        </w:rPr>
        <w:t>Michigan Law Review</w:t>
      </w:r>
      <w:r w:rsidRPr="00497102">
        <w:rPr>
          <w:sz w:val="21"/>
          <w:szCs w:val="21"/>
        </w:rPr>
        <w:t xml:space="preserve"> 124(2): 353-408. https://michiganlawreview.org/journal/reforming-abolition/</w:t>
      </w:r>
    </w:p>
  </w:footnote>
  <w:footnote w:id="2">
    <w:p w14:paraId="4E6619BB" w14:textId="77777777" w:rsidR="00C924A3" w:rsidRPr="00497102" w:rsidRDefault="00000000" w:rsidP="0089664B">
      <w:pPr>
        <w:pStyle w:val="Textonotapie"/>
        <w:jc w:val="both"/>
        <w:rPr>
          <w:sz w:val="21"/>
          <w:szCs w:val="21"/>
        </w:rPr>
      </w:pPr>
      <w:r w:rsidRPr="00497102">
        <w:rPr>
          <w:rStyle w:val="Refdenotaalpie"/>
          <w:sz w:val="21"/>
          <w:szCs w:val="21"/>
        </w:rPr>
        <w:footnoteRef/>
      </w:r>
      <w:r w:rsidRPr="00497102">
        <w:rPr>
          <w:sz w:val="21"/>
          <w:szCs w:val="21"/>
        </w:rPr>
        <w:t xml:space="preserve"> Dennett, D. C. (2006). </w:t>
      </w:r>
      <w:r w:rsidRPr="00497102">
        <w:rPr>
          <w:i/>
          <w:iCs/>
          <w:sz w:val="21"/>
          <w:szCs w:val="21"/>
        </w:rPr>
        <w:t>Breaking the Spell: Religion as a Natural Phenomenon</w:t>
      </w:r>
      <w:r w:rsidRPr="00497102">
        <w:rPr>
          <w:sz w:val="21"/>
          <w:szCs w:val="21"/>
        </w:rPr>
        <w:t>. Viking.</w:t>
      </w:r>
    </w:p>
  </w:footnote>
  <w:footnote w:id="3">
    <w:p w14:paraId="3DF5F2D3" w14:textId="77777777" w:rsidR="00C924A3" w:rsidRPr="00497102" w:rsidRDefault="00000000" w:rsidP="0089664B">
      <w:pPr>
        <w:pStyle w:val="Textonotapie"/>
        <w:jc w:val="both"/>
        <w:rPr>
          <w:sz w:val="21"/>
          <w:szCs w:val="21"/>
        </w:rPr>
      </w:pPr>
      <w:r w:rsidRPr="00497102">
        <w:rPr>
          <w:rStyle w:val="Refdenotaalpie"/>
          <w:sz w:val="21"/>
          <w:szCs w:val="21"/>
        </w:rPr>
        <w:footnoteRef/>
      </w:r>
      <w:r w:rsidRPr="00497102">
        <w:rPr>
          <w:sz w:val="21"/>
          <w:szCs w:val="21"/>
        </w:rPr>
        <w:t xml:space="preserve"> Irons, W. (2001). “Religion as a Hard-to-Fake Sign of Commitment.” In R. Nesse (Ed.), </w:t>
      </w:r>
      <w:r w:rsidRPr="00497102">
        <w:rPr>
          <w:i/>
          <w:iCs/>
          <w:sz w:val="21"/>
          <w:szCs w:val="21"/>
        </w:rPr>
        <w:t>Evolution and the Capacity for Commitment</w:t>
      </w:r>
      <w:r w:rsidRPr="00497102">
        <w:rPr>
          <w:sz w:val="21"/>
          <w:szCs w:val="21"/>
        </w:rPr>
        <w:t>, pp. 292-309. Russell Sage Foundation.</w:t>
      </w:r>
    </w:p>
  </w:footnote>
  <w:footnote w:id="4">
    <w:p w14:paraId="1F7164F7" w14:textId="77777777" w:rsidR="00C924A3" w:rsidRPr="00497102" w:rsidRDefault="00000000" w:rsidP="0089664B">
      <w:pPr>
        <w:pStyle w:val="Textonotapie"/>
        <w:jc w:val="both"/>
        <w:rPr>
          <w:sz w:val="21"/>
          <w:szCs w:val="21"/>
        </w:rPr>
      </w:pPr>
      <w:r w:rsidRPr="00497102">
        <w:rPr>
          <w:rStyle w:val="Refdenotaalpie"/>
          <w:sz w:val="21"/>
          <w:szCs w:val="21"/>
        </w:rPr>
        <w:footnoteRef/>
      </w:r>
      <w:r w:rsidRPr="00497102">
        <w:rPr>
          <w:sz w:val="21"/>
          <w:szCs w:val="21"/>
        </w:rPr>
        <w:t xml:space="preserve"> See Paulson, S. L. (1992). “The Neo-Kantian Dimension of Kelsen’s Pure Theory of Law.” </w:t>
      </w:r>
      <w:r w:rsidRPr="00497102">
        <w:rPr>
          <w:i/>
          <w:iCs/>
          <w:sz w:val="21"/>
          <w:szCs w:val="21"/>
        </w:rPr>
        <w:t>Oxford Journal of Legal Studies</w:t>
      </w:r>
      <w:r w:rsidRPr="00497102">
        <w:rPr>
          <w:sz w:val="21"/>
          <w:szCs w:val="21"/>
        </w:rPr>
        <w:t xml:space="preserve"> 12(3): 311-332; Hart, H.L.A. (1961). </w:t>
      </w:r>
      <w:r w:rsidRPr="00497102">
        <w:rPr>
          <w:i/>
          <w:iCs/>
          <w:sz w:val="21"/>
          <w:szCs w:val="21"/>
        </w:rPr>
        <w:t>The Concept of Law</w:t>
      </w:r>
      <w:r w:rsidRPr="00497102">
        <w:rPr>
          <w:sz w:val="21"/>
          <w:szCs w:val="21"/>
        </w:rPr>
        <w:t>, pp. 245-247. Oxford University Press.</w:t>
      </w:r>
    </w:p>
  </w:footnote>
  <w:footnote w:id="5">
    <w:p w14:paraId="5C3B292D" w14:textId="77777777" w:rsidR="00C924A3" w:rsidRPr="00497102" w:rsidRDefault="00000000" w:rsidP="0089664B">
      <w:pPr>
        <w:pStyle w:val="Textonotapie"/>
        <w:jc w:val="both"/>
        <w:rPr>
          <w:sz w:val="21"/>
          <w:szCs w:val="21"/>
        </w:rPr>
      </w:pPr>
      <w:r w:rsidRPr="00497102">
        <w:rPr>
          <w:rStyle w:val="Refdenotaalpie"/>
          <w:sz w:val="21"/>
          <w:szCs w:val="21"/>
        </w:rPr>
        <w:footnoteRef/>
      </w:r>
      <w:r w:rsidRPr="00497102">
        <w:rPr>
          <w:sz w:val="21"/>
          <w:szCs w:val="21"/>
        </w:rPr>
        <w:t xml:space="preserve"> Lerer, I.A. (2025). “Law as Extended Phenotype: Reframing Legal Theory Through Evolutionary Epistemology.” SSRN Working Paper No. 5737383.</w:t>
      </w:r>
    </w:p>
  </w:footnote>
  <w:footnote w:id="6">
    <w:p w14:paraId="64A78E32" w14:textId="77777777" w:rsidR="00C924A3" w:rsidRPr="00497102" w:rsidRDefault="00000000" w:rsidP="0089664B">
      <w:pPr>
        <w:pStyle w:val="Textonotapie"/>
        <w:jc w:val="both"/>
        <w:rPr>
          <w:sz w:val="21"/>
          <w:szCs w:val="21"/>
        </w:rPr>
      </w:pPr>
      <w:r w:rsidRPr="00497102">
        <w:rPr>
          <w:rStyle w:val="Refdenotaalpie"/>
          <w:sz w:val="21"/>
          <w:szCs w:val="21"/>
        </w:rPr>
        <w:footnoteRef/>
      </w:r>
      <w:r w:rsidRPr="00497102">
        <w:rPr>
          <w:sz w:val="21"/>
          <w:szCs w:val="21"/>
        </w:rPr>
        <w:t xml:space="preserve"> Libet, B. (1983). “Time of Conscious Intention to Act in Relation to Onset of Cerebral Activity (Readiness-Potential).” </w:t>
      </w:r>
      <w:r w:rsidRPr="00497102">
        <w:rPr>
          <w:i/>
          <w:iCs/>
          <w:sz w:val="21"/>
          <w:szCs w:val="21"/>
        </w:rPr>
        <w:t>Brain</w:t>
      </w:r>
      <w:r w:rsidRPr="00497102">
        <w:rPr>
          <w:sz w:val="21"/>
          <w:szCs w:val="21"/>
        </w:rPr>
        <w:t xml:space="preserve"> 106: 623-642; Soon, C. S., Brass, M., Heinze, H. J., &amp; Haynes, J. D. (2008). “Unconscious Determinants of Free Decisions in the Human Brain.” </w:t>
      </w:r>
      <w:r w:rsidRPr="00497102">
        <w:rPr>
          <w:i/>
          <w:iCs/>
          <w:sz w:val="21"/>
          <w:szCs w:val="21"/>
        </w:rPr>
        <w:t>Nature Neuroscience</w:t>
      </w:r>
      <w:r w:rsidRPr="00497102">
        <w:rPr>
          <w:sz w:val="21"/>
          <w:szCs w:val="21"/>
        </w:rPr>
        <w:t xml:space="preserve"> 11(5): 543-545.</w:t>
      </w:r>
    </w:p>
  </w:footnote>
  <w:footnote w:id="7">
    <w:p w14:paraId="0B06EEC2" w14:textId="77777777" w:rsidR="00C924A3" w:rsidRPr="00497102" w:rsidRDefault="00000000" w:rsidP="0089664B">
      <w:pPr>
        <w:pStyle w:val="Textonotapie"/>
        <w:jc w:val="both"/>
        <w:rPr>
          <w:sz w:val="21"/>
          <w:szCs w:val="21"/>
        </w:rPr>
      </w:pPr>
      <w:r w:rsidRPr="00497102">
        <w:rPr>
          <w:rStyle w:val="Refdenotaalpie"/>
          <w:sz w:val="21"/>
          <w:szCs w:val="21"/>
        </w:rPr>
        <w:footnoteRef/>
      </w:r>
      <w:r w:rsidRPr="00497102">
        <w:rPr>
          <w:sz w:val="21"/>
          <w:szCs w:val="21"/>
        </w:rPr>
        <w:t xml:space="preserve"> Fazel, S., &amp; Wolf, A. (2015). “A Systematic Review of Criminal Recidivism Rates Worldwide.” </w:t>
      </w:r>
      <w:r w:rsidRPr="00497102">
        <w:rPr>
          <w:i/>
          <w:iCs/>
          <w:sz w:val="21"/>
          <w:szCs w:val="21"/>
        </w:rPr>
        <w:t>PLOS ONE</w:t>
      </w:r>
      <w:r w:rsidRPr="00497102">
        <w:rPr>
          <w:sz w:val="21"/>
          <w:szCs w:val="21"/>
        </w:rPr>
        <w:t xml:space="preserve"> 10(7): e0130390.</w:t>
      </w:r>
    </w:p>
  </w:footnote>
  <w:footnote w:id="8">
    <w:p w14:paraId="24022CBE" w14:textId="77777777" w:rsidR="00C924A3" w:rsidRPr="00497102" w:rsidRDefault="00000000" w:rsidP="0089664B">
      <w:pPr>
        <w:pStyle w:val="Textonotapie"/>
        <w:jc w:val="both"/>
        <w:rPr>
          <w:sz w:val="21"/>
          <w:szCs w:val="21"/>
        </w:rPr>
      </w:pPr>
      <w:r w:rsidRPr="00497102">
        <w:rPr>
          <w:rStyle w:val="Refdenotaalpie"/>
          <w:sz w:val="21"/>
          <w:szCs w:val="21"/>
        </w:rPr>
        <w:footnoteRef/>
      </w:r>
      <w:r w:rsidRPr="00497102">
        <w:rPr>
          <w:sz w:val="21"/>
          <w:szCs w:val="21"/>
        </w:rPr>
        <w:t xml:space="preserve"> Moore, M. S. (2009). </w:t>
      </w:r>
      <w:r w:rsidRPr="00497102">
        <w:rPr>
          <w:i/>
          <w:iCs/>
          <w:sz w:val="21"/>
          <w:szCs w:val="21"/>
        </w:rPr>
        <w:t>Causation and Responsibility: An Essay in Law, Morals, and Metaphysics</w:t>
      </w:r>
      <w:r w:rsidRPr="00497102">
        <w:rPr>
          <w:sz w:val="21"/>
          <w:szCs w:val="21"/>
        </w:rPr>
        <w:t>. Oxford University Press, pp. 562-565.</w:t>
      </w:r>
    </w:p>
  </w:footnote>
  <w:footnote w:id="9">
    <w:p w14:paraId="027B4B92" w14:textId="77777777" w:rsidR="00C924A3" w:rsidRPr="00497102" w:rsidRDefault="00000000" w:rsidP="0089664B">
      <w:pPr>
        <w:pStyle w:val="Textonotapie"/>
        <w:jc w:val="both"/>
        <w:rPr>
          <w:sz w:val="21"/>
          <w:szCs w:val="21"/>
        </w:rPr>
      </w:pPr>
      <w:r w:rsidRPr="00497102">
        <w:rPr>
          <w:rStyle w:val="Refdenotaalpie"/>
          <w:sz w:val="21"/>
          <w:szCs w:val="21"/>
        </w:rPr>
        <w:footnoteRef/>
      </w:r>
      <w:r w:rsidRPr="00497102">
        <w:rPr>
          <w:sz w:val="21"/>
          <w:szCs w:val="21"/>
        </w:rPr>
        <w:t xml:space="preserve"> Author’s manual count of citations in </w:t>
      </w:r>
      <w:r w:rsidRPr="00497102">
        <w:rPr>
          <w:i/>
          <w:iCs/>
          <w:sz w:val="21"/>
          <w:szCs w:val="21"/>
        </w:rPr>
        <w:t>Criminal Law &amp; Philosophy</w:t>
      </w:r>
      <w:r w:rsidRPr="00497102">
        <w:rPr>
          <w:sz w:val="21"/>
          <w:szCs w:val="21"/>
        </w:rPr>
        <w:t xml:space="preserve"> and </w:t>
      </w:r>
      <w:r w:rsidRPr="00497102">
        <w:rPr>
          <w:i/>
          <w:iCs/>
          <w:sz w:val="21"/>
          <w:szCs w:val="21"/>
        </w:rPr>
        <w:t>Law &amp; Philosophy</w:t>
      </w:r>
      <w:r w:rsidRPr="00497102">
        <w:rPr>
          <w:sz w:val="21"/>
          <w:szCs w:val="21"/>
        </w:rPr>
        <w:t xml:space="preserve"> (2007-2023). Moore (defending retributivism): n≈86 citations in these venues. Greene (presenting neuroscience challenges): n≈20 citations. Full methodology and data in Appendix B. This is exploratory analysis requiring systematic validation through structured bibliometric study.</w:t>
      </w:r>
    </w:p>
  </w:footnote>
  <w:footnote w:id="10">
    <w:p w14:paraId="4F0ECBA6" w14:textId="77777777" w:rsidR="00C924A3" w:rsidRPr="00497102" w:rsidRDefault="00000000" w:rsidP="0089664B">
      <w:pPr>
        <w:pStyle w:val="Textonotapie"/>
        <w:jc w:val="both"/>
        <w:rPr>
          <w:sz w:val="21"/>
          <w:szCs w:val="21"/>
        </w:rPr>
      </w:pPr>
      <w:r w:rsidRPr="00497102">
        <w:rPr>
          <w:rStyle w:val="Refdenotaalpie"/>
          <w:sz w:val="21"/>
          <w:szCs w:val="21"/>
        </w:rPr>
        <w:footnoteRef/>
      </w:r>
      <w:r w:rsidRPr="00497102">
        <w:rPr>
          <w:sz w:val="21"/>
          <w:szCs w:val="21"/>
        </w:rPr>
        <w:t xml:space="preserve"> Sisk, G. C., Heise, M., &amp; Morriss, A. P. (1998). “Charting the Influences on the Judicial Mind: An Empirical Study of Judicial Reasoning.” </w:t>
      </w:r>
      <w:r w:rsidRPr="00497102">
        <w:rPr>
          <w:i/>
          <w:iCs/>
          <w:sz w:val="21"/>
          <w:szCs w:val="21"/>
        </w:rPr>
        <w:t>New York University Law Review</w:t>
      </w:r>
      <w:r w:rsidRPr="00497102">
        <w:rPr>
          <w:sz w:val="21"/>
          <w:szCs w:val="21"/>
        </w:rPr>
        <w:t xml:space="preserve"> 73: 1377-1500.</w:t>
      </w:r>
    </w:p>
  </w:footnote>
  <w:footnote w:id="11">
    <w:p w14:paraId="05A76E36" w14:textId="77777777" w:rsidR="00C924A3" w:rsidRPr="00497102" w:rsidRDefault="00000000" w:rsidP="0089664B">
      <w:pPr>
        <w:pStyle w:val="Textonotapie"/>
        <w:jc w:val="both"/>
        <w:rPr>
          <w:sz w:val="21"/>
          <w:szCs w:val="21"/>
        </w:rPr>
      </w:pPr>
      <w:r w:rsidRPr="00497102">
        <w:rPr>
          <w:rStyle w:val="Refdenotaalpie"/>
          <w:sz w:val="21"/>
          <w:szCs w:val="21"/>
        </w:rPr>
        <w:footnoteRef/>
      </w:r>
      <w:r w:rsidRPr="00497102">
        <w:rPr>
          <w:sz w:val="21"/>
          <w:szCs w:val="21"/>
        </w:rPr>
        <w:t xml:space="preserve"> Greene, J., &amp; Cohen, J. (2004). “For the Law, Neuroscience Changes Nothing and Everything.” </w:t>
      </w:r>
      <w:r w:rsidRPr="00497102">
        <w:rPr>
          <w:i/>
          <w:iCs/>
          <w:sz w:val="21"/>
          <w:szCs w:val="21"/>
        </w:rPr>
        <w:t>Philosophical Transactions of the Royal Society B</w:t>
      </w:r>
      <w:r w:rsidRPr="00497102">
        <w:rPr>
          <w:sz w:val="21"/>
          <w:szCs w:val="21"/>
        </w:rPr>
        <w:t xml:space="preserve"> 359: 1775-1785. DOI: 10.1098/rstb.2004.1546</w:t>
      </w:r>
    </w:p>
  </w:footnote>
  <w:footnote w:id="12">
    <w:p w14:paraId="033BBC00" w14:textId="77777777" w:rsidR="00C924A3" w:rsidRPr="00497102" w:rsidRDefault="00000000" w:rsidP="0089664B">
      <w:pPr>
        <w:pStyle w:val="Textonotapie"/>
        <w:jc w:val="both"/>
        <w:rPr>
          <w:sz w:val="21"/>
          <w:szCs w:val="21"/>
        </w:rPr>
      </w:pPr>
      <w:r w:rsidRPr="00497102">
        <w:rPr>
          <w:rStyle w:val="Refdenotaalpie"/>
          <w:sz w:val="21"/>
          <w:szCs w:val="21"/>
        </w:rPr>
        <w:footnoteRef/>
      </w:r>
      <w:r w:rsidRPr="00497102">
        <w:rPr>
          <w:sz w:val="21"/>
          <w:szCs w:val="21"/>
        </w:rPr>
        <w:t xml:space="preserve"> Shapiro, F. R. (2000). “The Most-Cited Legal Scholars.” </w:t>
      </w:r>
      <w:r w:rsidRPr="00497102">
        <w:rPr>
          <w:i/>
          <w:iCs/>
          <w:sz w:val="21"/>
          <w:szCs w:val="21"/>
        </w:rPr>
        <w:t>Journal of Legal Studies</w:t>
      </w:r>
      <w:r w:rsidRPr="00497102">
        <w:rPr>
          <w:sz w:val="21"/>
          <w:szCs w:val="21"/>
        </w:rPr>
        <w:t xml:space="preserve"> 29: 409-426.</w:t>
      </w:r>
    </w:p>
  </w:footnote>
  <w:footnote w:id="13">
    <w:p w14:paraId="25A81030" w14:textId="77777777" w:rsidR="00C924A3" w:rsidRPr="00497102" w:rsidRDefault="00000000" w:rsidP="0089664B">
      <w:pPr>
        <w:pStyle w:val="Textonotapie"/>
        <w:jc w:val="both"/>
        <w:rPr>
          <w:sz w:val="21"/>
          <w:szCs w:val="21"/>
          <w:lang w:val="es-AR"/>
        </w:rPr>
      </w:pPr>
      <w:r w:rsidRPr="00497102">
        <w:rPr>
          <w:rStyle w:val="Refdenotaalpie"/>
          <w:sz w:val="21"/>
          <w:szCs w:val="21"/>
        </w:rPr>
        <w:footnoteRef/>
      </w:r>
      <w:r w:rsidRPr="00497102">
        <w:rPr>
          <w:sz w:val="21"/>
          <w:szCs w:val="21"/>
        </w:rPr>
        <w:t xml:space="preserve"> Horvitz, M. I., &amp; López, J. (2012). </w:t>
      </w:r>
      <w:r w:rsidRPr="00497102">
        <w:rPr>
          <w:sz w:val="21"/>
          <w:szCs w:val="21"/>
          <w:lang w:val="es-AR"/>
        </w:rPr>
        <w:t>“Evaluación de Mecanismos de Justicia Restaurativa en Chile.” Universidad Católica de Chile, Centro de Estudios de la Justicia.</w:t>
      </w:r>
    </w:p>
  </w:footnote>
  <w:footnote w:id="14">
    <w:p w14:paraId="3B81C028" w14:textId="77777777" w:rsidR="00C924A3" w:rsidRPr="00497102" w:rsidRDefault="00000000" w:rsidP="0089664B">
      <w:pPr>
        <w:pStyle w:val="Textonotapie"/>
        <w:jc w:val="both"/>
        <w:rPr>
          <w:sz w:val="21"/>
          <w:szCs w:val="21"/>
        </w:rPr>
      </w:pPr>
      <w:r w:rsidRPr="00497102">
        <w:rPr>
          <w:rStyle w:val="Refdenotaalpie"/>
          <w:sz w:val="21"/>
          <w:szCs w:val="21"/>
        </w:rPr>
        <w:footnoteRef/>
      </w:r>
      <w:r w:rsidRPr="00497102">
        <w:rPr>
          <w:sz w:val="21"/>
          <w:szCs w:val="21"/>
        </w:rPr>
        <w:t xml:space="preserve"> Rachlinski, J. J. (2006). “Evidence-Based Law.” </w:t>
      </w:r>
      <w:r w:rsidRPr="00497102">
        <w:rPr>
          <w:i/>
          <w:iCs/>
          <w:sz w:val="21"/>
          <w:szCs w:val="21"/>
        </w:rPr>
        <w:t>Cornell Law Review</w:t>
      </w:r>
      <w:r w:rsidRPr="00497102">
        <w:rPr>
          <w:sz w:val="21"/>
          <w:szCs w:val="21"/>
        </w:rPr>
        <w:t xml:space="preserve"> 92: 901-924.</w:t>
      </w:r>
    </w:p>
  </w:footnote>
  <w:footnote w:id="15">
    <w:p w14:paraId="7BB58A48" w14:textId="77777777" w:rsidR="00C924A3" w:rsidRPr="00497102" w:rsidRDefault="00000000" w:rsidP="0089664B">
      <w:pPr>
        <w:pStyle w:val="Textonotapie"/>
        <w:jc w:val="both"/>
        <w:rPr>
          <w:sz w:val="21"/>
          <w:szCs w:val="21"/>
        </w:rPr>
      </w:pPr>
      <w:r w:rsidRPr="00497102">
        <w:rPr>
          <w:rStyle w:val="Refdenotaalpie"/>
          <w:sz w:val="21"/>
          <w:szCs w:val="21"/>
        </w:rPr>
        <w:footnoteRef/>
      </w:r>
      <w:r w:rsidRPr="00497102">
        <w:rPr>
          <w:sz w:val="21"/>
          <w:szCs w:val="21"/>
        </w:rPr>
        <w:t xml:space="preserve"> Forman, J., Jr. (2017). </w:t>
      </w:r>
      <w:r w:rsidRPr="00497102">
        <w:rPr>
          <w:i/>
          <w:iCs/>
          <w:sz w:val="21"/>
          <w:szCs w:val="21"/>
        </w:rPr>
        <w:t>Locking Up My Own: Crime and Punishment in Black America</w:t>
      </w:r>
      <w:r w:rsidRPr="00497102">
        <w:rPr>
          <w:sz w:val="21"/>
          <w:szCs w:val="21"/>
        </w:rPr>
        <w:t>. Farrar, Straus and Giroux.</w:t>
      </w:r>
    </w:p>
  </w:footnote>
  <w:footnote w:id="16">
    <w:p w14:paraId="7E86DE7E" w14:textId="77777777" w:rsidR="00C924A3" w:rsidRPr="00497102" w:rsidRDefault="00000000" w:rsidP="0089664B">
      <w:pPr>
        <w:pStyle w:val="Textonotapie"/>
        <w:jc w:val="both"/>
        <w:rPr>
          <w:sz w:val="21"/>
          <w:szCs w:val="21"/>
        </w:rPr>
      </w:pPr>
      <w:r w:rsidRPr="00497102">
        <w:rPr>
          <w:rStyle w:val="Refdenotaalpie"/>
          <w:sz w:val="21"/>
          <w:szCs w:val="21"/>
        </w:rPr>
        <w:footnoteRef/>
      </w:r>
      <w:r w:rsidRPr="00497102">
        <w:rPr>
          <w:sz w:val="21"/>
          <w:szCs w:val="21"/>
        </w:rPr>
        <w:t xml:space="preserve"> Forman, J., Jr. (2017). Interview with Terry Gross, </w:t>
      </w:r>
      <w:r w:rsidRPr="00497102">
        <w:rPr>
          <w:i/>
          <w:iCs/>
          <w:sz w:val="21"/>
          <w:szCs w:val="21"/>
        </w:rPr>
        <w:t>Fresh Air</w:t>
      </w:r>
      <w:r w:rsidRPr="00497102">
        <w:rPr>
          <w:sz w:val="21"/>
          <w:szCs w:val="21"/>
        </w:rPr>
        <w:t>, NPR, April 18, 2017. Transcript available at https://www.npr.org/2017/04/18/524618915/in-locking-up-my-own-lawyer-explores-how-black-communities-aided-mass-incarcera. Quote verified from transcript.</w:t>
      </w:r>
    </w:p>
  </w:footnote>
  <w:footnote w:id="17">
    <w:p w14:paraId="17128F06" w14:textId="77777777" w:rsidR="00C924A3" w:rsidRPr="00497102" w:rsidRDefault="00000000" w:rsidP="0089664B">
      <w:pPr>
        <w:pStyle w:val="Textonotapie"/>
        <w:jc w:val="both"/>
        <w:rPr>
          <w:sz w:val="21"/>
          <w:szCs w:val="21"/>
        </w:rPr>
      </w:pPr>
      <w:r w:rsidRPr="00497102">
        <w:rPr>
          <w:rStyle w:val="Refdenotaalpie"/>
          <w:sz w:val="21"/>
          <w:szCs w:val="21"/>
        </w:rPr>
        <w:footnoteRef/>
      </w:r>
      <w:r w:rsidRPr="00497102">
        <w:rPr>
          <w:sz w:val="21"/>
          <w:szCs w:val="21"/>
        </w:rPr>
        <w:t xml:space="preserve"> Data from International Labour Organization (ILO) ILOSTAT database (2021), covering Argentina and Uruguay 1990-2020. Informal employment rates from ILO estimates; real wage indices from national statistical agencies (INDEC, INE). Unionization rates from ILO collective bargaining coverage statistics.</w:t>
      </w:r>
    </w:p>
  </w:footnote>
  <w:footnote w:id="18">
    <w:p w14:paraId="0200CF9F" w14:textId="0BF645C3" w:rsidR="0042633B" w:rsidRPr="0042633B" w:rsidRDefault="0042633B" w:rsidP="0042633B">
      <w:pPr>
        <w:pStyle w:val="Textonotapie"/>
        <w:jc w:val="both"/>
        <w:rPr>
          <w:sz w:val="20"/>
          <w:szCs w:val="20"/>
        </w:rPr>
      </w:pPr>
      <w:r w:rsidRPr="0042633B">
        <w:rPr>
          <w:rStyle w:val="Refdenotaalpie"/>
          <w:sz w:val="20"/>
          <w:szCs w:val="20"/>
        </w:rPr>
        <w:footnoteRef/>
      </w:r>
      <w:r w:rsidRPr="0042633B">
        <w:rPr>
          <w:sz w:val="20"/>
          <w:szCs w:val="20"/>
        </w:rPr>
        <w:t xml:space="preserve"> </w:t>
      </w:r>
      <w:r w:rsidRPr="0042633B">
        <w:rPr>
          <w:rStyle w:val="Textoennegrita"/>
          <w:sz w:val="20"/>
          <w:szCs w:val="20"/>
        </w:rPr>
        <w:t>Empirical support:</w:t>
      </w:r>
      <w:r w:rsidRPr="0042633B">
        <w:rPr>
          <w:sz w:val="20"/>
          <w:szCs w:val="20"/>
        </w:rPr>
        <w:t xml:space="preserve"> Analysis of 47 federal reform attempts (1989-2024) shows Buenos Aires-based legislators voted 89% in favor of fiscal decentralization, while small-province senators voted 94% against (n=23, Fisher's exact test p&lt;0.001). Material interests predicted opposite voting patterns; institutional memetic structures (Senate overrepresentation) determined outcomes.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CFAD5A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CB065A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7B840FA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5AC44C0F"/>
    <w:multiLevelType w:val="multilevel"/>
    <w:tmpl w:val="3BE66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7D86796"/>
    <w:multiLevelType w:val="hybridMultilevel"/>
    <w:tmpl w:val="42146994"/>
    <w:lvl w:ilvl="0" w:tplc="6ED41808">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418143334">
    <w:abstractNumId w:val="0"/>
  </w:num>
  <w:num w:numId="2" w16cid:durableId="1646548611">
    <w:abstractNumId w:val="1"/>
  </w:num>
  <w:num w:numId="3" w16cid:durableId="284555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921177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91694219">
    <w:abstractNumId w:val="1"/>
  </w:num>
  <w:num w:numId="6" w16cid:durableId="170920519">
    <w:abstractNumId w:val="1"/>
  </w:num>
  <w:num w:numId="7" w16cid:durableId="14260770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4746438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9789974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7328504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7617545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3332970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721944721">
    <w:abstractNumId w:val="4"/>
  </w:num>
  <w:num w:numId="14" w16cid:durableId="5117243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24A3"/>
    <w:rsid w:val="0009322E"/>
    <w:rsid w:val="000D241E"/>
    <w:rsid w:val="001C4BC4"/>
    <w:rsid w:val="003E3113"/>
    <w:rsid w:val="003E35F9"/>
    <w:rsid w:val="00406EBF"/>
    <w:rsid w:val="0042633B"/>
    <w:rsid w:val="004268EC"/>
    <w:rsid w:val="00497102"/>
    <w:rsid w:val="004E1824"/>
    <w:rsid w:val="004E23D0"/>
    <w:rsid w:val="005A65E6"/>
    <w:rsid w:val="00615024"/>
    <w:rsid w:val="0065367D"/>
    <w:rsid w:val="007156C3"/>
    <w:rsid w:val="007667FD"/>
    <w:rsid w:val="00776C06"/>
    <w:rsid w:val="007A2EDC"/>
    <w:rsid w:val="007D7561"/>
    <w:rsid w:val="0081774F"/>
    <w:rsid w:val="008450F8"/>
    <w:rsid w:val="0089664B"/>
    <w:rsid w:val="008B71C9"/>
    <w:rsid w:val="009117E9"/>
    <w:rsid w:val="009355FA"/>
    <w:rsid w:val="00AE520C"/>
    <w:rsid w:val="00B00FCA"/>
    <w:rsid w:val="00BE47F8"/>
    <w:rsid w:val="00C164E5"/>
    <w:rsid w:val="00C924A3"/>
    <w:rsid w:val="00CD0ECB"/>
    <w:rsid w:val="00CF10AA"/>
    <w:rsid w:val="00DA0F89"/>
    <w:rsid w:val="00DD4346"/>
    <w:rsid w:val="00DF24D5"/>
    <w:rsid w:val="00EB0271"/>
    <w:rsid w:val="00F84CA3"/>
    <w:rsid w:val="00FA6882"/>
    <w:rsid w:val="00FC13D6"/>
    <w:rsid w:val="00FE15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1F106F"/>
  <w15:docId w15:val="{42686717-D6F8-5149-ADD9-34DB0A46B9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Textoennegrita">
    <w:name w:val="Strong"/>
    <w:basedOn w:val="Fuentedeprrafopredeter"/>
    <w:uiPriority w:val="22"/>
    <w:qFormat/>
    <w:rsid w:val="0042633B"/>
    <w:rPr>
      <w:b/>
      <w:bCs/>
    </w:rPr>
  </w:style>
  <w:style w:type="character" w:styleId="nfasis">
    <w:name w:val="Emphasis"/>
    <w:basedOn w:val="Fuentedeprrafopredeter"/>
    <w:uiPriority w:val="20"/>
    <w:qFormat/>
    <w:rsid w:val="00BE47F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TotalTime>
  <Pages>55</Pages>
  <Words>18974</Words>
  <Characters>104363</Characters>
  <Application>Microsoft Office Word</Application>
  <DocSecurity>0</DocSecurity>
  <Lines>869</Lines>
  <Paragraphs>246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123091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Adrian Lerer</dc:creator>
  <cp:keywords/>
  <cp:lastModifiedBy>Adrian Lerer</cp:lastModifiedBy>
  <cp:revision>32</cp:revision>
  <dcterms:created xsi:type="dcterms:W3CDTF">2025-11-18T02:00:00Z</dcterms:created>
  <dcterms:modified xsi:type="dcterms:W3CDTF">2025-11-18T03:03:00Z</dcterms:modified>
</cp:coreProperties>
</file>