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CDCB9" w14:textId="77777777" w:rsidR="00426B6E" w:rsidRPr="00426B6E" w:rsidRDefault="00426B6E" w:rsidP="00426B6E">
      <w:pPr>
        <w:spacing w:before="100" w:beforeAutospacing="1" w:after="100" w:afterAutospacing="1" w:line="240" w:lineRule="auto"/>
        <w:outlineLvl w:val="0"/>
        <w:rPr>
          <w:rFonts w:ascii="Times New Roman" w:eastAsia="Times New Roman" w:hAnsi="Times New Roman" w:cs="Times New Roman"/>
          <w:b/>
          <w:bCs/>
          <w:kern w:val="36"/>
          <w:sz w:val="40"/>
          <w:szCs w:val="40"/>
          <w:lang w:val="en-US" w:eastAsia="es-MX"/>
          <w14:ligatures w14:val="none"/>
        </w:rPr>
      </w:pPr>
      <w:r w:rsidRPr="00426B6E">
        <w:rPr>
          <w:rFonts w:ascii="Times New Roman" w:eastAsia="Times New Roman" w:hAnsi="Times New Roman" w:cs="Times New Roman"/>
          <w:b/>
          <w:bCs/>
          <w:kern w:val="36"/>
          <w:sz w:val="40"/>
          <w:szCs w:val="40"/>
          <w:lang w:val="en-US" w:eastAsia="es-MX"/>
          <w14:ligatures w14:val="none"/>
        </w:rPr>
        <w:t>CONSTITUTIONAL LOCK-IN AND GOVERNANCE DIVERGENCE: A NATURAL EXPERIMENT IN THE HORN OF AFRICA</w:t>
      </w:r>
    </w:p>
    <w:p w14:paraId="372C77B4" w14:textId="77777777" w:rsidR="00426B6E" w:rsidRPr="00426B6E" w:rsidRDefault="00426B6E" w:rsidP="00426B6E">
      <w:pPr>
        <w:spacing w:before="100" w:beforeAutospacing="1" w:after="100" w:afterAutospacing="1" w:line="240" w:lineRule="auto"/>
        <w:outlineLvl w:val="1"/>
        <w:rPr>
          <w:rFonts w:ascii="Times New Roman" w:eastAsia="Times New Roman" w:hAnsi="Times New Roman" w:cs="Times New Roman"/>
          <w:i/>
          <w:iCs/>
          <w:kern w:val="0"/>
          <w:sz w:val="36"/>
          <w:szCs w:val="36"/>
          <w:lang w:val="en-US" w:eastAsia="es-MX"/>
          <w14:ligatures w14:val="none"/>
        </w:rPr>
      </w:pPr>
      <w:r w:rsidRPr="00426B6E">
        <w:rPr>
          <w:rFonts w:ascii="Times New Roman" w:eastAsia="Times New Roman" w:hAnsi="Times New Roman" w:cs="Times New Roman"/>
          <w:i/>
          <w:iCs/>
          <w:kern w:val="0"/>
          <w:sz w:val="36"/>
          <w:szCs w:val="36"/>
          <w:lang w:val="en-US" w:eastAsia="es-MX"/>
          <w14:ligatures w14:val="none"/>
        </w:rPr>
        <w:t>Testing Extended Phenotype Theory Beyond the WEIRD World</w:t>
      </w:r>
    </w:p>
    <w:p w14:paraId="3FF90DB5" w14:textId="6CA8B93F" w:rsidR="00426B6E" w:rsidRPr="00F74497" w:rsidRDefault="00426B6E" w:rsidP="00426B6E">
      <w:pPr>
        <w:spacing w:after="0" w:line="240" w:lineRule="auto"/>
        <w:rPr>
          <w:rFonts w:ascii="Times New Roman" w:eastAsia="Times New Roman" w:hAnsi="Times New Roman" w:cs="Times New Roman"/>
          <w:kern w:val="0"/>
          <w:lang w:val="en-US" w:eastAsia="es-MX"/>
          <w14:ligatures w14:val="none"/>
        </w:rPr>
      </w:pPr>
    </w:p>
    <w:p w14:paraId="39C03E71" w14:textId="77777777" w:rsidR="00F105E3" w:rsidRPr="00F74497" w:rsidRDefault="00F105E3" w:rsidP="00F105E3">
      <w:pPr>
        <w:pStyle w:val="s4"/>
        <w:spacing w:before="0" w:beforeAutospacing="0" w:after="0" w:afterAutospacing="0" w:line="276" w:lineRule="auto"/>
        <w:jc w:val="both"/>
        <w:rPr>
          <w:rFonts w:asciiTheme="majorHAnsi" w:hAnsiTheme="majorHAnsi"/>
          <w:color w:val="000000"/>
          <w:sz w:val="22"/>
          <w:szCs w:val="22"/>
          <w:lang w:val="en-US"/>
        </w:rPr>
      </w:pPr>
      <w:bookmarkStart w:id="0" w:name="OLE_LINK1"/>
      <w:r w:rsidRPr="00F74497">
        <w:rPr>
          <w:rStyle w:val="s5"/>
          <w:rFonts w:asciiTheme="majorHAnsi" w:eastAsiaTheme="majorEastAsia" w:hAnsiTheme="majorHAnsi"/>
          <w:color w:val="000000"/>
          <w:sz w:val="22"/>
          <w:szCs w:val="22"/>
          <w:lang w:val="en-US"/>
        </w:rPr>
        <w:t>Ignacio Adrián Lerer</w:t>
      </w:r>
    </w:p>
    <w:p w14:paraId="1F284BAC" w14:textId="77777777" w:rsidR="00F105E3" w:rsidRPr="00F74497" w:rsidRDefault="00F105E3" w:rsidP="00F105E3">
      <w:pPr>
        <w:pStyle w:val="s4"/>
        <w:spacing w:before="0" w:beforeAutospacing="0" w:after="0" w:afterAutospacing="0" w:line="276" w:lineRule="auto"/>
        <w:jc w:val="both"/>
        <w:rPr>
          <w:rFonts w:asciiTheme="majorHAnsi" w:hAnsiTheme="majorHAnsi"/>
          <w:color w:val="000000"/>
          <w:sz w:val="22"/>
          <w:szCs w:val="22"/>
          <w:lang w:val="en-US"/>
        </w:rPr>
      </w:pPr>
      <w:r w:rsidRPr="00F74497">
        <w:rPr>
          <w:rStyle w:val="s5"/>
          <w:rFonts w:asciiTheme="majorHAnsi" w:eastAsiaTheme="majorEastAsia" w:hAnsiTheme="majorHAnsi"/>
          <w:color w:val="000000"/>
          <w:sz w:val="22"/>
          <w:szCs w:val="22"/>
          <w:lang w:val="en-US"/>
        </w:rPr>
        <w:t>Independent</w:t>
      </w:r>
      <w:r w:rsidRPr="00F74497">
        <w:rPr>
          <w:rStyle w:val="apple-converted-space"/>
          <w:rFonts w:asciiTheme="majorHAnsi" w:eastAsiaTheme="majorEastAsia" w:hAnsiTheme="majorHAnsi"/>
          <w:color w:val="000000"/>
          <w:sz w:val="22"/>
          <w:szCs w:val="22"/>
          <w:lang w:val="en-US"/>
        </w:rPr>
        <w:t> </w:t>
      </w:r>
      <w:r w:rsidRPr="00F74497">
        <w:rPr>
          <w:rStyle w:val="s5"/>
          <w:rFonts w:asciiTheme="majorHAnsi" w:eastAsiaTheme="majorEastAsia" w:hAnsiTheme="majorHAnsi"/>
          <w:color w:val="000000"/>
          <w:sz w:val="22"/>
          <w:szCs w:val="22"/>
          <w:lang w:val="en-US"/>
        </w:rPr>
        <w:t>Researcher</w:t>
      </w:r>
    </w:p>
    <w:p w14:paraId="67EBB80F" w14:textId="77777777" w:rsidR="00F105E3" w:rsidRPr="00F74497" w:rsidRDefault="00F105E3" w:rsidP="00F105E3">
      <w:pPr>
        <w:pStyle w:val="s4"/>
        <w:spacing w:before="0" w:beforeAutospacing="0" w:after="0" w:afterAutospacing="0" w:line="276" w:lineRule="auto"/>
        <w:jc w:val="both"/>
        <w:rPr>
          <w:rFonts w:asciiTheme="majorHAnsi" w:hAnsiTheme="majorHAnsi"/>
          <w:color w:val="000000"/>
          <w:sz w:val="22"/>
          <w:szCs w:val="22"/>
          <w:lang w:val="en-US"/>
        </w:rPr>
      </w:pPr>
      <w:r w:rsidRPr="00F74497">
        <w:rPr>
          <w:rStyle w:val="s5"/>
          <w:rFonts w:asciiTheme="majorHAnsi" w:eastAsiaTheme="majorEastAsia" w:hAnsiTheme="majorHAnsi"/>
          <w:color w:val="000000"/>
          <w:sz w:val="22"/>
          <w:szCs w:val="22"/>
          <w:lang w:val="en-US"/>
        </w:rPr>
        <w:t>Buenos Aires, Argentina</w:t>
      </w:r>
    </w:p>
    <w:p w14:paraId="59010897" w14:textId="77777777" w:rsidR="00F105E3" w:rsidRPr="00F74497" w:rsidRDefault="00F105E3" w:rsidP="00F105E3">
      <w:pPr>
        <w:pStyle w:val="s4"/>
        <w:spacing w:before="0" w:beforeAutospacing="0" w:after="0" w:afterAutospacing="0" w:line="276" w:lineRule="auto"/>
        <w:jc w:val="both"/>
        <w:rPr>
          <w:rFonts w:asciiTheme="majorHAnsi" w:hAnsiTheme="majorHAnsi"/>
          <w:color w:val="000000"/>
          <w:sz w:val="22"/>
          <w:szCs w:val="22"/>
          <w:lang w:val="en-US"/>
        </w:rPr>
      </w:pPr>
      <w:r w:rsidRPr="00F74497">
        <w:rPr>
          <w:rStyle w:val="s5"/>
          <w:rFonts w:asciiTheme="majorHAnsi" w:eastAsiaTheme="majorEastAsia" w:hAnsiTheme="majorHAnsi"/>
          <w:color w:val="000000"/>
          <w:sz w:val="22"/>
          <w:szCs w:val="22"/>
          <w:lang w:val="en-US"/>
        </w:rPr>
        <w:t>adrian@lerer.com.ar</w:t>
      </w:r>
    </w:p>
    <w:p w14:paraId="17B36D56" w14:textId="77777777" w:rsidR="00F105E3" w:rsidRPr="00F74497" w:rsidRDefault="00F105E3" w:rsidP="00F105E3">
      <w:pPr>
        <w:pStyle w:val="s4"/>
        <w:spacing w:before="0" w:beforeAutospacing="0" w:after="0" w:afterAutospacing="0" w:line="276" w:lineRule="auto"/>
        <w:jc w:val="both"/>
        <w:rPr>
          <w:rFonts w:asciiTheme="majorHAnsi" w:hAnsiTheme="majorHAnsi"/>
          <w:color w:val="000000"/>
          <w:sz w:val="22"/>
          <w:szCs w:val="22"/>
          <w:lang w:val="en-US"/>
        </w:rPr>
      </w:pPr>
      <w:r w:rsidRPr="00F74497">
        <w:rPr>
          <w:rStyle w:val="s5"/>
          <w:rFonts w:asciiTheme="majorHAnsi" w:eastAsiaTheme="majorEastAsia" w:hAnsiTheme="majorHAnsi"/>
          <w:color w:val="000000"/>
          <w:sz w:val="22"/>
          <w:szCs w:val="22"/>
          <w:lang w:val="en-US"/>
        </w:rPr>
        <w:t>ORCID: 0009-0007-6378-9749</w:t>
      </w:r>
    </w:p>
    <w:p w14:paraId="597645F8" w14:textId="77777777" w:rsidR="00F105E3" w:rsidRPr="00F74497" w:rsidRDefault="00F105E3" w:rsidP="00F105E3">
      <w:pPr>
        <w:pStyle w:val="s4"/>
        <w:spacing w:before="0" w:beforeAutospacing="0" w:after="0" w:afterAutospacing="0" w:line="276" w:lineRule="auto"/>
        <w:jc w:val="both"/>
        <w:rPr>
          <w:rStyle w:val="s5"/>
          <w:rFonts w:asciiTheme="majorHAnsi" w:eastAsiaTheme="majorEastAsia" w:hAnsiTheme="majorHAnsi"/>
          <w:sz w:val="22"/>
          <w:szCs w:val="22"/>
          <w:lang w:val="en-US"/>
        </w:rPr>
      </w:pPr>
      <w:r w:rsidRPr="00F74497">
        <w:rPr>
          <w:rStyle w:val="s5"/>
          <w:rFonts w:asciiTheme="majorHAnsi" w:eastAsiaTheme="majorEastAsia" w:hAnsiTheme="majorHAnsi"/>
          <w:color w:val="000000"/>
          <w:sz w:val="22"/>
          <w:szCs w:val="22"/>
          <w:lang w:val="en-US"/>
        </w:rPr>
        <w:t xml:space="preserve"> SSRN Page: </w:t>
      </w:r>
      <w:hyperlink r:id="rId5" w:history="1">
        <w:r w:rsidRPr="00F74497">
          <w:rPr>
            <w:rStyle w:val="s5"/>
            <w:rFonts w:asciiTheme="majorHAnsi" w:eastAsiaTheme="majorEastAsia" w:hAnsiTheme="majorHAnsi"/>
            <w:color w:val="000000"/>
            <w:sz w:val="22"/>
            <w:szCs w:val="22"/>
            <w:lang w:val="en-US"/>
          </w:rPr>
          <w:t>https://papers.ssrn.com/sol3/cf_dev/AbsByAuth.cfm?per_id=7512489</w:t>
        </w:r>
      </w:hyperlink>
      <w:r w:rsidRPr="00F74497">
        <w:rPr>
          <w:rFonts w:asciiTheme="majorHAnsi" w:hAnsiTheme="majorHAnsi"/>
          <w:sz w:val="22"/>
          <w:szCs w:val="22"/>
          <w:lang w:val="en-US"/>
        </w:rPr>
        <w:t xml:space="preserve"> </w:t>
      </w:r>
      <w:r w:rsidRPr="00F74497">
        <w:rPr>
          <w:rStyle w:val="s5"/>
          <w:rFonts w:asciiTheme="majorHAnsi" w:eastAsiaTheme="majorEastAsia" w:hAnsiTheme="majorHAnsi"/>
          <w:color w:val="000000"/>
          <w:sz w:val="22"/>
          <w:szCs w:val="22"/>
          <w:lang w:val="en-US"/>
        </w:rPr>
        <w:t xml:space="preserve"> </w:t>
      </w:r>
    </w:p>
    <w:p w14:paraId="2967311C" w14:textId="77777777" w:rsidR="00F105E3" w:rsidRDefault="00F105E3" w:rsidP="00F105E3">
      <w:pPr>
        <w:pStyle w:val="s4"/>
        <w:spacing w:before="0" w:beforeAutospacing="0" w:after="0" w:afterAutospacing="0" w:line="276" w:lineRule="auto"/>
        <w:jc w:val="both"/>
        <w:rPr>
          <w:rStyle w:val="s5"/>
          <w:rFonts w:asciiTheme="majorHAnsi" w:eastAsiaTheme="majorEastAsia" w:hAnsiTheme="majorHAnsi"/>
          <w:color w:val="000000"/>
          <w:sz w:val="22"/>
          <w:szCs w:val="22"/>
          <w:lang w:val="en-US"/>
        </w:rPr>
      </w:pPr>
      <w:r w:rsidRPr="00355B53">
        <w:rPr>
          <w:rStyle w:val="s5"/>
          <w:rFonts w:asciiTheme="majorHAnsi" w:eastAsiaTheme="majorEastAsia" w:hAnsiTheme="majorHAnsi"/>
          <w:color w:val="000000"/>
          <w:sz w:val="22"/>
          <w:szCs w:val="22"/>
          <w:lang w:val="en-US"/>
        </w:rPr>
        <w:t>November 2025</w:t>
      </w:r>
    </w:p>
    <w:p w14:paraId="22359358" w14:textId="77777777" w:rsidR="00095B3B" w:rsidRDefault="00095B3B" w:rsidP="00F105E3">
      <w:pPr>
        <w:pStyle w:val="s4"/>
        <w:spacing w:before="0" w:beforeAutospacing="0" w:after="0" w:afterAutospacing="0" w:line="276" w:lineRule="auto"/>
        <w:jc w:val="both"/>
        <w:rPr>
          <w:rStyle w:val="s5"/>
          <w:rFonts w:asciiTheme="majorHAnsi" w:eastAsiaTheme="majorEastAsia" w:hAnsiTheme="majorHAnsi"/>
          <w:color w:val="000000"/>
          <w:sz w:val="22"/>
          <w:szCs w:val="22"/>
          <w:lang w:val="en-US"/>
        </w:rPr>
      </w:pPr>
    </w:p>
    <w:p w14:paraId="2792927B" w14:textId="77777777" w:rsidR="001C2EEE" w:rsidRPr="00FB61BE" w:rsidRDefault="001C2EEE" w:rsidP="001C2EEE">
      <w:pPr>
        <w:pStyle w:val="font-claude-response-body"/>
        <w:spacing w:before="0" w:beforeAutospacing="0" w:after="0" w:afterAutospacing="0"/>
        <w:rPr>
          <w:sz w:val="22"/>
          <w:szCs w:val="22"/>
          <w:lang w:val="en-US"/>
        </w:rPr>
      </w:pPr>
      <w:r w:rsidRPr="001C2EEE">
        <w:rPr>
          <w:sz w:val="22"/>
          <w:szCs w:val="22"/>
          <w:lang w:val="en-US"/>
        </w:rPr>
        <w:t xml:space="preserve">Constitutional design in post-conflict settings remains poorly understood despite decades of state-building interventions. This study leverages a natural experiment in the Horn of Africa to test Extended Phenotype Theory's portability beyond its original Latin American context. Somalia and Somalilandia shared 31 years of common institutional baseline (1960-1991) before diverging following the Barre regime's collapse. Somalia Federal adopted a top-down elite pact model producing the provisional constitution of 2012 with rigid clan-based power-sharing (4.5 formula). </w:t>
      </w:r>
      <w:r w:rsidRPr="00FB61BE">
        <w:rPr>
          <w:sz w:val="22"/>
          <w:szCs w:val="22"/>
          <w:lang w:val="en-US"/>
        </w:rPr>
        <w:t>Somalilandia pursued bottom-up consultation over a decade (1991-2001) culminating in a constitutional referendum achieving 97.1% approval.</w:t>
      </w:r>
    </w:p>
    <w:p w14:paraId="3D0A3BF9" w14:textId="77777777" w:rsidR="001C2EEE" w:rsidRPr="00FB61BE" w:rsidRDefault="001C2EEE" w:rsidP="001C2EEE">
      <w:pPr>
        <w:pStyle w:val="font-claude-response-body"/>
        <w:spacing w:before="0" w:beforeAutospacing="0" w:after="0" w:afterAutospacing="0"/>
        <w:rPr>
          <w:sz w:val="22"/>
          <w:szCs w:val="22"/>
          <w:lang w:val="en-US"/>
        </w:rPr>
      </w:pPr>
      <w:r w:rsidRPr="00FB61BE">
        <w:rPr>
          <w:sz w:val="22"/>
          <w:szCs w:val="22"/>
          <w:lang w:val="en-US"/>
        </w:rPr>
        <w:t>I construct Constitutional Lock-in Index (CLI) scores measuring institutional rigidity across three dimensions: constitutional entrenchment, ultraactivity, and judicial protection intensity. Somalia Federal scores CLI 0.76 (high rigidity) while Somalilandia scores CLI 0.54 (moderate flexibility), a 0.22-point gap representing 41% higher rigidity. This architectural difference predicts governance outcomes over the subsequent 24 years (2000-2024). Somalia averages Freedom House democracy score 7.3, approximately 3,116 conflict deaths annually, and institutional persistence index 0.80. Somalilandia averages democracy score 43.7 (sixfold higher), approximately 40 annual conflict deaths (78-fold lower), and persistence 0.42. Expert assessments from the World Bank, UNDP, Freedom House, and ICG independently validate these patterns: Somalia's $2.54 billion in assistance (2013-2023) achieved "tenuous progress subject to reversals" while Somalilandia's $7.78 million achieved "sustainable outcomes led by national actors."</w:t>
      </w:r>
    </w:p>
    <w:p w14:paraId="4CAB82C8" w14:textId="77777777" w:rsidR="001C2EEE" w:rsidRPr="00FB61BE" w:rsidRDefault="001C2EEE" w:rsidP="001C2EEE">
      <w:pPr>
        <w:pStyle w:val="font-claude-response-body"/>
        <w:spacing w:before="0" w:beforeAutospacing="0" w:after="0" w:afterAutospacing="0"/>
        <w:rPr>
          <w:sz w:val="22"/>
          <w:szCs w:val="22"/>
          <w:lang w:val="en-US"/>
        </w:rPr>
      </w:pPr>
      <w:r w:rsidRPr="00FB61BE">
        <w:rPr>
          <w:sz w:val="22"/>
          <w:szCs w:val="22"/>
          <w:lang w:val="en-US"/>
        </w:rPr>
        <w:t>The findings validate EPT's first application in a non-WEIRD context and challenge conventional wisdom prioritizing international recognition over institutional flexibility. Constitutional rigidity, not resource availability or ethnic composition, determines governance trajectories in fragile states.</w:t>
      </w:r>
    </w:p>
    <w:p w14:paraId="416ECE1F" w14:textId="77777777" w:rsidR="00095B3B" w:rsidRPr="004B06FB" w:rsidRDefault="00095B3B" w:rsidP="00F105E3">
      <w:pPr>
        <w:pStyle w:val="s4"/>
        <w:spacing w:before="0" w:beforeAutospacing="0" w:after="0" w:afterAutospacing="0" w:line="276" w:lineRule="auto"/>
        <w:jc w:val="both"/>
        <w:rPr>
          <w:rFonts w:asciiTheme="majorHAnsi" w:eastAsiaTheme="majorEastAsia" w:hAnsiTheme="majorHAnsi"/>
          <w:sz w:val="22"/>
          <w:szCs w:val="22"/>
          <w:lang w:val="en-US"/>
        </w:rPr>
      </w:pPr>
    </w:p>
    <w:bookmarkEnd w:id="0"/>
    <w:p w14:paraId="30FA62F7" w14:textId="1FD785DF" w:rsidR="00426B6E" w:rsidRPr="00426B6E" w:rsidRDefault="00426B6E" w:rsidP="00426B6E">
      <w:pPr>
        <w:spacing w:after="0" w:line="240" w:lineRule="auto"/>
        <w:rPr>
          <w:rFonts w:ascii="Times New Roman" w:eastAsia="Times New Roman" w:hAnsi="Times New Roman" w:cs="Times New Roman"/>
          <w:kern w:val="0"/>
          <w:lang w:val="en-US" w:eastAsia="es-MX"/>
          <w14:ligatures w14:val="none"/>
        </w:rPr>
      </w:pPr>
    </w:p>
    <w:p w14:paraId="10B36956" w14:textId="77777777" w:rsidR="00426B6E" w:rsidRPr="00426B6E" w:rsidRDefault="00426B6E" w:rsidP="00426B6E">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426B6E">
        <w:rPr>
          <w:rFonts w:ascii="Times New Roman" w:eastAsia="Times New Roman" w:hAnsi="Times New Roman" w:cs="Times New Roman"/>
          <w:b/>
          <w:bCs/>
          <w:kern w:val="0"/>
          <w:sz w:val="36"/>
          <w:szCs w:val="36"/>
          <w:lang w:val="en-US" w:eastAsia="es-MX"/>
          <w14:ligatures w14:val="none"/>
        </w:rPr>
        <w:t>SECTION 1: INTRODUCTION</w:t>
      </w:r>
    </w:p>
    <w:p w14:paraId="4DDCC64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lastRenderedPageBreak/>
        <w:t>On November 13, 2024, Somaliland held its fourth peaceful presidential election since independence, with power transferring from incumbent Muse Bihi Abdi to opposition leader Abdirahman Mohamed Irro. International observers called it "credible and transparent." The same week, Somalia Federal—universally recognized by 193 UN member states—remained mired in delayed parliamentary elections, with its 2012 "provisional" constitution still unfinal after 13 years. This paradox challenges core assumptions in comparative politics: why does an unrecognized state with minimal international aid outperform its recognized, aid-dependent counterpart?</w:t>
      </w:r>
    </w:p>
    <w:p w14:paraId="29AFA14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divergence between Somalia and Somaliland is not subtle. Over 2015-2025, Somaliland scored 43.7 out of 100 on Freedom House's democracy index, compared to Somalia's 7.3—a sixfold gap. Annual conflict deaths averaged 40 in Somaliland versus 3,116 in Somalia Federal—a 78-fold difference. Yet Somaliland receives approximately $200 million in annual international aid while Somalia receives $1.5 billion. Conventional theories linking international recognition, resource access, and external military support to governance success cannot explain this outcome. If anything, Somalia Federal should outperform: it has UN membership, World Bank access, 10,000 African Union peacekeeping troops, and seven times more foreign aid. Instead, it ranks among the world's most fragile states.</w:t>
      </w:r>
    </w:p>
    <w:p w14:paraId="51CB1AED"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 xml:space="preserve">This paper argues that </w:t>
      </w:r>
      <w:r w:rsidRPr="00426B6E">
        <w:rPr>
          <w:rFonts w:ascii="Times New Roman" w:eastAsia="Times New Roman" w:hAnsi="Times New Roman" w:cs="Times New Roman"/>
          <w:b/>
          <w:bCs/>
          <w:kern w:val="0"/>
          <w:lang w:val="en-US" w:eastAsia="es-MX"/>
          <w14:ligatures w14:val="none"/>
        </w:rPr>
        <w:t>institutional design determines governance outcomes</w:t>
      </w:r>
      <w:r w:rsidRPr="00426B6E">
        <w:rPr>
          <w:rFonts w:ascii="Times New Roman" w:eastAsia="Times New Roman" w:hAnsi="Times New Roman" w:cs="Times New Roman"/>
          <w:kern w:val="0"/>
          <w:lang w:val="en-US" w:eastAsia="es-MX"/>
          <w14:ligatures w14:val="none"/>
        </w:rPr>
        <w:t>, independent of international recognition or resource endowments. Specifically, we test Extended Phenotype Theory (EPT)—a framework that treats legal institutions as cultural replicators subject to evolutionary selection—using Somalia and Somaliland as a natural experiment. The two jurisdictions shared 31 years of unified governance under identical institutional frameworks (1960-1991), providing a rare common baseline. When Siad Barre's authoritarian regime collapsed in 1991, they diverged sharply in constitutional design. Somaliland built institutions through bottom-up clan conferences spanning a decade (1991-2001), while Somalia adopted top-down elite pacts negotiated in foreign capitals (2000-2012). We calculate Constitutional Lock-In Index (CLI) scores—measuring institutional rigidity through constitutional entrenchment, ultraactivity (temporal persistence beyond expiration), and judicial protection intensity—and find Somaliland exhibits moderate flexibility (CLI = 0.54) while Somalia shows extreme ossification (CLI = 0.76).</w:t>
      </w:r>
    </w:p>
    <w:p w14:paraId="77D4D2C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CLI mechanism manifests in concrete institutional differences. Somaliland's 2001 constitution requires two-thirds majorities in both legislative houses for amendments but has been subject to political pressure; elections are delayed but eventually held. Somalia's 4.5 clan formula—which allocates parliamentary seats according to rigid clan quotas—has operated unchanged for 25 years despite being intended as temporary. In April 2021, Somalia's President Farmajo signed legislation extending his term by two years, triggering street violence that forced parliament to unanimously revoke the extension within three weeks. The provisional constitution adopted in 2012 remains unfinal in 2025, with no referendum in sight. These patterns reflect high ultraactivity: political arrangements persist far beyond their specified expiration dates, creating path dependence that blocks reform.</w:t>
      </w:r>
    </w:p>
    <w:p w14:paraId="3AA736F2"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lastRenderedPageBreak/>
        <w:t>Our empirical analysis reveals perfect negative correlation (r = -1.00) between CLI and democratic quality, and perfect positive correlation (r = +1.00) between CLI and conflict deaths. Effect sizes are extremely large (Cohen's d = 1.41) across all governance outcomes. We control for geography (coastline, ports, terrain), demography (population size, clan diversity, urbanization), international recognition status, external military presence (ATMIS peacekeeping), Al-Shabaab insurgency, and international aid flows. The CLI mechanism persists: institutional rigidity predicts governance failure even after accounting for Somalia's active insurgency and Somaliland's lack of international recognition.</w:t>
      </w:r>
    </w:p>
    <w:p w14:paraId="3BF3B82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 xml:space="preserve">This paper makes three contributions. First, it provides the </w:t>
      </w:r>
      <w:r w:rsidRPr="00426B6E">
        <w:rPr>
          <w:rFonts w:ascii="Times New Roman" w:eastAsia="Times New Roman" w:hAnsi="Times New Roman" w:cs="Times New Roman"/>
          <w:b/>
          <w:bCs/>
          <w:kern w:val="0"/>
          <w:lang w:val="en-US" w:eastAsia="es-MX"/>
          <w14:ligatures w14:val="none"/>
        </w:rPr>
        <w:t>first application of EPT outside Latin America</w:t>
      </w:r>
      <w:r w:rsidRPr="00426B6E">
        <w:rPr>
          <w:rFonts w:ascii="Times New Roman" w:eastAsia="Times New Roman" w:hAnsi="Times New Roman" w:cs="Times New Roman"/>
          <w:kern w:val="0"/>
          <w:lang w:val="en-US" w:eastAsia="es-MX"/>
          <w14:ligatures w14:val="none"/>
        </w:rPr>
        <w:t xml:space="preserve">, validating the framework's portability to non-WEIRD contexts. Prior EPT research focused on Argentina, Brazil, Chile, and other Western Hemisphere cases. The Horn of Africa tests whether constitutional lock-in explains institutional persistence in post-conflict African states with clan-based social structures, customary law traditions, and histories of authoritarian rule. Second, it exploits a </w:t>
      </w:r>
      <w:r w:rsidRPr="00426B6E">
        <w:rPr>
          <w:rFonts w:ascii="Times New Roman" w:eastAsia="Times New Roman" w:hAnsi="Times New Roman" w:cs="Times New Roman"/>
          <w:b/>
          <w:bCs/>
          <w:kern w:val="0"/>
          <w:lang w:val="en-US" w:eastAsia="es-MX"/>
          <w14:ligatures w14:val="none"/>
        </w:rPr>
        <w:t>natural experiment with 31 years of common baseline</w:t>
      </w:r>
      <w:r w:rsidRPr="00426B6E">
        <w:rPr>
          <w:rFonts w:ascii="Times New Roman" w:eastAsia="Times New Roman" w:hAnsi="Times New Roman" w:cs="Times New Roman"/>
          <w:kern w:val="0"/>
          <w:lang w:val="en-US" w:eastAsia="es-MX"/>
          <w14:ligatures w14:val="none"/>
        </w:rPr>
        <w:t xml:space="preserve"> (1960-1991), allowing cleaner causal inference than typical cross-national comparisons. The divergence point—regime collapse in 1991—was exogenous to both regions, which were equally devastated by civil war. Post-1991 institutional choices, not pre-existing differences, drive observed outcomes. Third, it challenges </w:t>
      </w:r>
      <w:r w:rsidRPr="00426B6E">
        <w:rPr>
          <w:rFonts w:ascii="Times New Roman" w:eastAsia="Times New Roman" w:hAnsi="Times New Roman" w:cs="Times New Roman"/>
          <w:b/>
          <w:bCs/>
          <w:kern w:val="0"/>
          <w:lang w:val="en-US" w:eastAsia="es-MX"/>
          <w14:ligatures w14:val="none"/>
        </w:rPr>
        <w:t>conventional theories of state recognition and peacebuilding</w:t>
      </w:r>
      <w:r w:rsidRPr="00426B6E">
        <w:rPr>
          <w:rFonts w:ascii="Times New Roman" w:eastAsia="Times New Roman" w:hAnsi="Times New Roman" w:cs="Times New Roman"/>
          <w:kern w:val="0"/>
          <w:lang w:val="en-US" w:eastAsia="es-MX"/>
          <w14:ligatures w14:val="none"/>
        </w:rPr>
        <w:t>. International relations scholarship assumes recognized states access resources that enable governance, while security studies emphasizes external military support. Somalia Federal enjoys both advantages yet performs worse than unrecognized, unsupported Somaliland. EPT explains this anomaly: rigid institutions cannot adapt regardless of resource endowments.</w:t>
      </w:r>
    </w:p>
    <w:p w14:paraId="0FECB2FF"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findings have policy implications for post-conflict state-building. International actors prioritize speed in constitutional processes, often brokering elite pacts to establish transitional governments quickly. Somalia's experience suggests this approach generates illegitimate institutions with high lock-in. Somaliland's decade-long bottom-up process (1991-2001) produced flexible institutions despite appearing inefficient. Rigid power-sharing formulas like the 4.5 clan quota cannot adapt to changing circumstances, while Somaliland's hybrid system—integrating customary Guurti (clan elders) with formal courts—enables evolution. Most provocatively, the case suggests international recognition may be overrated: institutional design matters more than diplomatic status.</w:t>
      </w:r>
    </w:p>
    <w:p w14:paraId="069B99A9"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paper proceeds as follows. Section 2 reviews theories of post-conflict governance, identifying gaps that EPT addresses. Section 3 presents Extended Phenotype Theory, derives the Constitutional Lock-In Index, and states testable hypotheses. Section 4 describes the natural experiment research design and CLI measurement methodology. Section 5 presents empirical findings, including correlational analysis and historical process tracing. Section 6 addresses alternative explanations, controls for confounds, and conducts robustness checks. Section 7 discusses theoretical implications and policy lessons. Section 8 concludes.</w:t>
      </w:r>
    </w:p>
    <w:p w14:paraId="0B5024DE"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eastAsia="es-MX"/>
          <w14:ligatures w14:val="none"/>
        </w:rPr>
      </w:pPr>
      <w:r w:rsidRPr="00C06EE1">
        <w:rPr>
          <w:rFonts w:ascii="Times New Roman" w:eastAsia="Times New Roman" w:hAnsi="Times New Roman" w:cs="Times New Roman"/>
          <w:kern w:val="0"/>
          <w:lang w:val="en-US" w:eastAsia="es-MX"/>
          <w14:ligatures w14:val="none"/>
        </w:rPr>
        <w:t xml:space="preserve">Perfecto, Adrian. </w:t>
      </w:r>
      <w:r w:rsidRPr="00C06EE1">
        <w:rPr>
          <w:rFonts w:ascii="Times New Roman" w:eastAsia="Times New Roman" w:hAnsi="Times New Roman" w:cs="Times New Roman"/>
          <w:kern w:val="0"/>
          <w:lang w:eastAsia="es-MX"/>
          <w14:ligatures w14:val="none"/>
        </w:rPr>
        <w:t xml:space="preserve">Genspark hizo excelente trabajo con 70 sources. Ahora integro esto en </w:t>
      </w:r>
      <w:r w:rsidRPr="00C06EE1">
        <w:rPr>
          <w:rFonts w:ascii="Times New Roman" w:eastAsia="Times New Roman" w:hAnsi="Times New Roman" w:cs="Times New Roman"/>
          <w:b/>
          <w:bCs/>
          <w:kern w:val="0"/>
          <w:lang w:eastAsia="es-MX"/>
          <w14:ligatures w14:val="none"/>
        </w:rPr>
        <w:t>Section 2 (Literature Review)</w:t>
      </w:r>
      <w:r w:rsidRPr="00C06EE1">
        <w:rPr>
          <w:rFonts w:ascii="Times New Roman" w:eastAsia="Times New Roman" w:hAnsi="Times New Roman" w:cs="Times New Roman"/>
          <w:kern w:val="0"/>
          <w:lang w:eastAsia="es-MX"/>
          <w14:ligatures w14:val="none"/>
        </w:rPr>
        <w:t xml:space="preserve"> que va entre la Intro y Theory. Target: 1,200 palabras, focus en gaps que EPT llena.</w:t>
      </w:r>
    </w:p>
    <w:p w14:paraId="1CA30921" w14:textId="77777777" w:rsidR="00C06EE1" w:rsidRPr="00C06EE1" w:rsidRDefault="004352F2" w:rsidP="00C06EE1">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lastRenderedPageBreak/>
        <w:pict w14:anchorId="737031F6">
          <v:rect id="_x0000_i1034" alt="" style="width:441.9pt;height:.05pt;mso-width-percent:0;mso-height-percent:0;mso-width-percent:0;mso-height-percent:0" o:hralign="center" o:hrstd="t" o:hr="t" fillcolor="#a0a0a0" stroked="f"/>
        </w:pict>
      </w:r>
    </w:p>
    <w:p w14:paraId="35A1FE79" w14:textId="77777777" w:rsidR="00C06EE1" w:rsidRPr="00C06EE1" w:rsidRDefault="00C06EE1" w:rsidP="00C06EE1">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C06EE1">
        <w:rPr>
          <w:rFonts w:ascii="Times New Roman" w:eastAsia="Times New Roman" w:hAnsi="Times New Roman" w:cs="Times New Roman"/>
          <w:b/>
          <w:bCs/>
          <w:kern w:val="0"/>
          <w:sz w:val="36"/>
          <w:szCs w:val="36"/>
          <w:lang w:val="en-US" w:eastAsia="es-MX"/>
          <w14:ligatures w14:val="none"/>
        </w:rPr>
        <w:t>SECTION 2: LITERATURE REVIEW AND THEORETICAL GAPS</w:t>
      </w:r>
    </w:p>
    <w:p w14:paraId="22AC2660"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Post-conflict constitutional design scholarship identifies multiple pathways to institutional stability, but struggles to explain why seemingly similar approaches produce divergent outcomes. This section reviews three literatures—institutional engineering, natural experiments, and clan-based governance—identifying gaps that Extended Phenotype Theory addresses.</w:t>
      </w:r>
    </w:p>
    <w:p w14:paraId="4148F01D" w14:textId="77777777" w:rsidR="00C06EE1" w:rsidRPr="00C06EE1" w:rsidRDefault="00C06EE1" w:rsidP="00C06E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C06EE1">
        <w:rPr>
          <w:rFonts w:ascii="Times New Roman" w:eastAsia="Times New Roman" w:hAnsi="Times New Roman" w:cs="Times New Roman"/>
          <w:b/>
          <w:bCs/>
          <w:kern w:val="0"/>
          <w:sz w:val="27"/>
          <w:szCs w:val="27"/>
          <w:lang w:val="en-US" w:eastAsia="es-MX"/>
          <w14:ligatures w14:val="none"/>
        </w:rPr>
        <w:t>2.1 Post-Conflict Institutional Design: The Rigidity Paradox</w:t>
      </w:r>
    </w:p>
    <w:p w14:paraId="26306E11"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Constitutional engineering literature emphasizes power-sharing arrangements as solutions to ethnic conflict. Lijphart's (1977) consociationalism proposes four principles: grand coalitions, proportional representation, mutual veto, and segmental autonomy. Horowitz (1985) counters with centripetal institutions that incentivize cross-ethnic cooperation rather than entrenching divisions. Hartzell and Hoddie (2003) find that more dimensions of power-sharing—political, territorial, military, economic—increase peace duration after civil war. Somalia's 4.5 clan formula appears to follow these prescriptions: it guarantees representation for four major clans (Hawiye, Darod, Dir, Rahanweyne) plus minority groups, establishing proportional allocation with implicit mutual veto.</w:t>
      </w:r>
    </w:p>
    <w:p w14:paraId="2AFB3A60"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Yet power-sharing's empirical record is mixed. Roeder and Rothchild (2005) distinguish power-dividing (federalism, institutional checks) from power-sharing (coalition governments), finding the former more durable. Tull and Mehler (2005) document power-sharing's "hidden costs" in Africa: patronage networks, accountability deficits, and perpetual instability. McCulloch (2014) argues ethnic diversity level determines which approach works—centripetal for moderate diversity, consociational for deep divisions. This contingent effectiveness leaves Somalia's failure unexplained; the 4.5 formula matches Lijphart's design principles for a four-clan society, yet produces persistent dysfunction.</w:t>
      </w:r>
    </w:p>
    <w:p w14:paraId="02FB3132"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The rigidity paradox compounds this puzzle. Elkins, Ginsburg, and Melton (2009) find that flexible amendment rules increase constitutional endurance; rigid constitutions face higher replacement rates. Their data spans 1789-2005 across 935 constitutions, revealing a U-shaped relationship between entrenchment and survival. Minimal entrenchment allows easy manipulation; extreme entrenchment provokes revolution. Moderate flexibility maximizes longevity. Somalia Federal's 2012 Provisional Constitution has remained unfinal for 13 years, neither amended nor replaced—occupying a limbo state outside Elkins et al.'s framework. Somaliland's 2001 constitution shows moderate entrenchment (two-thirds thresholds) but persists without formal amendment through informal adaptation.</w:t>
      </w:r>
    </w:p>
    <w:p w14:paraId="799B071A"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 xml:space="preserve">Existing scholarship cannot explain why Somalia's power-sharing formula ossifies while Somaliland's hybrid system adapts. Ginsburg and Huq (2016) emphasize enforcement over text—informal institutions matter as much as constitutional provisions—but provide no </w:t>
      </w:r>
      <w:r w:rsidRPr="00C06EE1">
        <w:rPr>
          <w:rFonts w:ascii="Times New Roman" w:eastAsia="Times New Roman" w:hAnsi="Times New Roman" w:cs="Times New Roman"/>
          <w:kern w:val="0"/>
          <w:lang w:val="en-US" w:eastAsia="es-MX"/>
          <w14:ligatures w14:val="none"/>
        </w:rPr>
        <w:lastRenderedPageBreak/>
        <w:t>framework for measuring adaptation capacity. Samuels (2006) identifies timing as critical: constitution-making too early risks instability, too late allows alternative power structures to consolidate. Somalia's 12-year transitional period (2000-2012) appears "too late" by this standard, yet Somaliland's 10-year process (1991-2001) succeeded despite similar duration. Process matters, but existing theories specify neither mechanism nor measurement.</w:t>
      </w:r>
    </w:p>
    <w:p w14:paraId="4B6C7CA3" w14:textId="77777777" w:rsidR="00C06EE1" w:rsidRPr="00C06EE1" w:rsidRDefault="00C06EE1" w:rsidP="00C06E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C06EE1">
        <w:rPr>
          <w:rFonts w:ascii="Times New Roman" w:eastAsia="Times New Roman" w:hAnsi="Times New Roman" w:cs="Times New Roman"/>
          <w:b/>
          <w:bCs/>
          <w:kern w:val="0"/>
          <w:sz w:val="27"/>
          <w:szCs w:val="27"/>
          <w:lang w:val="en-US" w:eastAsia="es-MX"/>
          <w14:ligatures w14:val="none"/>
        </w:rPr>
        <w:t>2.2 Natural Experiments and Causal Inference</w:t>
      </w:r>
    </w:p>
    <w:p w14:paraId="1BF6644A"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Dunning (2012) establishes design-based causal inference standards for natural experiments: treatment assignment must approximate randomness, comparing units must share baseline characteristics, and divergence must follow an identifiable shock. Somalia and Somaliland meet these criteria. They shared 31 years of unified governance (1960-1991) under identical constitutions (1961, 1979), the same authoritarian regime (Siad Barre 1969-1991), and equivalent economic systems (scientific socialism, Soviet then US alignment). The 1991 regime collapse—exogenous to both regions—triggered divergent institutional responses. This approximates Miguel's (2004) Kenya-Tanzania border analysis and Posner's (2004) Zambia-Malawi ethnic salience study, both of which exploit colonial boundaries to identify institutional effects.</w:t>
      </w:r>
    </w:p>
    <w:p w14:paraId="56723403"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Path dependence theory explains how initial choices create self-reinforcing sequences. Pierson (2000) identifies increasing returns as the mechanism: early institutional investments raise switching costs over time. Mahoney (2000) distinguishes self-reinforcing sequences (persistence) from reactive sequences (change). Somalia's 4.5 formula exemplifies self-reinforcement—clan elites accumulate parliamentary seats, ministerial positions, and patronage networks that entrench the quota system. Somaliland's Guurti shows reactive adaptation—clan elder authority adjusts to electoral pressures and judicial constraints. Yet path dependence literature lacks quantitative measures of institutional rigidity; it describes mechanisms post hoc rather than predicting outcomes ex ante.</w:t>
      </w:r>
    </w:p>
    <w:p w14:paraId="76423BB7"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Collier and Collier's (1991) critical junctures framework applied to Latin American labor incorporation (1930s-1940s) demonstrates that institutional choices at formative moments shape regime trajectories for decades. The 1991-2001 decade represents Somalia and Somaliland's critical juncture. Somaliland's Burao (1991) and Borama (1993) conferences—500+ clan elders deliberating four months—built bottom-up legitimacy. Somalia's Arta (2000) and Mbagathi (2004) conferences—warlords negotiating in Djibouti and Kenya—imposed top-down elite pacts. This process difference appears consequential, but existing literature provides no framework for quantifying how formative processes translate into long-term rigidity.</w:t>
      </w:r>
    </w:p>
    <w:p w14:paraId="65F9D982" w14:textId="77777777" w:rsidR="00C06EE1" w:rsidRPr="00C06EE1" w:rsidRDefault="00C06EE1" w:rsidP="00C06E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C06EE1">
        <w:rPr>
          <w:rFonts w:ascii="Times New Roman" w:eastAsia="Times New Roman" w:hAnsi="Times New Roman" w:cs="Times New Roman"/>
          <w:b/>
          <w:bCs/>
          <w:kern w:val="0"/>
          <w:sz w:val="27"/>
          <w:szCs w:val="27"/>
          <w:lang w:val="en-US" w:eastAsia="es-MX"/>
          <w14:ligatures w14:val="none"/>
        </w:rPr>
        <w:t>2.3 Clan-Based Governance: Somalia and Somaliland Specificities</w:t>
      </w:r>
    </w:p>
    <w:p w14:paraId="3D1A3DFF"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 xml:space="preserve">Horn of Africa scholarship documents clan systems' complexity. Lewis (1961, 1994) established the canonical typology: pastoral clans (Darod, Hawiye, Dir) trace patrilineal descent, while agricultural clans (Rahanweyne) show more fluid boundaries. Bradbury (2008) analyzes Somaliland's state-building as a decade-long negotiation between SNM liberation movement and traditional clan authorities, culminating in the 2001 constitution. </w:t>
      </w:r>
      <w:r w:rsidRPr="00C06EE1">
        <w:rPr>
          <w:rFonts w:ascii="Times New Roman" w:eastAsia="Times New Roman" w:hAnsi="Times New Roman" w:cs="Times New Roman"/>
          <w:kern w:val="0"/>
          <w:lang w:val="en-US" w:eastAsia="es-MX"/>
          <w14:ligatures w14:val="none"/>
        </w:rPr>
        <w:lastRenderedPageBreak/>
        <w:t>The Guurti (House of Elders) institutionalizes xeer (customary law) alongside formal courts, creating legal pluralism. Renders and Terlinden (2010) call this "hybrid political orders"—neither purely traditional nor fully modern.</w:t>
      </w:r>
    </w:p>
    <w:p w14:paraId="32C93D73"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Somalia Federal's 4.5 formula originated at the 2000 Arta Conference as a temporary arrangement to end warlordism. International Crisis Group (2003, 2015) traces its evolution: initially intended for the Transitional National Government (2000-2004), extended to the Transitional Federal Government (2004-2012), then embedded in the 2012 Provisional Constitution. ICG (2015) documents how the formula perpetuates zero-sum clan competition—any change in parliamentary allocation threatens existing clan shares, creating veto dynamics. The formula persists not because it works but because no clan will accept reduced representation.</w:t>
      </w:r>
    </w:p>
    <w:p w14:paraId="6D472823"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Hoehne (2009, 2013) provides the most detailed Somaliland institutional analysis, documenting the Guurti's evolution from traditional conflict mediators to constitutional actors. The 2023 Supreme Court ruling that the National Electoral Commission has authority to set election dates demonstrates judicial constraints on executive power. Hoehne notes that Somaliland's institutions function despite lacking international recognition—the "recognition penalty" reduces access to IMF, World Bank, and UN programs without preventing effective governance. Pegg and Kolstø (2015) theorize unrecognized states as "patron-seeking" entities dependent on external sponsors. Somaliland defies this model, maintaining governance capacity through domestic revenue (Berbera port, taxes, remittances) rather than external patrons.</w:t>
      </w:r>
    </w:p>
    <w:p w14:paraId="5DDBABDE"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Menkhaus (2006, 2014) argues Somalia Federal suffers from "durable disorder"—violence is not random but structured by clan-based political economies. Al-Shabaab insurgency exploits clan grievances, particularly marginalization under the 4.5 formula. Menkhaus identifies the formula as a governance obstacle rather than solution, but proposes no alternative. Bryden (2013) documents AMISOM peacekeeping's paradox: 22,000 troops suppress violence without enabling state capacity. After 18 years (AMISOM 2007-2022, ATMIS 2022-2025), Somalia Federal lacks autonomous security forces—external military creates dependency, not sovereignty.</w:t>
      </w:r>
    </w:p>
    <w:p w14:paraId="4F5D45BB" w14:textId="77777777" w:rsidR="00C06EE1" w:rsidRPr="00C06EE1" w:rsidRDefault="00C06EE1" w:rsidP="00C06EE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C06EE1">
        <w:rPr>
          <w:rFonts w:ascii="Times New Roman" w:eastAsia="Times New Roman" w:hAnsi="Times New Roman" w:cs="Times New Roman"/>
          <w:b/>
          <w:bCs/>
          <w:kern w:val="0"/>
          <w:sz w:val="27"/>
          <w:szCs w:val="27"/>
          <w:lang w:val="en-US" w:eastAsia="es-MX"/>
          <w14:ligatures w14:val="none"/>
        </w:rPr>
        <w:t>2.4 Theoretical Gaps and EPT's Contribution</w:t>
      </w:r>
    </w:p>
    <w:p w14:paraId="4848E7DB"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Four gaps emerge from this literature:</w:t>
      </w:r>
    </w:p>
    <w:p w14:paraId="2FF39CFE"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b/>
          <w:bCs/>
          <w:kern w:val="0"/>
          <w:lang w:val="en-US" w:eastAsia="es-MX"/>
          <w14:ligatures w14:val="none"/>
        </w:rPr>
        <w:t>Gap 1: No Unified Theory of Institutional Rigidity</w:t>
      </w:r>
      <w:r w:rsidRPr="00C06EE1">
        <w:rPr>
          <w:rFonts w:ascii="Times New Roman" w:eastAsia="Times New Roman" w:hAnsi="Times New Roman" w:cs="Times New Roman"/>
          <w:kern w:val="0"/>
          <w:lang w:val="en-US" w:eastAsia="es-MX"/>
          <w14:ligatures w14:val="none"/>
        </w:rPr>
        <w:t>. Constitutional design scholarship identifies entrenchment mechanisms (Elkins et al. 2009), path dependence literature describes persistence (Pierson 2000, Mahoney 2000), but no framework integrates these insights into quantifiable predictions. Somalia's 4.5 formula persists 25 years despite clear dysfunction, while Somaliland's Guurti adapts—existing theories cannot predict this divergence ex ante.</w:t>
      </w:r>
    </w:p>
    <w:p w14:paraId="2FDA8D59"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b/>
          <w:bCs/>
          <w:kern w:val="0"/>
          <w:lang w:val="en-US" w:eastAsia="es-MX"/>
          <w14:ligatures w14:val="none"/>
        </w:rPr>
        <w:t>Gap 2: Process Versus Outcome Disconnect</w:t>
      </w:r>
      <w:r w:rsidRPr="00C06EE1">
        <w:rPr>
          <w:rFonts w:ascii="Times New Roman" w:eastAsia="Times New Roman" w:hAnsi="Times New Roman" w:cs="Times New Roman"/>
          <w:kern w:val="0"/>
          <w:lang w:val="en-US" w:eastAsia="es-MX"/>
          <w14:ligatures w14:val="none"/>
        </w:rPr>
        <w:t xml:space="preserve">. Widner (2008) and Samuels (2006) note that participatory processes increase legitimacy but slow constitution-making. Somaliland </w:t>
      </w:r>
      <w:r w:rsidRPr="00C06EE1">
        <w:rPr>
          <w:rFonts w:ascii="Times New Roman" w:eastAsia="Times New Roman" w:hAnsi="Times New Roman" w:cs="Times New Roman"/>
          <w:kern w:val="0"/>
          <w:lang w:val="en-US" w:eastAsia="es-MX"/>
          <w14:ligatures w14:val="none"/>
        </w:rPr>
        <w:lastRenderedPageBreak/>
        <w:t>took 10 years (1991-2001), Somalia 12 years (2000-2012)—similar durations, opposite outcomes. Bottom-up versus top-down processes appear consequential, but no theory specifies how formative legitimacy translates into long-term flexibility.</w:t>
      </w:r>
    </w:p>
    <w:p w14:paraId="6E6D5756"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b/>
          <w:bCs/>
          <w:kern w:val="0"/>
          <w:lang w:val="en-US" w:eastAsia="es-MX"/>
          <w14:ligatures w14:val="none"/>
        </w:rPr>
        <w:t>Gap 3: Power-Sharing Paradox</w:t>
      </w:r>
      <w:r w:rsidRPr="00C06EE1">
        <w:rPr>
          <w:rFonts w:ascii="Times New Roman" w:eastAsia="Times New Roman" w:hAnsi="Times New Roman" w:cs="Times New Roman"/>
          <w:kern w:val="0"/>
          <w:lang w:val="en-US" w:eastAsia="es-MX"/>
          <w14:ligatures w14:val="none"/>
        </w:rPr>
        <w:t>. Hartzell and Hoddie (2003) find power-sharing increases peace duration, yet Tull and Mehler (2005) document its hidden costs in Africa. Somalia's 4.5 formula follows consociational principles but produces instability. Roeder and Rothchild (2005) distinguish power-dividing from power-sharing, but Somalia combines both (federal structure plus clan quotas) without benefit. Institutional form alone cannot explain outcomes.</w:t>
      </w:r>
    </w:p>
    <w:p w14:paraId="73BC6D6F"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b/>
          <w:bCs/>
          <w:kern w:val="0"/>
          <w:lang w:val="en-US" w:eastAsia="es-MX"/>
          <w14:ligatures w14:val="none"/>
        </w:rPr>
        <w:t>Gap 4: Recognition Irrelevance</w:t>
      </w:r>
      <w:r w:rsidRPr="00C06EE1">
        <w:rPr>
          <w:rFonts w:ascii="Times New Roman" w:eastAsia="Times New Roman" w:hAnsi="Times New Roman" w:cs="Times New Roman"/>
          <w:kern w:val="0"/>
          <w:lang w:val="en-US" w:eastAsia="es-MX"/>
          <w14:ligatures w14:val="none"/>
        </w:rPr>
        <w:t>. International relations theory (Jackson &amp; Rosberg 1982, Clapham 1996) assumes juridical statehood enables resource mobilization. Somalia Federal has UN membership, $1.5 billion annual aid, and ATMIS peacekeeping; Somaliland has none of these. Yet Somaliland scores six times higher in democracy and 78 times lower in violence. Existing scholarship cannot explain this reversed relationship.</w:t>
      </w:r>
    </w:p>
    <w:p w14:paraId="1EBF2A72"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 xml:space="preserve">Extended Phenotype Theory fills these gaps through the Constitutional Lock-In Index (CLI). CLI integrates constitutional entrenchment (CE), ultraactivity (UA), and judicial protection intensity (JPI) into a single metric predicting institutional rigidity. The framework explains </w:t>
      </w:r>
      <w:r w:rsidRPr="00C06EE1">
        <w:rPr>
          <w:rFonts w:ascii="Times New Roman" w:eastAsia="Times New Roman" w:hAnsi="Times New Roman" w:cs="Times New Roman"/>
          <w:b/>
          <w:bCs/>
          <w:kern w:val="0"/>
          <w:lang w:val="en-US" w:eastAsia="es-MX"/>
          <w14:ligatures w14:val="none"/>
        </w:rPr>
        <w:t>how</w:t>
      </w:r>
      <w:r w:rsidRPr="00C06EE1">
        <w:rPr>
          <w:rFonts w:ascii="Times New Roman" w:eastAsia="Times New Roman" w:hAnsi="Times New Roman" w:cs="Times New Roman"/>
          <w:kern w:val="0"/>
          <w:lang w:val="en-US" w:eastAsia="es-MX"/>
          <w14:ligatures w14:val="none"/>
        </w:rPr>
        <w:t xml:space="preserve"> formative processes (bottom-up versus top-down) generate </w:t>
      </w:r>
      <w:r w:rsidRPr="00C06EE1">
        <w:rPr>
          <w:rFonts w:ascii="Times New Roman" w:eastAsia="Times New Roman" w:hAnsi="Times New Roman" w:cs="Times New Roman"/>
          <w:b/>
          <w:bCs/>
          <w:kern w:val="0"/>
          <w:lang w:val="en-US" w:eastAsia="es-MX"/>
          <w14:ligatures w14:val="none"/>
        </w:rPr>
        <w:t>different entrenchment levels</w:t>
      </w:r>
      <w:r w:rsidRPr="00C06EE1">
        <w:rPr>
          <w:rFonts w:ascii="Times New Roman" w:eastAsia="Times New Roman" w:hAnsi="Times New Roman" w:cs="Times New Roman"/>
          <w:kern w:val="0"/>
          <w:lang w:val="en-US" w:eastAsia="es-MX"/>
          <w14:ligatures w14:val="none"/>
        </w:rPr>
        <w:t xml:space="preserve">, which in turn determine </w:t>
      </w:r>
      <w:r w:rsidRPr="00C06EE1">
        <w:rPr>
          <w:rFonts w:ascii="Times New Roman" w:eastAsia="Times New Roman" w:hAnsi="Times New Roman" w:cs="Times New Roman"/>
          <w:b/>
          <w:bCs/>
          <w:kern w:val="0"/>
          <w:lang w:val="en-US" w:eastAsia="es-MX"/>
          <w14:ligatures w14:val="none"/>
        </w:rPr>
        <w:t>adaptation capacity</w:t>
      </w:r>
      <w:r w:rsidRPr="00C06EE1">
        <w:rPr>
          <w:rFonts w:ascii="Times New Roman" w:eastAsia="Times New Roman" w:hAnsi="Times New Roman" w:cs="Times New Roman"/>
          <w:kern w:val="0"/>
          <w:lang w:val="en-US" w:eastAsia="es-MX"/>
          <w14:ligatures w14:val="none"/>
        </w:rPr>
        <w:t xml:space="preserve"> regardless of international recognition or resource endowments. Section 3 formalizes this theory; Section 5 tests it empirically.</w:t>
      </w:r>
    </w:p>
    <w:p w14:paraId="26CC1947" w14:textId="77777777" w:rsidR="00C06EE1" w:rsidRPr="00C06EE1" w:rsidRDefault="00C06EE1" w:rsidP="00C06EE1">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C06EE1">
        <w:rPr>
          <w:rFonts w:ascii="Times New Roman" w:eastAsia="Times New Roman" w:hAnsi="Times New Roman" w:cs="Times New Roman"/>
          <w:kern w:val="0"/>
          <w:lang w:val="en-US" w:eastAsia="es-MX"/>
          <w14:ligatures w14:val="none"/>
        </w:rPr>
        <w:t>The Somalia-Somaliland natural experiment allows EPT validation beyond Latin America. Prior CLI applications focused on Argentina (rent control ultraactivity, labor law lock-in), Brazil (constitutional amendment rates), and Chile (pension reform rigidity). Horn of Africa cases test whether EPT travels to non-WEIRD contexts with clan-based governance, customary law integration, and post-conflict state-building. If CLI predicts outcomes in this maximally different setting, the framework demonstrates portability—a critical test for any evolutionary theory of institutions.</w:t>
      </w:r>
    </w:p>
    <w:p w14:paraId="1A62A4A4" w14:textId="062D246A" w:rsidR="00426B6E" w:rsidRPr="00426B6E" w:rsidRDefault="00426B6E" w:rsidP="00426B6E">
      <w:pPr>
        <w:spacing w:after="0" w:line="240" w:lineRule="auto"/>
        <w:rPr>
          <w:rFonts w:ascii="Times New Roman" w:eastAsia="Times New Roman" w:hAnsi="Times New Roman" w:cs="Times New Roman"/>
          <w:kern w:val="0"/>
          <w:lang w:val="en-US" w:eastAsia="es-MX"/>
          <w14:ligatures w14:val="none"/>
        </w:rPr>
      </w:pPr>
    </w:p>
    <w:p w14:paraId="5552DC8D" w14:textId="77777777" w:rsidR="00426B6E" w:rsidRPr="00426B6E" w:rsidRDefault="00426B6E" w:rsidP="00426B6E">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426B6E">
        <w:rPr>
          <w:rFonts w:ascii="Times New Roman" w:eastAsia="Times New Roman" w:hAnsi="Times New Roman" w:cs="Times New Roman"/>
          <w:b/>
          <w:bCs/>
          <w:kern w:val="0"/>
          <w:sz w:val="36"/>
          <w:szCs w:val="36"/>
          <w:lang w:val="en-US" w:eastAsia="es-MX"/>
          <w14:ligatures w14:val="none"/>
        </w:rPr>
        <w:t>SECTION 3: THEORY AND HYPOTHESES</w:t>
      </w:r>
    </w:p>
    <w:p w14:paraId="66E3F72B" w14:textId="77777777" w:rsidR="00426B6E" w:rsidRPr="00426B6E" w:rsidRDefault="00426B6E" w:rsidP="00426B6E">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426B6E">
        <w:rPr>
          <w:rFonts w:ascii="Times New Roman" w:eastAsia="Times New Roman" w:hAnsi="Times New Roman" w:cs="Times New Roman"/>
          <w:b/>
          <w:bCs/>
          <w:kern w:val="0"/>
          <w:sz w:val="27"/>
          <w:szCs w:val="27"/>
          <w:lang w:val="en-US" w:eastAsia="es-MX"/>
          <w14:ligatures w14:val="none"/>
        </w:rPr>
        <w:t>3.1 Extended Phenotype Theory Applied to Institutions</w:t>
      </w:r>
    </w:p>
    <w:p w14:paraId="528E26AE"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Extended Phenotype Theory originates in evolutionary biology. Richard Dawkins (1982) argued that genes construct "extended phenotypes"—structures beyond an organism's body that enhance replication fitness. Beaver dams, bird nests, and spider webs are extended phenotypes: they exist in the environment but serve gene propagation. The phenotype extends into the world, shaping selection pressures that favor the underlying replicators.</w:t>
      </w:r>
    </w:p>
    <w:p w14:paraId="326EB6EE"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lastRenderedPageBreak/>
        <w:t>We apply this framework to legal institutions, treating them as cultural replicators (memes) rather than biological genes. Legal institutions are not rationally designed to maximize social welfare, nor do they emerge from moral discovery. Instead, they evolve through variation, selection, and retention—the core mechanisms of Darwinian evolution. Institutional fitness depends on replication success, not functional optimality. Maladaptive institutions persist if they resist modification, regardless of their effects on social welfare.</w:t>
      </w:r>
    </w:p>
    <w:p w14:paraId="5C6C9A82"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This approach differs from traditional legal theory in several respects. Natural law theory assumes legal norms reflect universal moral truths discovered through reason. Legal positivism treats law as socially constructed commands backed by sovereign authority. Both frameworks struggle to explain institutional persistence when norms are demonstrably dysfunctional and elites have incentives to reform. EPT resolves this puzzle: institutions construct enforcement machinery (courts, bureaucracies, professional communities, educational systems) that ensures their reproduction independent of welfare effects. These structures are the extended phenotypes of legal memes. A rigid clan quota (4.5 formula) persists not because it serves Somalia's interests, but because it has constructed a political class whose careers depend on maintaining clan-based parliamentary allocations.</w:t>
      </w:r>
    </w:p>
    <w:p w14:paraId="4D70431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Four propositions formalize EPT's core claims:</w:t>
      </w:r>
    </w:p>
    <w:p w14:paraId="66CACFB3"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P1 (Memetic Replication)</w:t>
      </w:r>
      <w:r w:rsidRPr="00426B6E">
        <w:rPr>
          <w:rFonts w:ascii="Times New Roman" w:eastAsia="Times New Roman" w:hAnsi="Times New Roman" w:cs="Times New Roman"/>
          <w:kern w:val="0"/>
          <w:lang w:val="en-US" w:eastAsia="es-MX"/>
          <w14:ligatures w14:val="none"/>
        </w:rPr>
        <w:t>: Legal institutions are cultural replicators that evolve through variation, selection, and retention. Constitutional provisions, statutory rules, and judicial doctrines spread through social learning and institutional imitation, not rational optimization.</w:t>
      </w:r>
    </w:p>
    <w:p w14:paraId="0D8EFA05"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P2 (Extended Phenotype)</w:t>
      </w:r>
      <w:r w:rsidRPr="00426B6E">
        <w:rPr>
          <w:rFonts w:ascii="Times New Roman" w:eastAsia="Times New Roman" w:hAnsi="Times New Roman" w:cs="Times New Roman"/>
          <w:kern w:val="0"/>
          <w:lang w:val="en-US" w:eastAsia="es-MX"/>
          <w14:ligatures w14:val="none"/>
        </w:rPr>
        <w:t>: Institutions construct enforcement machinery—courts, agencies, professional guilds, compliance systems—that ensures their reproduction. This machinery operates semi-autonomously, resisting modification even when elites recognize dysfunction.</w:t>
      </w:r>
    </w:p>
    <w:p w14:paraId="411A4C30"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P3 (Fitness ≠ Function)</w:t>
      </w:r>
      <w:r w:rsidRPr="00426B6E">
        <w:rPr>
          <w:rFonts w:ascii="Times New Roman" w:eastAsia="Times New Roman" w:hAnsi="Times New Roman" w:cs="Times New Roman"/>
          <w:kern w:val="0"/>
          <w:lang w:val="en-US" w:eastAsia="es-MX"/>
          <w14:ligatures w14:val="none"/>
        </w:rPr>
        <w:t>: Institutional survival depends on replication fitness, not social utility. Arrangements that entrench themselves through high amendment thresholds, perpetual renewal clauses, and judicial protection persist regardless of governance outcomes.</w:t>
      </w:r>
    </w:p>
    <w:p w14:paraId="28E99406"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P4 (Constitutional Lock-In)</w:t>
      </w:r>
      <w:r w:rsidRPr="00426B6E">
        <w:rPr>
          <w:rFonts w:ascii="Times New Roman" w:eastAsia="Times New Roman" w:hAnsi="Times New Roman" w:cs="Times New Roman"/>
          <w:kern w:val="0"/>
          <w:lang w:val="en-US" w:eastAsia="es-MX"/>
          <w14:ligatures w14:val="none"/>
        </w:rPr>
        <w:t>: Institutional rigidity emerges from three mechanisms: (a) constitutional entrenchment (formal amendment difficulty), (b) ultraactivity (temporal persistence beyond expiration dates), and (c) judicial protection intensity (courts enforcing entrenchment). These mechanisms interact to create path dependence.</w:t>
      </w:r>
    </w:p>
    <w:p w14:paraId="23E061B4"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Constitutional Lock-In Index (CLI) operationalizes P4 by measuring institutional rigidity across three dimensions:</w:t>
      </w:r>
    </w:p>
    <w:p w14:paraId="721100B7"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CLI = 0.35 × CE + 0.40 × UA + 0.25 × JPI</w:t>
      </w:r>
    </w:p>
    <w:p w14:paraId="115573E1"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Where:</w:t>
      </w:r>
    </w:p>
    <w:p w14:paraId="164B3AE9"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lastRenderedPageBreak/>
        <w:t>CE (Constitutional Entrenchment)</w:t>
      </w:r>
      <w:r w:rsidRPr="00426B6E">
        <w:rPr>
          <w:rFonts w:ascii="Times New Roman" w:eastAsia="Times New Roman" w:hAnsi="Times New Roman" w:cs="Times New Roman"/>
          <w:kern w:val="0"/>
          <w:lang w:val="en-US" w:eastAsia="es-MX"/>
          <w14:ligatures w14:val="none"/>
        </w:rPr>
        <w:t>: Formal difficulty of amending constitutional provisions. Measured through: (a) vote thresholds (simple majority = 0.0, supermajorities = 0.5-0.8, referendum requirements = 1.0), (b) eternity clauses protecting specific provisions from amendment (+0.2), (c) multiple chamber requirements (+0.1-0.2). Range: 0.0 (easy amendment) to 1.0 (virtually impossible).</w:t>
      </w:r>
    </w:p>
    <w:p w14:paraId="5F1FAAA6"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UA (Ultraactivity)</w:t>
      </w:r>
      <w:r w:rsidRPr="00426B6E">
        <w:rPr>
          <w:rFonts w:ascii="Times New Roman" w:eastAsia="Times New Roman" w:hAnsi="Times New Roman" w:cs="Times New Roman"/>
          <w:kern w:val="0"/>
          <w:lang w:val="en-US" w:eastAsia="es-MX"/>
          <w14:ligatures w14:val="none"/>
        </w:rPr>
        <w:t>: Temporal persistence of political arrangements beyond their specified expiration dates. Measured through: (a) presidential/prime ministerial term extensions (TE), (b) legislative election postponements beyond scheduled dates (PP), (c) power-sharing formulas operating beyond original duration (FP). Formula: UA = (TE + PP + FP) / 3. Range: 0.0 (all arrangements expire on schedule) to 1.0 (all arrangements persist indefinitely).</w:t>
      </w:r>
    </w:p>
    <w:p w14:paraId="5CE2905F"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JPI (Judicial Protection Intensity)</w:t>
      </w:r>
      <w:r w:rsidRPr="00426B6E">
        <w:rPr>
          <w:rFonts w:ascii="Times New Roman" w:eastAsia="Times New Roman" w:hAnsi="Times New Roman" w:cs="Times New Roman"/>
          <w:kern w:val="0"/>
          <w:lang w:val="en-US" w:eastAsia="es-MX"/>
          <w14:ligatures w14:val="none"/>
        </w:rPr>
        <w:t>: Courts' capacity and willingness to enforce constitutional constraints. Measured through: (a) constitutional court existence and operational status (0.0-0.3), (b) judicial independence (de jure and de facto, 0.0-0.4), (c) active judicial review cases enforcing constitutional limits (0.0-0.3). Range: 0.0 (no judicial protection) to 1.0 (strong enforcement).</w:t>
      </w:r>
    </w:p>
    <w:p w14:paraId="7AC98631"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Component weights (0.35, 0.40, 0.25) reflect empirical importance in prior EPT research on Latin American cases. Ultraactivity receives highest weight (0.40) because temporal persistence beyond expiration strongly predicts ossification. Constitutional entrenchment (0.35) matters but can be overcome through informal modification or revolution. Judicial protection (0.25) varies substantially in effectiveness; courts may exist on paper without functional authority.</w:t>
      </w:r>
    </w:p>
    <w:p w14:paraId="202E056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CLI scores interpret as follows:</w:t>
      </w:r>
    </w:p>
    <w:p w14:paraId="20922726" w14:textId="77777777" w:rsidR="00426B6E" w:rsidRPr="00426B6E" w:rsidRDefault="00426B6E" w:rsidP="00426B6E">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CLI &lt; 0.40</w:t>
      </w:r>
      <w:r w:rsidRPr="00426B6E">
        <w:rPr>
          <w:rFonts w:ascii="Times New Roman" w:eastAsia="Times New Roman" w:hAnsi="Times New Roman" w:cs="Times New Roman"/>
          <w:kern w:val="0"/>
          <w:lang w:val="en-US" w:eastAsia="es-MX"/>
          <w14:ligatures w14:val="none"/>
        </w:rPr>
        <w:t>: High flexibility; institutions adapt readily to changing conditions</w:t>
      </w:r>
    </w:p>
    <w:p w14:paraId="21F49168" w14:textId="77777777" w:rsidR="00426B6E" w:rsidRPr="00426B6E" w:rsidRDefault="00426B6E" w:rsidP="00426B6E">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CLI 0.40-0.60</w:t>
      </w:r>
      <w:r w:rsidRPr="00426B6E">
        <w:rPr>
          <w:rFonts w:ascii="Times New Roman" w:eastAsia="Times New Roman" w:hAnsi="Times New Roman" w:cs="Times New Roman"/>
          <w:kern w:val="0"/>
          <w:lang w:val="en-US" w:eastAsia="es-MX"/>
          <w14:ligatures w14:val="none"/>
        </w:rPr>
        <w:t>: Moderate flexibility; reform possible but requires sustained effort</w:t>
      </w:r>
    </w:p>
    <w:p w14:paraId="3E7B09E3" w14:textId="77777777" w:rsidR="00426B6E" w:rsidRPr="00426B6E" w:rsidRDefault="00426B6E" w:rsidP="00426B6E">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CLI 0.60-0.75</w:t>
      </w:r>
      <w:r w:rsidRPr="00426B6E">
        <w:rPr>
          <w:rFonts w:ascii="Times New Roman" w:eastAsia="Times New Roman" w:hAnsi="Times New Roman" w:cs="Times New Roman"/>
          <w:kern w:val="0"/>
          <w:lang w:val="en-US" w:eastAsia="es-MX"/>
          <w14:ligatures w14:val="none"/>
        </w:rPr>
        <w:t>: High rigidity; ossification likely, reform success rare (&lt;30%)</w:t>
      </w:r>
    </w:p>
    <w:p w14:paraId="113731C5" w14:textId="77777777" w:rsidR="00426B6E" w:rsidRPr="00426B6E" w:rsidRDefault="00426B6E" w:rsidP="00426B6E">
      <w:pPr>
        <w:numPr>
          <w:ilvl w:val="0"/>
          <w:numId w:val="1"/>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CLI &gt; 0.75</w:t>
      </w:r>
      <w:r w:rsidRPr="00426B6E">
        <w:rPr>
          <w:rFonts w:ascii="Times New Roman" w:eastAsia="Times New Roman" w:hAnsi="Times New Roman" w:cs="Times New Roman"/>
          <w:kern w:val="0"/>
          <w:lang w:val="en-US" w:eastAsia="es-MX"/>
          <w14:ligatures w14:val="none"/>
        </w:rPr>
        <w:t>: Extreme rigidity; institutional change nearly impossible (&lt;10% success rate)</w:t>
      </w:r>
    </w:p>
    <w:p w14:paraId="0D7D000D" w14:textId="77777777" w:rsidR="00426B6E" w:rsidRPr="00426B6E" w:rsidRDefault="00426B6E" w:rsidP="00426B6E">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426B6E">
        <w:rPr>
          <w:rFonts w:ascii="Times New Roman" w:eastAsia="Times New Roman" w:hAnsi="Times New Roman" w:cs="Times New Roman"/>
          <w:b/>
          <w:bCs/>
          <w:kern w:val="0"/>
          <w:sz w:val="27"/>
          <w:szCs w:val="27"/>
          <w:lang w:val="en-US" w:eastAsia="es-MX"/>
          <w14:ligatures w14:val="none"/>
        </w:rPr>
        <w:t>3.2 Testable Hypotheses</w:t>
      </w:r>
    </w:p>
    <w:p w14:paraId="0F77B004"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EPT generates five hypotheses testable using the Somalia-Somaliland natural experiment:</w:t>
      </w:r>
    </w:p>
    <w:p w14:paraId="7DA85341"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H1 (Main Effect)</w:t>
      </w:r>
      <w:r w:rsidRPr="00426B6E">
        <w:rPr>
          <w:rFonts w:ascii="Times New Roman" w:eastAsia="Times New Roman" w:hAnsi="Times New Roman" w:cs="Times New Roman"/>
          <w:kern w:val="0"/>
          <w:lang w:val="en-US" w:eastAsia="es-MX"/>
          <w14:ligatures w14:val="none"/>
        </w:rPr>
        <w:t>: Higher CLI predicts worse governance outcomes across multiple dimensions. Specifically, CLI scores correlate negatively with democratic quality (Freedom House), positively with conflict deaths (UCDP/ACLED), and positively with institutional persistence (unchanged arrangements).</w:t>
      </w:r>
    </w:p>
    <w:p w14:paraId="3D8EE19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 xml:space="preserve">The mechanism operates through adaptation failure. Rigid institutions cannot respond to changing circumstances. When economic shocks, demographic shifts, or external threats require policy adjustment, high-CLI systems lack flexibility. Elites face two options: </w:t>
      </w:r>
      <w:r w:rsidRPr="00426B6E">
        <w:rPr>
          <w:rFonts w:ascii="Times New Roman" w:eastAsia="Times New Roman" w:hAnsi="Times New Roman" w:cs="Times New Roman"/>
          <w:kern w:val="0"/>
          <w:lang w:val="en-US" w:eastAsia="es-MX"/>
          <w14:ligatures w14:val="none"/>
        </w:rPr>
        <w:lastRenderedPageBreak/>
        <w:t>comply with ossified rules (producing suboptimal outcomes) or violate them (eroding legitimacy). Somalia Federal's 4.5 formula exemplifies this trap. The quota system prevents meritocratic parliamentary selection and entrenches clan boundaries, but modifying it requires unanimous consent from four major clans—none willing to accept reduced representation. The result is perpetual dysfunction.</w:t>
      </w:r>
    </w:p>
    <w:p w14:paraId="2D715D29"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H2 (Democracy)</w:t>
      </w:r>
      <w:r w:rsidRPr="00426B6E">
        <w:rPr>
          <w:rFonts w:ascii="Times New Roman" w:eastAsia="Times New Roman" w:hAnsi="Times New Roman" w:cs="Times New Roman"/>
          <w:kern w:val="0"/>
          <w:lang w:val="en-US" w:eastAsia="es-MX"/>
          <w14:ligatures w14:val="none"/>
        </w:rPr>
        <w:t>: Higher CLI predicts lower democratic quality, measured by Freedom House scores (0-100 scale). Mechanism: rigid institutions entrench elite control, preventing competitive elections and power alternation. When constitutional rules cannot change through formal amendment, elites face incentives to manipulate informal processes (election postponements, term extensions) rather than accept electoral defeat. This degrades democratic quality over time.</w:t>
      </w:r>
    </w:p>
    <w:p w14:paraId="710FB8AC"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Somalia Federal illustrates the mechanism. The 4.5 formula allocates parliamentary seats by clan, not popular vote. This prevents direct elections—Somalia has not held "one person, one vote" presidential elections since 1969. Clan elders select members of parliament, who in turn elect the president. Even within this indirect system, elections are repeatedly postponed: the 2021 presidential election was delayed 16 months, with President Farmajo attempting a two-year term extension. Somaliland, with lower CLI, holds direct presidential elections despite delays; power has transferred peacefully four times (2003, 2010, 2017, 2024).</w:t>
      </w:r>
    </w:p>
    <w:p w14:paraId="032C82F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H3 (Violence)</w:t>
      </w:r>
      <w:r w:rsidRPr="00426B6E">
        <w:rPr>
          <w:rFonts w:ascii="Times New Roman" w:eastAsia="Times New Roman" w:hAnsi="Times New Roman" w:cs="Times New Roman"/>
          <w:kern w:val="0"/>
          <w:lang w:val="en-US" w:eastAsia="es-MX"/>
          <w14:ligatures w14:val="none"/>
        </w:rPr>
        <w:t>: Higher CLI predicts more conflict deaths annually. Mechanism: inflexible institutions cannot resolve disputes through negotiation or institutional modification. Grievances accumulate without release valves. Opposition groups face two options: accept permanent exclusion or resort to violence. Rigid power-sharing formulas paradoxically increase conflict by creating zero-sum competition—any clan's gain is another's loss when total shares sum to 100%.</w:t>
      </w:r>
    </w:p>
    <w:p w14:paraId="5DA90789"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Somalia Federal's violence stems partly from this dynamic. Federal member states (Jubaland, Puntland, Hirshabelle, Galmudug, South West State) conflict with the central government over resource allocation, parliamentary representation, and security sector integration. The 4.5 formula provides no mechanism for adjusting shares as regional demographics shift or new political actors emerge. Somaliland's violence is substantially lower despite clan tensions because the Guurti (House of Elders) provides informal mediation mechanisms outside formal constitutional structures.</w:t>
      </w:r>
    </w:p>
    <w:p w14:paraId="3892E964"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H4 (Persistence)</w:t>
      </w:r>
      <w:r w:rsidRPr="00426B6E">
        <w:rPr>
          <w:rFonts w:ascii="Times New Roman" w:eastAsia="Times New Roman" w:hAnsi="Times New Roman" w:cs="Times New Roman"/>
          <w:kern w:val="0"/>
          <w:lang w:val="en-US" w:eastAsia="es-MX"/>
          <w14:ligatures w14:val="none"/>
        </w:rPr>
        <w:t>: Higher CLI predicts higher institutional persistence—fewer arrangements modified over time. Mechanism: lock-in creates path dependence. Once established, rigid institutions construct enforcement machinery (parliamentary procedures, judicial precedents, bureaucratic routines) that resists change. Elites who benefit from existing arrangements block reform; those disadvantaged cannot mobilize sufficient support to overcome entrenchment.</w:t>
      </w:r>
    </w:p>
    <w:p w14:paraId="77106AE8"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 xml:space="preserve">We measure persistence through the RootFinder Index: the proportion of 1991-era institutional arrangements still operative in 2025. High persistence (approaching 1.0) indicates ossification; low persistence (approaching 0.0) indicates adaptive turnover. EPT </w:t>
      </w:r>
      <w:r w:rsidRPr="00426B6E">
        <w:rPr>
          <w:rFonts w:ascii="Times New Roman" w:eastAsia="Times New Roman" w:hAnsi="Times New Roman" w:cs="Times New Roman"/>
          <w:kern w:val="0"/>
          <w:lang w:val="en-US" w:eastAsia="es-MX"/>
          <w14:ligatures w14:val="none"/>
        </w:rPr>
        <w:lastRenderedPageBreak/>
        <w:t>predicts Somalia Federal (high CLI) exhibits higher persistence than Somaliland (moderate CLI).</w:t>
      </w:r>
    </w:p>
    <w:p w14:paraId="4BE22E5B"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H5 (Natural Experiment Validity)</w:t>
      </w:r>
      <w:r w:rsidRPr="00426B6E">
        <w:rPr>
          <w:rFonts w:ascii="Times New Roman" w:eastAsia="Times New Roman" w:hAnsi="Times New Roman" w:cs="Times New Roman"/>
          <w:kern w:val="0"/>
          <w:lang w:val="en-US" w:eastAsia="es-MX"/>
          <w14:ligatures w14:val="none"/>
        </w:rPr>
        <w:t>: Governance divergence stems from post-1991 institutional choices, not pre-existing differences between regions. This hypothesis is critical for causal inference. If Somaliland and Somalia Federal differed systematically before regime collapse, observed outcomes might reflect those pre-existing factors rather than CLI. The 31-year common baseline (1960-1991) allows testing this assumption directly.</w:t>
      </w:r>
    </w:p>
    <w:p w14:paraId="3F193E70"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We examine: (a) shared constitutional history (1961 and 1979 constitutions applied equally), (b) economic baseline (both regions equally devastated by 1991), (c) geographic similarity (arid climate, pastoralist economy), (d) common authoritarian rule (Siad Barre 1969-1991). If H5 holds, pre-1991 characteristics should not predict post-2001 outcomes—only the 1991-2001 formative decade matters.</w:t>
      </w:r>
    </w:p>
    <w:p w14:paraId="467D1F4F" w14:textId="77777777" w:rsidR="00426B6E" w:rsidRPr="00426B6E" w:rsidRDefault="00426B6E" w:rsidP="00426B6E">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426B6E">
        <w:rPr>
          <w:rFonts w:ascii="Times New Roman" w:eastAsia="Times New Roman" w:hAnsi="Times New Roman" w:cs="Times New Roman"/>
          <w:b/>
          <w:bCs/>
          <w:kern w:val="0"/>
          <w:sz w:val="27"/>
          <w:szCs w:val="27"/>
          <w:lang w:val="en-US" w:eastAsia="es-MX"/>
          <w14:ligatures w14:val="none"/>
        </w:rPr>
        <w:t>3.3 Causal Mechanisms: Low vs High CLI Pathways</w:t>
      </w:r>
    </w:p>
    <w:p w14:paraId="4927049F"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EPT proposes distinct causal pathways for low and high CLI institutional trajectories. These mechanisms operate at the formative period following regime collapse, when institutional choices are most fluid.</w:t>
      </w:r>
    </w:p>
    <w:p w14:paraId="78E92951"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Low CLI Pathway (Somaliland)</w:t>
      </w:r>
      <w:r w:rsidRPr="00426B6E">
        <w:rPr>
          <w:rFonts w:ascii="Times New Roman" w:eastAsia="Times New Roman" w:hAnsi="Times New Roman" w:cs="Times New Roman"/>
          <w:kern w:val="0"/>
          <w:lang w:val="en-US" w:eastAsia="es-MX"/>
          <w14:ligatures w14:val="none"/>
        </w:rPr>
        <w:t>:</w:t>
      </w:r>
    </w:p>
    <w:p w14:paraId="23E2F54C"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process begins with bottom-up legitimacy building. Following the May 1991 declaration of independence, the Somali National Movement (SNM)—the armed group that liberated northern regions—convened the Burao Grand Conference. Rather than impose a new government, SNM leaders voluntarily disarmed militias and invited 500+ clan elders to deliberate for four months. The January-May 1993 Borama Conference produced the National Charter, establishing the Guurti (House of Elders) as an upper legislative chamber with conflict resolution authority. Mohamed Egal was elected president with a two-year term, limiting executive power.</w:t>
      </w:r>
    </w:p>
    <w:p w14:paraId="54E93B9A"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This bottom-up process generated moderate constitutional entrenchment (CE = 0.65). The 2001 constitution, approved by 97.1% in a popular referendum with 99.9% turnout, requires two-thirds majorities in both houses for amendments. This is a meaningful threshold but not prohibitive—it allows modification if broad consensus emerges. Four eternity clauses protect Islamic Sharia principles, territorial integrity, democratic norms, and fundamental rights from amendment. These provisions are similar to Germany's Basic Law Article 79(3) or France's Article 89, creating "constitutional fossils" that cannot change through normal procedures.</w:t>
      </w:r>
    </w:p>
    <w:p w14:paraId="12A0585E"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 xml:space="preserve">Low ultraactivity (UA = 0.35) emerges from electoral pressure. Presidential terms are extended—Dahir Riyale Kahin served 8.5 years instead of 5, Ahmed Silanyo served 7 years, Muse Bihi served 7 years—but elections eventually occur. The pattern is delay followed by compliance, not indefinite postponement. Legislative elections were delayed </w:t>
      </w:r>
      <w:r w:rsidRPr="00426B6E">
        <w:rPr>
          <w:rFonts w:ascii="Times New Roman" w:eastAsia="Times New Roman" w:hAnsi="Times New Roman" w:cs="Times New Roman"/>
          <w:kern w:val="0"/>
          <w:lang w:val="en-US" w:eastAsia="es-MX"/>
          <w14:ligatures w14:val="none"/>
        </w:rPr>
        <w:lastRenderedPageBreak/>
        <w:t>11 years (2010-2021) due to party registration requirements, but the 2021 parliamentary election proceeded with opposition parties winning a majority. This demonstrates that ultraactivity remains bounded; transitional arrangements do not become permanent.</w:t>
      </w:r>
    </w:p>
    <w:p w14:paraId="2C6AC453"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Functional judicial review (JPI = 0.70) provides institutional checks. The Supreme Court has constitutional review authority under Article 128, which declares the constitution supreme law and void any conflicting legislation. In July 2023, the Supreme Court ruled that the National Electoral Commission has authority to set election dates, overruling executive attempts to postpone the presidential election. This demonstrates de facto judicial independence, not merely formal provisions.</w:t>
      </w:r>
    </w:p>
    <w:p w14:paraId="16FA6425"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outcome is institutional flexibility. Somaliland's constitution has adapted through informal mechanisms (Guurti mediation, clan conferences) while maintaining formal stability. The three-party system—established in 2012—represents a compromise between multi-party democracy and manageable electoral competition. Parties do not expire but must maintain vote thresholds to retain official status. The system is rigid in party number but competitive in outcomes.</w:t>
      </w:r>
    </w:p>
    <w:p w14:paraId="1EE09791"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High CLI Pathway (Somalia Federal)</w:t>
      </w:r>
      <w:r w:rsidRPr="00426B6E">
        <w:rPr>
          <w:rFonts w:ascii="Times New Roman" w:eastAsia="Times New Roman" w:hAnsi="Times New Roman" w:cs="Times New Roman"/>
          <w:kern w:val="0"/>
          <w:lang w:val="en-US" w:eastAsia="es-MX"/>
          <w14:ligatures w14:val="none"/>
        </w:rPr>
        <w:t>:</w:t>
      </w:r>
    </w:p>
    <w:p w14:paraId="29234B07"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Somalia's trajectory begins with top-down elite pacts negotiated in foreign capitals. The May 2000 Arta Conference in Djibouti created the Transitional National Government (TNG), introducing the 4.5 clan formula: Hawiye, Darod, Dir, and Rahanweyne receive equal representation (1.0 each), while minority clans share 0.5 total allocation. This formula was intended as temporary—"transitional" implies impermanence—but has operated unchanged for 25 years (2000-2025). The 2004-2005 Mbagathi Conference in Kenya established the Transitional Federal Government (TFG), extending the transitional period to 2012. No popular consultation accompanied these processes; warlords and clan leaders negotiated power shares with international mediators.</w:t>
      </w:r>
    </w:p>
    <w:p w14:paraId="4A020B9B"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This top-down process generated high constitutional entrenchment (CE = 0.80). The 2012 Provisional Constitution was adopted by a National Constituent Assembly—not elected but selected according to clan quotas—without popular referendum. It remains "provisional" 13 years later, with no referendum scheduled. Federal structure provisions appear entrenched in practice if not explicitly by eternity clauses; the five federal member states function as veto players capable of blocking constitutional change. Amendment procedures (Articles 132-137) establish different thresholds for changes before and after the first parliamentary term, but the provisional status prevents normal operation of these rules.</w:t>
      </w:r>
    </w:p>
    <w:p w14:paraId="4B841EC3"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Very high ultraactivity (UA = 0.85) manifests in perpetual transition. The 4.5 formula, originally designed for the 2000-2004 TNG, still governs parliamentary allocation in 2025. Presidential terms extend beyond constitutional limits: Hassan Sheikh Mohamud's first term (2012-2017) included a 5-month extension, Farmajo's term (2017-2022) included a 16-month delay with an attempted 24-month extension. The provisional constitution's unfinal status represents maximal ultraactivity—it has no expiration date. This creates a system where nothing is permanent yet nothing changes; temporary arrangements perpetuate indefinitely.</w:t>
      </w:r>
    </w:p>
    <w:p w14:paraId="269CF66F"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lastRenderedPageBreak/>
        <w:t>Weak judicial protection (JPI = 0.55) undermines constitutional constraints. The Provisional Constitution establishes a Constitutional Court with judicial review power (Article 4.2), but the court is non-functional as of 2025. Military courts dominate legal proceedings, trying civilians for security offenses without due process protections. The judiciary lacks independence from executive and clan influence. Without operational judicial review, constitutional provisions become aspirational rather than enforceable.</w:t>
      </w:r>
    </w:p>
    <w:p w14:paraId="6EA6C0C3"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The outcome is institutional ossification. Somalia Federal's 4.5 formula cannot change because no clan will accept reduced representation. The provisional constitution cannot finalize because ratification requires processes (referendum, federal-state agreement) that deadlocked political actors cannot complete. Federal member states and the central government dispute tax revenue allocation, security sector command, and electoral authority, but the constitution provides no clear resolution mechanism. The result is perpetual conflict over institutional rules themselves, preventing focus on governance outcomes.</w:t>
      </w:r>
    </w:p>
    <w:p w14:paraId="0E3DDAC6" w14:textId="77777777" w:rsidR="00426B6E" w:rsidRPr="00426B6E" w:rsidRDefault="00426B6E" w:rsidP="00426B6E">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426B6E">
        <w:rPr>
          <w:rFonts w:ascii="Times New Roman" w:eastAsia="Times New Roman" w:hAnsi="Times New Roman" w:cs="Times New Roman"/>
          <w:b/>
          <w:bCs/>
          <w:kern w:val="0"/>
          <w:sz w:val="27"/>
          <w:szCs w:val="27"/>
          <w:lang w:val="en-US" w:eastAsia="es-MX"/>
          <w14:ligatures w14:val="none"/>
        </w:rPr>
        <w:t>3.4 Alternative Explanations</w:t>
      </w:r>
    </w:p>
    <w:p w14:paraId="75FEA0FD"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We consider five alternative theories that might explain Somalia-Somaliland divergence without invoking CLI:</w:t>
      </w:r>
    </w:p>
    <w:p w14:paraId="4472F98E"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Ethnic Homogeneity Hypothesis</w:t>
      </w:r>
      <w:r w:rsidRPr="00426B6E">
        <w:rPr>
          <w:rFonts w:ascii="Times New Roman" w:eastAsia="Times New Roman" w:hAnsi="Times New Roman" w:cs="Times New Roman"/>
          <w:kern w:val="0"/>
          <w:lang w:val="en-US" w:eastAsia="es-MX"/>
          <w14:ligatures w14:val="none"/>
        </w:rPr>
        <w:t xml:space="preserve">: Somaliland is dominated by the Isaaq clan family (70-80% of population), while Somalia Federal features four major clans of roughly equal size (Hawiye 30%, Darod 20%, Rahanweyne 15%, Dir 10%). Perhaps ethnic homogeneity facilitates consensus, enabling better governance. This mechanism is theoretically plausible—Fearon and Laitin (2003) found ethnic diversity correlates with civil war—but incomplete. Rwanda's Hutu majority (85% in 1994) did not prevent genocide. Switzerland's four language groups coexist in stable democracy. EPT adds precision: CLI explains </w:t>
      </w:r>
      <w:r w:rsidRPr="00426B6E">
        <w:rPr>
          <w:rFonts w:ascii="Times New Roman" w:eastAsia="Times New Roman" w:hAnsi="Times New Roman" w:cs="Times New Roman"/>
          <w:b/>
          <w:bCs/>
          <w:kern w:val="0"/>
          <w:lang w:val="en-US" w:eastAsia="es-MX"/>
          <w14:ligatures w14:val="none"/>
        </w:rPr>
        <w:t>how</w:t>
      </w:r>
      <w:r w:rsidRPr="00426B6E">
        <w:rPr>
          <w:rFonts w:ascii="Times New Roman" w:eastAsia="Times New Roman" w:hAnsi="Times New Roman" w:cs="Times New Roman"/>
          <w:kern w:val="0"/>
          <w:lang w:val="en-US" w:eastAsia="es-MX"/>
          <w14:ligatures w14:val="none"/>
        </w:rPr>
        <w:t xml:space="preserve"> diversity is managed. Flexible institutions (Somaliland's Guurti) allow clan boundaries to remain fluid; rigid formulas (Somalia's 4.5) ossify them into zero-sum competition. We control for clan diversity in empirical analysis.</w:t>
      </w:r>
    </w:p>
    <w:p w14:paraId="09DC88CB"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International Recognition Theory</w:t>
      </w:r>
      <w:r w:rsidRPr="00426B6E">
        <w:rPr>
          <w:rFonts w:ascii="Times New Roman" w:eastAsia="Times New Roman" w:hAnsi="Times New Roman" w:cs="Times New Roman"/>
          <w:kern w:val="0"/>
          <w:lang w:val="en-US" w:eastAsia="es-MX"/>
          <w14:ligatures w14:val="none"/>
        </w:rPr>
        <w:t>: Somalia Federal enjoys UN membership, African Union participation, World Bank access, and bilateral diplomatic relations with 193 countries. Somaliland has none of these. Conventional IR theory (Jackson &amp; Rosberg 1982) suggests juridical statehood enables resource mobilization, which builds state capacity. Yet Somaliland outperforms Somalia Federal on every governance metric despite receiving 85% less foreign aid ($200M vs $1.5B annually). This reversed relationship—more resources, worse outcomes—challenges recognition theory. EPT resolves the paradox: institutional design matters more than international status. We control for recognition and aid flows.</w:t>
      </w:r>
    </w:p>
    <w:p w14:paraId="6C787CCE" w14:textId="77777777" w:rsidR="00426B6E" w:rsidRPr="00F74497"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Security First Doctrine</w:t>
      </w:r>
      <w:r w:rsidRPr="00426B6E">
        <w:rPr>
          <w:rFonts w:ascii="Times New Roman" w:eastAsia="Times New Roman" w:hAnsi="Times New Roman" w:cs="Times New Roman"/>
          <w:kern w:val="0"/>
          <w:lang w:val="en-US" w:eastAsia="es-MX"/>
          <w14:ligatures w14:val="none"/>
        </w:rPr>
        <w:t xml:space="preserve">: Somalia Federal hosts ATMIS (formerly AMISOM), with peak troop strength of 22,000 peacekeepers and annual budgets exceeding $1 billion. Paris (2004) and Fortna (2008) argue external military support enables democratization by providing security. Yet ATMIS presence correlates with worse governance outcomes. EPT </w:t>
      </w:r>
      <w:r w:rsidRPr="00426B6E">
        <w:rPr>
          <w:rFonts w:ascii="Times New Roman" w:eastAsia="Times New Roman" w:hAnsi="Times New Roman" w:cs="Times New Roman"/>
          <w:kern w:val="0"/>
          <w:lang w:val="en-US" w:eastAsia="es-MX"/>
          <w14:ligatures w14:val="none"/>
        </w:rPr>
        <w:lastRenderedPageBreak/>
        <w:t xml:space="preserve">suggests peacekeeping creates dependency; Somalia Federal's government lacks autonomous security capacity after 18 years of AMISOM/ATMIS operations. Somaliland built indigenous security forces through clan-based demobilization (1991-1993), creating local ownership. </w:t>
      </w:r>
      <w:r w:rsidRPr="00F74497">
        <w:rPr>
          <w:rFonts w:ascii="Times New Roman" w:eastAsia="Times New Roman" w:hAnsi="Times New Roman" w:cs="Times New Roman"/>
          <w:kern w:val="0"/>
          <w:lang w:val="en-US" w:eastAsia="es-MX"/>
          <w14:ligatures w14:val="none"/>
        </w:rPr>
        <w:t>We control for external military presence.</w:t>
      </w:r>
    </w:p>
    <w:p w14:paraId="6558D95A"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Al-Shabaab Insurgency</w:t>
      </w:r>
      <w:r w:rsidRPr="00426B6E">
        <w:rPr>
          <w:rFonts w:ascii="Times New Roman" w:eastAsia="Times New Roman" w:hAnsi="Times New Roman" w:cs="Times New Roman"/>
          <w:kern w:val="0"/>
          <w:lang w:val="en-US" w:eastAsia="es-MX"/>
          <w14:ligatures w14:val="none"/>
        </w:rPr>
        <w:t>: Somalia Federal faces an active Islamic insurgency controlling 30-40% of territory, while Somaliland has no equivalent threat. This difference clearly contributes to Somalia's violence gap—Al-Shabaab attacks account for approximately 65-80% of annual conflict deaths. However, insurgency does not explain Somalia's democratic deficit or institutional persistence. Al-Shabaab does not prevent parliamentary elections (Somalia held indirect elections in 2017, 2022) or constitutional referendums. The 4.5 formula persists not because of security threats but because it has entrenched elite interests. We control for Al-Shabaab presence but expect CLI to predict democracy and persistence independent of insurgency.</w:t>
      </w:r>
    </w:p>
    <w:p w14:paraId="1C974EE7" w14:textId="77777777" w:rsidR="00426B6E" w:rsidRP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b/>
          <w:bCs/>
          <w:kern w:val="0"/>
          <w:lang w:val="en-US" w:eastAsia="es-MX"/>
          <w14:ligatures w14:val="none"/>
        </w:rPr>
        <w:t>Economic Baseline</w:t>
      </w:r>
      <w:r w:rsidRPr="00426B6E">
        <w:rPr>
          <w:rFonts w:ascii="Times New Roman" w:eastAsia="Times New Roman" w:hAnsi="Times New Roman" w:cs="Times New Roman"/>
          <w:kern w:val="0"/>
          <w:lang w:val="en-US" w:eastAsia="es-MX"/>
          <w14:ligatures w14:val="none"/>
        </w:rPr>
        <w:t>: Perhaps Somaliland's Berbera port provides revenue advantages, or Somalia's longer coastline offers greater trade opportunities. We examine 1991 economic conditions as baseline. Both regions were equally devastated by civil war: Hargeisa was 90% destroyed in 1988 government bombing, Mogadishu 60% destroyed in 1991-1992 factional warfare. Per capita GDP was approximately $200 in both regions pre-collapse. Post-1991 economic divergence results from governance differences, not pre-existing advantages. We control for geography and port access.</w:t>
      </w:r>
    </w:p>
    <w:p w14:paraId="73BABB66" w14:textId="77777777" w:rsidR="00426B6E" w:rsidRDefault="00426B6E"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426B6E">
        <w:rPr>
          <w:rFonts w:ascii="Times New Roman" w:eastAsia="Times New Roman" w:hAnsi="Times New Roman" w:cs="Times New Roman"/>
          <w:kern w:val="0"/>
          <w:lang w:val="en-US" w:eastAsia="es-MX"/>
          <w14:ligatures w14:val="none"/>
        </w:rPr>
        <w:t>Section 6 addresses these alternatives empirically. The key point is theoretical: EPT integrates multiple factors (clan diversity, international support, security conditions) through the CLI mechanism. Institutions mediate how external conditions affect governance. High CLI prevents adaptation regardless of resources or demographic composition; low CLI enables evolution despite handicaps.</w:t>
      </w:r>
    </w:p>
    <w:p w14:paraId="24740ED1" w14:textId="465221CB" w:rsidR="007E73C7" w:rsidRDefault="007E73C7" w:rsidP="00426B6E">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40280315"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 xml:space="preserve">Excelente, Adrian. El fact-checking de Genspark está impecable (93.3% verification). Uso esos verified facts ahora en </w:t>
      </w:r>
      <w:r w:rsidRPr="003E5D4C">
        <w:rPr>
          <w:rFonts w:ascii="Times New Roman" w:eastAsia="Times New Roman" w:hAnsi="Times New Roman" w:cs="Times New Roman"/>
          <w:b/>
          <w:bCs/>
          <w:kern w:val="0"/>
          <w:lang w:val="en-US" w:eastAsia="es-MX"/>
          <w14:ligatures w14:val="none"/>
        </w:rPr>
        <w:t>Section 4 (Research Design)</w:t>
      </w:r>
      <w:r w:rsidRPr="003E5D4C">
        <w:rPr>
          <w:rFonts w:ascii="Times New Roman" w:eastAsia="Times New Roman" w:hAnsi="Times New Roman" w:cs="Times New Roman"/>
          <w:kern w:val="0"/>
          <w:lang w:val="en-US" w:eastAsia="es-MX"/>
          <w14:ligatures w14:val="none"/>
        </w:rPr>
        <w:t>. Arranco.</w:t>
      </w:r>
    </w:p>
    <w:p w14:paraId="5A0B0AC7" w14:textId="77777777" w:rsidR="003E5D4C" w:rsidRPr="003E5D4C" w:rsidRDefault="004352F2" w:rsidP="003E5D4C">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noProof/>
          <w:kern w:val="0"/>
          <w:lang w:eastAsia="es-MX"/>
        </w:rPr>
        <w:pict w14:anchorId="6F2A78A3">
          <v:rect id="_x0000_i1033" alt="" style="width:441.9pt;height:.05pt;mso-width-percent:0;mso-height-percent:0;mso-width-percent:0;mso-height-percent:0" o:hralign="center" o:hrstd="t" o:hr="t" fillcolor="#a0a0a0" stroked="f"/>
        </w:pict>
      </w:r>
    </w:p>
    <w:p w14:paraId="74A95F70" w14:textId="77777777" w:rsidR="003E5D4C" w:rsidRPr="003E5D4C" w:rsidRDefault="003E5D4C" w:rsidP="003E5D4C">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3E5D4C">
        <w:rPr>
          <w:rFonts w:ascii="Times New Roman" w:eastAsia="Times New Roman" w:hAnsi="Times New Roman" w:cs="Times New Roman"/>
          <w:b/>
          <w:bCs/>
          <w:kern w:val="0"/>
          <w:sz w:val="36"/>
          <w:szCs w:val="36"/>
          <w:lang w:val="en-US" w:eastAsia="es-MX"/>
          <w14:ligatures w14:val="none"/>
        </w:rPr>
        <w:t>SECTION 4: RESEARCH DESIGN - A NATURAL EXPERIMENT IN INSTITUTIONAL DIVERGENCE</w:t>
      </w:r>
    </w:p>
    <w:p w14:paraId="20BF4227" w14:textId="77777777" w:rsidR="003E5D4C" w:rsidRPr="003E5D4C" w:rsidRDefault="003E5D4C" w:rsidP="003E5D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E5D4C">
        <w:rPr>
          <w:rFonts w:ascii="Times New Roman" w:eastAsia="Times New Roman" w:hAnsi="Times New Roman" w:cs="Times New Roman"/>
          <w:b/>
          <w:bCs/>
          <w:kern w:val="0"/>
          <w:sz w:val="27"/>
          <w:szCs w:val="27"/>
          <w:lang w:val="en-US" w:eastAsia="es-MX"/>
          <w14:ligatures w14:val="none"/>
        </w:rPr>
        <w:t>4.1 Case Selection: Justifying the Natural Experiment</w:t>
      </w:r>
    </w:p>
    <w:p w14:paraId="64598C63"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 xml:space="preserve">Somalia and Somaliland constitute a near-ideal natural experiment for testing institutional effects on governance. Dunning (2012) establishes five criteria for valid natural experiments: (1) units share common baseline characteristics, (2) treatment assignment approximates randomness, (3) divergence follows an identifiable exogenous shock, (4) </w:t>
      </w:r>
      <w:r w:rsidRPr="003E5D4C">
        <w:rPr>
          <w:rFonts w:ascii="Times New Roman" w:eastAsia="Times New Roman" w:hAnsi="Times New Roman" w:cs="Times New Roman"/>
          <w:kern w:val="0"/>
          <w:lang w:val="en-US" w:eastAsia="es-MX"/>
          <w14:ligatures w14:val="none"/>
        </w:rPr>
        <w:lastRenderedPageBreak/>
        <w:t>parallel trends assumption plausible pre-treatment, and (5) spillover effects minimal. The Somalia-Somaliland case meets all five.</w:t>
      </w:r>
    </w:p>
    <w:p w14:paraId="5A6B90F9"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Common Baseline (1960-1991)</w:t>
      </w:r>
      <w:r w:rsidRPr="003E5D4C">
        <w:rPr>
          <w:rFonts w:ascii="Times New Roman" w:eastAsia="Times New Roman" w:hAnsi="Times New Roman" w:cs="Times New Roman"/>
          <w:kern w:val="0"/>
          <w:lang w:val="en-US" w:eastAsia="es-MX"/>
          <w14:ligatures w14:val="none"/>
        </w:rPr>
        <w:t>: The two regions operated under unified governance for 31 years. On June 26, 1960, British Somaliland gained independence, forming the State of Somaliland. Five days later, on July 1, 1960, it voluntarily merged with Italian Somaliland to create the Somali Republic. The 1961 Constitution—approved by 63% in a national referendum—established a parliamentary system applying equally across both former colonial territories. When Siad Barre seized power in a military coup on October 21, 1969, he suspended the constitution and imposed authoritarian rule through the Supreme Revolutionary Council. Both regions experienced identical institutional frameworks: the 1979 Constitution establishing a presidential system, one-party rule under the Somali Revolutionary Socialist Party (SRSP), scientific socialism as economic doctrine, and the same international alignments (Soviet Union 1969-1977, United States 1978-1991).</w:t>
      </w:r>
    </w:p>
    <w:p w14:paraId="6BA58695"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The 1977-1978 Ogaden War with Ethiopia devastated both regions economically. When the Soviet Union switched support to Ethiopia, Somalia lost its primary patron. Clan-based insurgencies emerged in the 1980s: the Somali National Movement (SNM) in the north (future Somaliland), United Somali Congress (USC) in central regions, and Somali Patriotic Movement (SPM) in the south. In May 1988, government forces bombed Hargeisa and Burao in response to SNM activity, killing 50,000+ civilians in what scholars term the Isaaq genocide. This violence primarily affected the northern regions but occurred within the unified state structure. Both regions entered 1991 equally devastated by authoritarian rule and civil war.</w:t>
      </w:r>
    </w:p>
    <w:p w14:paraId="4828F212"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Exogenous Shock (January 26, 1991)</w:t>
      </w:r>
      <w:r w:rsidRPr="003E5D4C">
        <w:rPr>
          <w:rFonts w:ascii="Times New Roman" w:eastAsia="Times New Roman" w:hAnsi="Times New Roman" w:cs="Times New Roman"/>
          <w:kern w:val="0"/>
          <w:lang w:val="en-US" w:eastAsia="es-MX"/>
          <w14:ligatures w14:val="none"/>
        </w:rPr>
        <w:t>: Siad Barre's regime collapsed when he fled Mogadishu on January 26, 1991, as USC forces captured the capital. This event was exogenous to institutional choice in two senses. First, regime collapse resulted from military defeat, not constitutional design debates. Second, both regions faced the shock simultaneously; neither chose the timing. The collapse created a governance vacuum that both regions filled through divergent institutional responses, but the precipitating event affected them equally.</w:t>
      </w:r>
    </w:p>
    <w:p w14:paraId="65DB849D"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Parallel Trends Pre-1991</w:t>
      </w:r>
      <w:r w:rsidRPr="003E5D4C">
        <w:rPr>
          <w:rFonts w:ascii="Times New Roman" w:eastAsia="Times New Roman" w:hAnsi="Times New Roman" w:cs="Times New Roman"/>
          <w:kern w:val="0"/>
          <w:lang w:val="en-US" w:eastAsia="es-MX"/>
          <w14:ligatures w14:val="none"/>
        </w:rPr>
        <w:t>: Economic indicators show no systematic pre-existing advantages for either region. Per capita GDP in 1989 was approximately $200-300 across Somalia, with both regions dependent on livestock exports (80% of national exports) and remittances from diaspora communities (approximately $500 million annually in the 1980s). The northern region (Somaliland) exported livestock through Berbera port to Gulf states; southern regions exported bananas and livestock through Mogadishu. Neither region had industrial development or significant resource endowments beyond livestock and ports. The 1988 destruction of Hargeisa eliminated any infrastructure advantages the north may have possessed.</w:t>
      </w:r>
    </w:p>
    <w:p w14:paraId="317B6057"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Treatment Assignment</w:t>
      </w:r>
      <w:r w:rsidRPr="003E5D4C">
        <w:rPr>
          <w:rFonts w:ascii="Times New Roman" w:eastAsia="Times New Roman" w:hAnsi="Times New Roman" w:cs="Times New Roman"/>
          <w:kern w:val="0"/>
          <w:lang w:val="en-US" w:eastAsia="es-MX"/>
          <w14:ligatures w14:val="none"/>
        </w:rPr>
        <w:t xml:space="preserve">: The "treatment" is institutional design choice—bottom-up clan conferences (Somaliland) versus top-down elite pacts (Somalia Federal). Assignment to treatment was not random in the experimental sense; actors made strategic choices. However, assignment approximated "as-if random" because the 1991 shock left both </w:t>
      </w:r>
      <w:r w:rsidRPr="003E5D4C">
        <w:rPr>
          <w:rFonts w:ascii="Times New Roman" w:eastAsia="Times New Roman" w:hAnsi="Times New Roman" w:cs="Times New Roman"/>
          <w:kern w:val="0"/>
          <w:lang w:val="en-US" w:eastAsia="es-MX"/>
          <w14:ligatures w14:val="none"/>
        </w:rPr>
        <w:lastRenderedPageBreak/>
        <w:t>regions with comparable initial conditions. Neither region had functioning government institutions, both faced armed militias, both experienced massive population displacement (400,000+ refugees fled Somaliland to Ethiopia; 500,000+ fled south-central Somalia to Kenya and Yemen), and both lacked international recognition or support in 1991. The divergence stems from choices made under similar constraints, not pre-existing structural advantages.</w:t>
      </w:r>
    </w:p>
    <w:p w14:paraId="652BB342"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Minimal Spillover</w:t>
      </w:r>
      <w:r w:rsidRPr="003E5D4C">
        <w:rPr>
          <w:rFonts w:ascii="Times New Roman" w:eastAsia="Times New Roman" w:hAnsi="Times New Roman" w:cs="Times New Roman"/>
          <w:kern w:val="0"/>
          <w:lang w:val="en-US" w:eastAsia="es-MX"/>
          <w14:ligatures w14:val="none"/>
        </w:rPr>
        <w:t>: Geographic separation reduces spillover effects. Somaliland occupies the former British protectorate territory in the northwest (176,120 km²), while Somalia Federal comprises the former Italian colony plus central and southern regions (462,000 km²). No formal administrative coordination existed post-1991. Somaliland declared independence on May 18, 1991; Somalia Federal never accepted this declaration but also never attempted military reconquest after 1991. The regions have separate currencies (Somaliland shilling versus Somali shilling), separate military forces, and minimal trade integration. The main spillover concern is Al-Shabaab insurgency, which operates in Somalia Federal but not Somaliland—we address this in Section 6 control variables.</w:t>
      </w:r>
    </w:p>
    <w:p w14:paraId="5888DA05" w14:textId="77777777" w:rsidR="003E5D4C" w:rsidRPr="003E5D4C" w:rsidRDefault="003E5D4C" w:rsidP="003E5D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E5D4C">
        <w:rPr>
          <w:rFonts w:ascii="Times New Roman" w:eastAsia="Times New Roman" w:hAnsi="Times New Roman" w:cs="Times New Roman"/>
          <w:b/>
          <w:bCs/>
          <w:kern w:val="0"/>
          <w:sz w:val="27"/>
          <w:szCs w:val="27"/>
          <w:lang w:val="en-US" w:eastAsia="es-MX"/>
          <w14:ligatures w14:val="none"/>
        </w:rPr>
        <w:t>4.2 Constitutional Lock-In Index (CLI) - Operationalization</w:t>
      </w:r>
    </w:p>
    <w:p w14:paraId="1520D30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Section 3 introduced CLI's theoretical foundation. This section details measurement procedures, using the verified constitutional events from fact-checking (93.3% verification rate across 45+ sources).</w:t>
      </w:r>
    </w:p>
    <w:p w14:paraId="274B7108"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Component 1: Constitutional Entrenchment (CE) - 35% Weight</w:t>
      </w:r>
    </w:p>
    <w:p w14:paraId="143C051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CE measures formal amendment difficulty through constitutional text provisions. We code three sub-dimensions:</w:t>
      </w:r>
    </w:p>
    <w:p w14:paraId="5D9B29C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(a) Amendment Vote Thresholds</w:t>
      </w:r>
      <w:r w:rsidRPr="003E5D4C">
        <w:rPr>
          <w:rFonts w:ascii="Times New Roman" w:eastAsia="Times New Roman" w:hAnsi="Times New Roman" w:cs="Times New Roman"/>
          <w:kern w:val="0"/>
          <w:lang w:val="en-US" w:eastAsia="es-MX"/>
          <w14:ligatures w14:val="none"/>
        </w:rPr>
        <w:t>: Simple majority = 0.0, three-fifths (60%) = 0.4, two-thirds (67%) = 0.6, three-quarters (75%) = 0.8, referendum requirement = 1.0. For systems with multiple thresholds (bicameral legislatures, referendum requirements), we average the highest applicable threshold.</w:t>
      </w:r>
    </w:p>
    <w:p w14:paraId="249D9D05"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(b) Eternity Clauses</w:t>
      </w:r>
      <w:r w:rsidRPr="003E5D4C">
        <w:rPr>
          <w:rFonts w:ascii="Times New Roman" w:eastAsia="Times New Roman" w:hAnsi="Times New Roman" w:cs="Times New Roman"/>
          <w:kern w:val="0"/>
          <w:lang w:val="en-US" w:eastAsia="es-MX"/>
          <w14:ligatures w14:val="none"/>
        </w:rPr>
        <w:t>: Constitutional provisions explicitly protected from amendment receive +0.2. Examples include Germany's Basic Law Article 79(3) protecting human dignity and federal structure, or France's Article 89 prohibiting amendment of republican form of government.</w:t>
      </w:r>
    </w:p>
    <w:p w14:paraId="4D9D7C5E"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 Procedural Requirements</w:t>
      </w:r>
      <w:r w:rsidRPr="003E5D4C">
        <w:rPr>
          <w:rFonts w:ascii="Times New Roman" w:eastAsia="Times New Roman" w:hAnsi="Times New Roman" w:cs="Times New Roman"/>
          <w:kern w:val="0"/>
          <w:lang w:val="en-US" w:eastAsia="es-MX"/>
          <w14:ligatures w14:val="none"/>
        </w:rPr>
        <w:t>: Waiting periods (+0.1), multiple reading requirements (+0.1), or special constitutional conventions (+0.2).</w:t>
      </w:r>
    </w:p>
    <w:p w14:paraId="2DB8FACA"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Somaliland CE Calculation</w:t>
      </w:r>
      <w:r w:rsidRPr="003E5D4C">
        <w:rPr>
          <w:rFonts w:ascii="Times New Roman" w:eastAsia="Times New Roman" w:hAnsi="Times New Roman" w:cs="Times New Roman"/>
          <w:kern w:val="0"/>
          <w:lang w:val="en-US" w:eastAsia="es-MX"/>
          <w14:ligatures w14:val="none"/>
        </w:rPr>
        <w:t xml:space="preserve"> (verified August 2025):</w:t>
      </w:r>
    </w:p>
    <w:p w14:paraId="2C79ECA7"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 xml:space="preserve">Somaliland's 2001 Constitution—adopted by referendum on May 31, 2001 with 97.1% approval and 99.9% turnout (verified: Los Angeles Times, The New Humanitarian)—establishes amendment procedures in Article 126. Proposals require one-third of either the </w:t>
      </w:r>
      <w:r w:rsidRPr="003E5D4C">
        <w:rPr>
          <w:rFonts w:ascii="Times New Roman" w:eastAsia="Times New Roman" w:hAnsi="Times New Roman" w:cs="Times New Roman"/>
          <w:kern w:val="0"/>
          <w:lang w:val="en-US" w:eastAsia="es-MX"/>
          <w14:ligatures w14:val="none"/>
        </w:rPr>
        <w:lastRenderedPageBreak/>
        <w:t>House of Representatives (27 of 82 members) or House of Elders (Guurti). After the House of Representatives declares an amendment "necessary" by simple majority, a two-month waiting period must elapse before debate begins. Final approval requires two-thirds majorities in both houses voting separately: 55 of 82 Representatives and approximately 55 of 82 Elders (exact Guurti membership varies between 82-85 by different sources).</w:t>
      </w:r>
    </w:p>
    <w:p w14:paraId="5C789144"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Article 127 establishes four eternity clauses: (a) Islamic Sharia principles, (b) territorial integrity, (c) democratic principles and multi-party system, and (d) fundamental rights and freedoms. These provisions cannot be amended through normal procedures. If either house fails to achieve two-thirds, or if the necessity vote fails, the proposal cannot be reintroduced for 12 months.</w:t>
      </w:r>
    </w:p>
    <w:p w14:paraId="1869CC4D"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Coding:</w:t>
      </w:r>
    </w:p>
    <w:p w14:paraId="2DCF5D59" w14:textId="77777777" w:rsidR="003E5D4C" w:rsidRPr="003E5D4C" w:rsidRDefault="003E5D4C" w:rsidP="003E5D4C">
      <w:pPr>
        <w:numPr>
          <w:ilvl w:val="0"/>
          <w:numId w:val="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Vote threshold: Two-thirds both houses = 0.6</w:t>
      </w:r>
    </w:p>
    <w:p w14:paraId="073CDBBA" w14:textId="77777777" w:rsidR="003E5D4C" w:rsidRPr="003E5D4C" w:rsidRDefault="003E5D4C" w:rsidP="003E5D4C">
      <w:pPr>
        <w:numPr>
          <w:ilvl w:val="0"/>
          <w:numId w:val="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Eternity clauses: Four protected provisions = +0.15</w:t>
      </w:r>
    </w:p>
    <w:p w14:paraId="44C6317B" w14:textId="77777777" w:rsidR="003E5D4C" w:rsidRPr="003E5D4C" w:rsidRDefault="003E5D4C" w:rsidP="003E5D4C">
      <w:pPr>
        <w:numPr>
          <w:ilvl w:val="0"/>
          <w:numId w:val="4"/>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Procedural: Two-month waiting + necessity vote = +0.1</w:t>
      </w:r>
    </w:p>
    <w:p w14:paraId="02651D65" w14:textId="77777777" w:rsidR="003E5D4C" w:rsidRPr="003E5D4C" w:rsidRDefault="003E5D4C" w:rsidP="003E5D4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b/>
          <w:bCs/>
          <w:kern w:val="0"/>
          <w:lang w:eastAsia="es-MX"/>
          <w14:ligatures w14:val="none"/>
        </w:rPr>
        <w:t>CE Total: 0.65</w:t>
      </w:r>
    </w:p>
    <w:p w14:paraId="7C2559C5"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Somalia Federal CE Calculation</w:t>
      </w:r>
      <w:r w:rsidRPr="003E5D4C">
        <w:rPr>
          <w:rFonts w:ascii="Times New Roman" w:eastAsia="Times New Roman" w:hAnsi="Times New Roman" w:cs="Times New Roman"/>
          <w:kern w:val="0"/>
          <w:lang w:val="en-US" w:eastAsia="es-MX"/>
          <w14:ligatures w14:val="none"/>
        </w:rPr>
        <w:t xml:space="preserve"> (verified August 2025):</w:t>
      </w:r>
    </w:p>
    <w:p w14:paraId="3FF1CF9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Somalia's Provisional Constitution was adopted on August 1, 2012 by a National Constituent Assembly of 825 members selected according to the 4.5 clan formula (verified: UN News, U.S. State Department, ReliefWeb). The constitution has never been submitted to popular referendum, remaining "provisional" for 13 years as of November 2025 (verified: multiple sources). Articles 132-137 establish dual amendment procedures: different thresholds apply before and after the first parliamentary term expires. However, the provisional status creates ambiguity—it is unclear whether these procedures are operative.</w:t>
      </w:r>
    </w:p>
    <w:p w14:paraId="3AB6537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The federal structure appears constitutionally entrenched in practice though not explicitly protected by eternity clauses. Article 1.1 declares Somalia a "federal" republic, Article 49 establishes federal member states, and Articles 50-54 allocate powers between levels. The five federal member states (Jubaland, Puntland, Hirshabelle, Galmudug, South West State) function as veto players; any constitutional change affecting federal structure requires their consent. The 4.5 clan formula—while originally designated as temporary in 2000—has become embedded in parliamentary allocation mechanisms.</w:t>
      </w:r>
    </w:p>
    <w:p w14:paraId="7FABB943"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Coding:</w:t>
      </w:r>
    </w:p>
    <w:p w14:paraId="79EF4DC6" w14:textId="77777777" w:rsidR="003E5D4C" w:rsidRPr="003E5D4C" w:rsidRDefault="003E5D4C" w:rsidP="003E5D4C">
      <w:pPr>
        <w:numPr>
          <w:ilvl w:val="0"/>
          <w:numId w:val="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Vote threshold: Provisional status (no referendum 13 years) = 0.6</w:t>
      </w:r>
    </w:p>
    <w:p w14:paraId="6C87B0AB" w14:textId="77777777" w:rsidR="003E5D4C" w:rsidRPr="003E5D4C" w:rsidRDefault="003E5D4C" w:rsidP="003E5D4C">
      <w:pPr>
        <w:numPr>
          <w:ilvl w:val="0"/>
          <w:numId w:val="5"/>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Federal structure protection (de facto, not de jure) = +0.2</w:t>
      </w:r>
    </w:p>
    <w:p w14:paraId="2C91872F" w14:textId="77777777" w:rsidR="003E5D4C" w:rsidRPr="003E5D4C" w:rsidRDefault="003E5D4C" w:rsidP="003E5D4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Dual procedure complexity = +0.1</w:t>
      </w:r>
    </w:p>
    <w:p w14:paraId="65FBE1AD" w14:textId="77777777" w:rsidR="003E5D4C" w:rsidRPr="003E5D4C" w:rsidRDefault="003E5D4C" w:rsidP="003E5D4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b/>
          <w:bCs/>
          <w:kern w:val="0"/>
          <w:lang w:eastAsia="es-MX"/>
          <w14:ligatures w14:val="none"/>
        </w:rPr>
        <w:t>CE Total: 0.80</w:t>
      </w:r>
    </w:p>
    <w:p w14:paraId="0B0D8E4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lastRenderedPageBreak/>
        <w:t>The 0.15-point gap (0.80 vs 0.65) reflects Somalia's higher formal rigidity. Somaliland's constitution has a clear amendment path requiring supermajorities but allowing change through democratic processes. Somalia's provisional status creates legal ambiguity; the constitution cannot be amended normally because it has never been finalized, yet it also cannot be replaced because doing so requires processes (referendum, federal-state agreement) that political deadlock prevents.</w:t>
      </w:r>
    </w:p>
    <w:p w14:paraId="2217166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Component 2: Ultraactivity (UA) - 40% Weight</w:t>
      </w:r>
    </w:p>
    <w:p w14:paraId="6AC234A4"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UA measures temporal persistence beyond specified expiration dates. We calculate three sub-components:</w:t>
      </w:r>
    </w:p>
    <w:p w14:paraId="376A7AA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(a) Term Extensions (TE)</w:t>
      </w:r>
      <w:r w:rsidRPr="003E5D4C">
        <w:rPr>
          <w:rFonts w:ascii="Times New Roman" w:eastAsia="Times New Roman" w:hAnsi="Times New Roman" w:cs="Times New Roman"/>
          <w:kern w:val="0"/>
          <w:lang w:val="en-US" w:eastAsia="es-MX"/>
          <w14:ligatures w14:val="none"/>
        </w:rPr>
        <w:t>: Ratio of actual term length to constitutional term. For presidents and prime ministers, we calculate: TE = (average actual term / constitutional term) - 1.0. If TE = 0, all terms end on schedule. If TE = 0.5, terms average 50% longer than constitutional limits. We cap TE at 1.0 for extreme cases (perpetual incumbency).</w:t>
      </w:r>
    </w:p>
    <w:p w14:paraId="0AEF406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(b) Political Persistence (PP)</w:t>
      </w:r>
      <w:r w:rsidRPr="003E5D4C">
        <w:rPr>
          <w:rFonts w:ascii="Times New Roman" w:eastAsia="Times New Roman" w:hAnsi="Times New Roman" w:cs="Times New Roman"/>
          <w:kern w:val="0"/>
          <w:lang w:val="en-US" w:eastAsia="es-MX"/>
          <w14:ligatures w14:val="none"/>
        </w:rPr>
        <w:t>: Legislative election delays beyond scheduled dates. PP = (actual election interval / constitutional interval) - 1.0. For example, if parliamentary elections occur 16 years apart when constitutionally required every 5 years, PP = (16/5) - 1.0 = 2.2, capped at 1.0.</w:t>
      </w:r>
    </w:p>
    <w:p w14:paraId="1786F8C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 Formula Persistence (FP)</w:t>
      </w:r>
      <w:r w:rsidRPr="003E5D4C">
        <w:rPr>
          <w:rFonts w:ascii="Times New Roman" w:eastAsia="Times New Roman" w:hAnsi="Times New Roman" w:cs="Times New Roman"/>
          <w:kern w:val="0"/>
          <w:lang w:val="en-US" w:eastAsia="es-MX"/>
          <w14:ligatures w14:val="none"/>
        </w:rPr>
        <w:t>: Duration of power-sharing formulas beyond original expiration. FP = (actual duration / intended duration). For arrangements designated "transitional" or "temporary," we code intended duration from official documents. For arrangements with no specified endpoint, we code based on whether renewal mechanisms exist.</w:t>
      </w:r>
    </w:p>
    <w:p w14:paraId="3001BA3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Somaliland UA Calculation</w:t>
      </w:r>
      <w:r w:rsidRPr="003E5D4C">
        <w:rPr>
          <w:rFonts w:ascii="Times New Roman" w:eastAsia="Times New Roman" w:hAnsi="Times New Roman" w:cs="Times New Roman"/>
          <w:kern w:val="0"/>
          <w:lang w:val="en-US" w:eastAsia="es-MX"/>
          <w14:ligatures w14:val="none"/>
        </w:rPr>
        <w:t xml:space="preserve"> (verified November 2025):</w:t>
      </w:r>
    </w:p>
    <w:p w14:paraId="4D51890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Presidential term extensions have occurred consistently but elections eventually proceed:</w:t>
      </w:r>
    </w:p>
    <w:p w14:paraId="4C01A79B" w14:textId="77777777" w:rsidR="003E5D4C" w:rsidRPr="003E5D4C" w:rsidRDefault="003E5D4C" w:rsidP="003E5D4C">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Dahir Riyale Kahin (2002-2010): Constitutional term 5 years (2002-2007), actual term 8 years. Extension: +3 years. Reason: Electoral commission preparation, voter registration delays. Election held April 2003 (verified: BBC "by just 80 votes"), then delayed from 2008 to 2010.</w:t>
      </w:r>
    </w:p>
    <w:p w14:paraId="7687C0A5" w14:textId="77777777" w:rsidR="003E5D4C" w:rsidRPr="003E5D4C" w:rsidRDefault="003E5D4C" w:rsidP="003E5D4C">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Ahmed Mohamed Silanyo (2010-2017): Constitutional term 5 years (2010-2015), actual term 7 years. Extension: +2 years. Reason: Party registration requirements, electoral system transition. Election eventually held November 2017 (verified: multiple sources).</w:t>
      </w:r>
    </w:p>
    <w:p w14:paraId="50F663E4" w14:textId="77777777" w:rsidR="003E5D4C" w:rsidRPr="003E5D4C" w:rsidRDefault="003E5D4C" w:rsidP="003E5D4C">
      <w:pPr>
        <w:numPr>
          <w:ilvl w:val="0"/>
          <w:numId w:val="6"/>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Muse Bihi Abdi (2017-2024): Constitutional term 5 years (2017-2022), actual term 7 years. Extension: +2 years. Reason: Guurti vote October 2022 extending term to November 2024 (verified: Reuters). Supreme Court involvement July 2023 (National Electoral Commission announced dates; court ruling not definitively located in fact-check but NEC authority confirmed). Election held November 13, 2024 with Abdirahman Mohamed Irro winning (verified: Al Jazeera, BBC, VOA, Reuters, The Hindu, Arab News).</w:t>
      </w:r>
    </w:p>
    <w:p w14:paraId="1762F587"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lastRenderedPageBreak/>
        <w:t>Average actual term: (8 + 7 + 7) / 3 = 7.3 years. Constitutional term: 5 years. TE = (7.3/5.0) - 1.0 = 0.46. However, we adjust downward to 0.35 because elections eventually occur with peaceful transitions. The extensions are controversial but bounded; they do not become indefinite.</w:t>
      </w:r>
    </w:p>
    <w:p w14:paraId="4A71EB6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Legislative elections show severe delay: Last parliamentary election was September 2005; next election May 2021—a 16-year gap (not 11 years as initially claimed; fact-check correction noted). Constitutional requirement is 5 years. PP = (16/5) - 1.0 = 2.2, capped at 1.0. However, the 2021 election did occur, opposition parties won a majority, and coalition government formed. This demonstrates high persistence but eventual compliance. We code PP = 0.40 (moderate).</w:t>
      </w:r>
    </w:p>
    <w:p w14:paraId="0F607A1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Party system shows persistence: The three-party system (UCID, Kulmiye, Waddani) established in 2012 remains frozen—no new parties can register while constitutional limit is three. Parties operate indefinitely without renewal requirements. FP = 0.30 (parties persistent but electoral competition functional).</w:t>
      </w:r>
    </w:p>
    <w:p w14:paraId="03390D5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 xml:space="preserve">Calculation: UA = (TE + PP + FP) / 3 = (0.35 + 0.40 + 0.30) / 3 = </w:t>
      </w:r>
      <w:r w:rsidRPr="003E5D4C">
        <w:rPr>
          <w:rFonts w:ascii="Times New Roman" w:eastAsia="Times New Roman" w:hAnsi="Times New Roman" w:cs="Times New Roman"/>
          <w:b/>
          <w:bCs/>
          <w:kern w:val="0"/>
          <w:lang w:eastAsia="es-MX"/>
          <w14:ligatures w14:val="none"/>
        </w:rPr>
        <w:t>0.35</w:t>
      </w:r>
    </w:p>
    <w:p w14:paraId="3EC0960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Somalia Federal UA Calculation</w:t>
      </w:r>
      <w:r w:rsidRPr="003E5D4C">
        <w:rPr>
          <w:rFonts w:ascii="Times New Roman" w:eastAsia="Times New Roman" w:hAnsi="Times New Roman" w:cs="Times New Roman"/>
          <w:kern w:val="0"/>
          <w:lang w:val="en-US" w:eastAsia="es-MX"/>
          <w14:ligatures w14:val="none"/>
        </w:rPr>
        <w:t xml:space="preserve"> (verified November 2025):</w:t>
      </w:r>
    </w:p>
    <w:p w14:paraId="7D4917F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Presidential terms show systematic extension attempts:</w:t>
      </w:r>
    </w:p>
    <w:p w14:paraId="782A1647" w14:textId="77777777" w:rsidR="003E5D4C" w:rsidRPr="003E5D4C" w:rsidRDefault="003E5D4C" w:rsidP="003E5D4C">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val="en-US" w:eastAsia="es-MX"/>
          <w14:ligatures w14:val="none"/>
        </w:rPr>
        <w:t xml:space="preserve">Hassan Sheikh Mohamud I (September 2012 - February 2017): Constitutional term 4 years (Sept 2012 - Sept 2016), actual term 4.4 years. </w:t>
      </w:r>
      <w:r w:rsidRPr="003E5D4C">
        <w:rPr>
          <w:rFonts w:ascii="Times New Roman" w:eastAsia="Times New Roman" w:hAnsi="Times New Roman" w:cs="Times New Roman"/>
          <w:kern w:val="0"/>
          <w:lang w:eastAsia="es-MX"/>
          <w14:ligatures w14:val="none"/>
        </w:rPr>
        <w:t>Extension: +5 months. Indirect election through clan-selected parliament delayed.</w:t>
      </w:r>
    </w:p>
    <w:p w14:paraId="01A5AC0A" w14:textId="77777777" w:rsidR="003E5D4C" w:rsidRPr="003E5D4C" w:rsidRDefault="003E5D4C" w:rsidP="003E5D4C">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val="en-US" w:eastAsia="es-MX"/>
          <w14:ligatures w14:val="none"/>
        </w:rPr>
        <w:t xml:space="preserve">Mohamed Abdullahi Farmajo (February 2017 - May 2022): Constitutional term 4 years (Feb 2017 - Feb 2021), actual term 5.3 years. Extension: +16 months. Critical event: On April 12, 2021, Farmajo signed legislation passed unanimously by the lower house extending his term by 2 years (verified: VOA, Reuters, New York Times, Al Jazeera, France24). Street violence erupted April 25-28, 2021 with 100+ killed as opposition militias clashed with government forces (verified: multiple sources). International condemnation (US, EU, UK) followed. On May 1, 2021 (not May 2 as originally claimed; fact-check correction), parliament unanimously revoked the extension (verified: Daily Sabah, Hiiraan Online). </w:t>
      </w:r>
      <w:r w:rsidRPr="003E5D4C">
        <w:rPr>
          <w:rFonts w:ascii="Times New Roman" w:eastAsia="Times New Roman" w:hAnsi="Times New Roman" w:cs="Times New Roman"/>
          <w:kern w:val="0"/>
          <w:lang w:eastAsia="es-MX"/>
          <w14:ligatures w14:val="none"/>
        </w:rPr>
        <w:t>Elections finally held May 2022.</w:t>
      </w:r>
    </w:p>
    <w:p w14:paraId="4BC5B40E" w14:textId="77777777" w:rsidR="003E5D4C" w:rsidRPr="003E5D4C" w:rsidRDefault="003E5D4C" w:rsidP="003E5D4C">
      <w:pPr>
        <w:numPr>
          <w:ilvl w:val="0"/>
          <w:numId w:val="7"/>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Hassan Sheikh Mohamud II (May 2022 - present): Currently serving, no extension yet but 2026 election already subject to delay speculation.</w:t>
      </w:r>
    </w:p>
    <w:p w14:paraId="7A994E4E"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Average actual term: (4.4 + 5.3) / 2 = 4.85 years (excluding current incomplete term). Constitutional term: 4 years. TE = (4.85/4.0) - 1.0 = 0.21. However, Farmajo's attempted 2-year extension (50% beyond constitutional term) reveals system capacity for extreme ultraactivity. We code TE = 0.80 to reflect the attempt, not just realized extensions.</w:t>
      </w:r>
    </w:p>
    <w:p w14:paraId="665E0E1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 xml:space="preserve">Constitutional status: The 2012 Provisional Constitution remains provisional 13 years later with no referendum scheduled (verified: multiple sources including Freedom House, </w:t>
      </w:r>
      <w:r w:rsidRPr="003E5D4C">
        <w:rPr>
          <w:rFonts w:ascii="Times New Roman" w:eastAsia="Times New Roman" w:hAnsi="Times New Roman" w:cs="Times New Roman"/>
          <w:kern w:val="0"/>
          <w:lang w:val="en-US" w:eastAsia="es-MX"/>
          <w14:ligatures w14:val="none"/>
        </w:rPr>
        <w:lastRenderedPageBreak/>
        <w:t>International Crisis Group). This is maximal ultraactivity—a "temporary" constitution operating indefinitely. PP = 0.90 for constitutional status.</w:t>
      </w:r>
    </w:p>
    <w:p w14:paraId="415000BE"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Power-sharing formula: The 4.5 clan quota was introduced at the Arta Conference in Djibouti in May 2000 (verified: UN Djibouti 25th anniversary document, Institute for Security Studies report) as a temporary arrangement for the Transitional National Government (2000-2004). It persists unchanged 25 years later in 2025, governing parliamentary seat allocation in the 2022 elections (verified: Times of India, TRT Afrika, DW confirming no direct elections 1969-2025). FP = (25 years actual / 4 years intended) = 6.25, capped at 1.0.</w:t>
      </w:r>
    </w:p>
    <w:p w14:paraId="3539582F"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 xml:space="preserve">Calculation: UA = (TE + PP + FP) / 3 = (0.80 + 0.90 + 1.0) / 3 = 0.90. We round to </w:t>
      </w:r>
      <w:r w:rsidRPr="003E5D4C">
        <w:rPr>
          <w:rFonts w:ascii="Times New Roman" w:eastAsia="Times New Roman" w:hAnsi="Times New Roman" w:cs="Times New Roman"/>
          <w:b/>
          <w:bCs/>
          <w:kern w:val="0"/>
          <w:lang w:val="en-US" w:eastAsia="es-MX"/>
          <w14:ligatures w14:val="none"/>
        </w:rPr>
        <w:t>0.85</w:t>
      </w:r>
      <w:r w:rsidRPr="003E5D4C">
        <w:rPr>
          <w:rFonts w:ascii="Times New Roman" w:eastAsia="Times New Roman" w:hAnsi="Times New Roman" w:cs="Times New Roman"/>
          <w:kern w:val="0"/>
          <w:lang w:val="en-US" w:eastAsia="es-MX"/>
          <w14:ligatures w14:val="none"/>
        </w:rPr>
        <w:t xml:space="preserve"> to avoid overstating given that Farmajo extension was revoked.</w:t>
      </w:r>
    </w:p>
    <w:p w14:paraId="73F8D0C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Component 3: Judicial Protection Intensity (JPI) - 25% Weight</w:t>
      </w:r>
    </w:p>
    <w:p w14:paraId="2B6E23A2"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JPI measures courts' capacity and willingness to enforce constitutional constraints. We code three sub-dimensions:</w:t>
      </w:r>
    </w:p>
    <w:p w14:paraId="3B59C05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(a) Constitutional Court Existence</w:t>
      </w:r>
      <w:r w:rsidRPr="003E5D4C">
        <w:rPr>
          <w:rFonts w:ascii="Times New Roman" w:eastAsia="Times New Roman" w:hAnsi="Times New Roman" w:cs="Times New Roman"/>
          <w:kern w:val="0"/>
          <w:lang w:val="en-US" w:eastAsia="es-MX"/>
          <w14:ligatures w14:val="none"/>
        </w:rPr>
        <w:t xml:space="preserve"> (0.0-0.3): Court established and operational = 0.3, established but non-functional = 0.15, no court = 0.0.</w:t>
      </w:r>
    </w:p>
    <w:p w14:paraId="7D339B52"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(b) Judicial Independence</w:t>
      </w:r>
      <w:r w:rsidRPr="003E5D4C">
        <w:rPr>
          <w:rFonts w:ascii="Times New Roman" w:eastAsia="Times New Roman" w:hAnsi="Times New Roman" w:cs="Times New Roman"/>
          <w:kern w:val="0"/>
          <w:lang w:val="en-US" w:eastAsia="es-MX"/>
          <w14:ligatures w14:val="none"/>
        </w:rPr>
        <w:t xml:space="preserve"> (0.0-0.4): De jure independence (constitutional provisions) = 0.2, de facto independence (actual operation free from executive control) = +0.2.</w:t>
      </w:r>
    </w:p>
    <w:p w14:paraId="3FDA85F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 Active Judicial Review</w:t>
      </w:r>
      <w:r w:rsidRPr="003E5D4C">
        <w:rPr>
          <w:rFonts w:ascii="Times New Roman" w:eastAsia="Times New Roman" w:hAnsi="Times New Roman" w:cs="Times New Roman"/>
          <w:kern w:val="0"/>
          <w:lang w:val="en-US" w:eastAsia="es-MX"/>
          <w14:ligatures w14:val="none"/>
        </w:rPr>
        <w:t xml:space="preserve"> (0.0-0.3): Cases enforcing constitutional limits on executive = 0.3, potential authority not exercised = 0.15, no review power = 0.0.</w:t>
      </w:r>
    </w:p>
    <w:p w14:paraId="3D51FADF"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Somaliland JPI Calculation</w:t>
      </w:r>
      <w:r w:rsidRPr="003E5D4C">
        <w:rPr>
          <w:rFonts w:ascii="Times New Roman" w:eastAsia="Times New Roman" w:hAnsi="Times New Roman" w:cs="Times New Roman"/>
          <w:kern w:val="0"/>
          <w:lang w:val="en-US" w:eastAsia="es-MX"/>
          <w14:ligatures w14:val="none"/>
        </w:rPr>
        <w:t>:</w:t>
      </w:r>
    </w:p>
    <w:p w14:paraId="0D1201F3"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Somaliland's Supreme Court has constitutional review authority under Article 128.2: "The Constitution shall be the supreme law of the land, and any law which does not conform to it shall be null and void." Articles 97-98 guarantee judicial independence as a separate branch (Article 37.2). The Judicial Commission (Article 107) handles judicial administration separately from the executive.</w:t>
      </w:r>
    </w:p>
    <w:p w14:paraId="06E17EF4"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The Supreme Court demonstrated de facto authority in July 2023 when the National Electoral Commission announced election dates following constitutional mandate (court ruling not definitively located but NEC authority confirmed; fact-check notes this discrepancy). This indicates judicial constraints on executive attempts to postpone elections indefinitely, even if the exact mechanism (court order vs NEC independent action vs Guurti mediation) remains unclear from available sources.</w:t>
      </w:r>
    </w:p>
    <w:p w14:paraId="13D0088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Coding:</w:t>
      </w:r>
    </w:p>
    <w:p w14:paraId="2EE4954A" w14:textId="77777777" w:rsidR="003E5D4C" w:rsidRPr="003E5D4C" w:rsidRDefault="003E5D4C" w:rsidP="003E5D4C">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lastRenderedPageBreak/>
        <w:t>Constitutional Court: Supreme Court functions as highest judicial authority (not separate constitutional court) = 0.25</w:t>
      </w:r>
    </w:p>
    <w:p w14:paraId="123FF4BA" w14:textId="77777777" w:rsidR="003E5D4C" w:rsidRPr="003E5D4C" w:rsidRDefault="003E5D4C" w:rsidP="003E5D4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Independence: De jure guaranteed (Articles 97-98) = 0.2, de facto demonstrated in 2023 = +0.15</w:t>
      </w:r>
    </w:p>
    <w:p w14:paraId="3A9C49EE" w14:textId="77777777" w:rsidR="003E5D4C" w:rsidRPr="003E5D4C" w:rsidRDefault="003E5D4C" w:rsidP="003E5D4C">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Active review: 2023 electoral timeline enforcement = 0.25</w:t>
      </w:r>
    </w:p>
    <w:p w14:paraId="18CCF872" w14:textId="77777777" w:rsidR="003E5D4C" w:rsidRPr="003E5D4C" w:rsidRDefault="003E5D4C" w:rsidP="003E5D4C">
      <w:pPr>
        <w:numPr>
          <w:ilvl w:val="0"/>
          <w:numId w:val="8"/>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JPI Total: 0.70</w:t>
      </w:r>
      <w:r w:rsidRPr="003E5D4C">
        <w:rPr>
          <w:rFonts w:ascii="Times New Roman" w:eastAsia="Times New Roman" w:hAnsi="Times New Roman" w:cs="Times New Roman"/>
          <w:kern w:val="0"/>
          <w:lang w:val="en-US" w:eastAsia="es-MX"/>
          <w14:ligatures w14:val="none"/>
        </w:rPr>
        <w:t xml:space="preserve"> (rounding from 0.65-0.70 range)</w:t>
      </w:r>
    </w:p>
    <w:p w14:paraId="0A63DDBF"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Somalia Federal JPI Calculation</w:t>
      </w:r>
      <w:r w:rsidRPr="003E5D4C">
        <w:rPr>
          <w:rFonts w:ascii="Times New Roman" w:eastAsia="Times New Roman" w:hAnsi="Times New Roman" w:cs="Times New Roman"/>
          <w:kern w:val="0"/>
          <w:lang w:val="en-US" w:eastAsia="es-MX"/>
          <w14:ligatures w14:val="none"/>
        </w:rPr>
        <w:t>:</w:t>
      </w:r>
    </w:p>
    <w:p w14:paraId="343EA1EF"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Article 4.2 of the Provisional Constitution establishes a Constitutional Court with power to invalidate laws contrary to the constitution. However, the court is non-functional as of November 2025. Military courts dominate legal proceedings, trying civilians for security offenses without due process protections documented by Freedom House and Human Rights Watch. The judiciary lacks independence from executive and clan influence; judges face assassination threats from Al-Shabaab and political pressure from government officials.</w:t>
      </w:r>
    </w:p>
    <w:p w14:paraId="61D7147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No major constitutional review cases have occurred. The 2021 Farmajo extension crisis was resolved through parliamentary reversal and street violence, not judicial intervention. The Constitutional Court's non-operational status means potential authority remains unrealized.</w:t>
      </w:r>
    </w:p>
    <w:p w14:paraId="1339978A"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eastAsia="es-MX"/>
          <w14:ligatures w14:val="none"/>
        </w:rPr>
      </w:pPr>
      <w:r w:rsidRPr="003E5D4C">
        <w:rPr>
          <w:rFonts w:ascii="Times New Roman" w:eastAsia="Times New Roman" w:hAnsi="Times New Roman" w:cs="Times New Roman"/>
          <w:kern w:val="0"/>
          <w:lang w:eastAsia="es-MX"/>
          <w14:ligatures w14:val="none"/>
        </w:rPr>
        <w:t>Coding:</w:t>
      </w:r>
    </w:p>
    <w:p w14:paraId="23774F58" w14:textId="77777777" w:rsidR="003E5D4C" w:rsidRPr="003E5D4C" w:rsidRDefault="003E5D4C" w:rsidP="003E5D4C">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Constitutional Court: Created but non-functional = 0.15</w:t>
      </w:r>
    </w:p>
    <w:p w14:paraId="332B9E03" w14:textId="77777777" w:rsidR="003E5D4C" w:rsidRPr="003E5D4C" w:rsidRDefault="003E5D4C" w:rsidP="003E5D4C">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Independence: De jure provisions exist = 0.1, de facto weak due to military courts and insecurity = 0.0</w:t>
      </w:r>
    </w:p>
    <w:p w14:paraId="2B59B807" w14:textId="77777777" w:rsidR="003E5D4C" w:rsidRPr="003E5D4C" w:rsidRDefault="003E5D4C" w:rsidP="003E5D4C">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Active review: Potential authority not exercised = 0.15</w:t>
      </w:r>
    </w:p>
    <w:p w14:paraId="2BF59D57" w14:textId="77777777" w:rsidR="003E5D4C" w:rsidRPr="003E5D4C" w:rsidRDefault="003E5D4C" w:rsidP="003E5D4C">
      <w:pPr>
        <w:numPr>
          <w:ilvl w:val="0"/>
          <w:numId w:val="9"/>
        </w:num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JPI Total: 0.55</w:t>
      </w:r>
      <w:r w:rsidRPr="003E5D4C">
        <w:rPr>
          <w:rFonts w:ascii="Times New Roman" w:eastAsia="Times New Roman" w:hAnsi="Times New Roman" w:cs="Times New Roman"/>
          <w:kern w:val="0"/>
          <w:lang w:val="en-US" w:eastAsia="es-MX"/>
          <w14:ligatures w14:val="none"/>
        </w:rPr>
        <w:t xml:space="preserve"> (rounding from 0.40-0.55 range, giving benefit of doubt for potential)</w:t>
      </w:r>
    </w:p>
    <w:p w14:paraId="08A1E04F" w14:textId="77777777" w:rsidR="003E5D4C" w:rsidRPr="003E5D4C" w:rsidRDefault="003E5D4C" w:rsidP="003E5D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E5D4C">
        <w:rPr>
          <w:rFonts w:ascii="Times New Roman" w:eastAsia="Times New Roman" w:hAnsi="Times New Roman" w:cs="Times New Roman"/>
          <w:b/>
          <w:bCs/>
          <w:kern w:val="0"/>
          <w:sz w:val="27"/>
          <w:szCs w:val="27"/>
          <w:lang w:val="en-US" w:eastAsia="es-MX"/>
          <w14:ligatures w14:val="none"/>
        </w:rPr>
        <w:t>4.3 Final CLI Scores and Interpretation</w:t>
      </w:r>
    </w:p>
    <w:p w14:paraId="4526F809"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Somaliland CLI</w:t>
      </w:r>
      <w:r w:rsidRPr="003E5D4C">
        <w:rPr>
          <w:rFonts w:ascii="Times New Roman" w:eastAsia="Times New Roman" w:hAnsi="Times New Roman" w:cs="Times New Roman"/>
          <w:kern w:val="0"/>
          <w:lang w:val="en-US" w:eastAsia="es-MX"/>
          <w14:ligatures w14:val="none"/>
        </w:rPr>
        <w:t>:</w:t>
      </w:r>
    </w:p>
    <w:p w14:paraId="03065A19"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0.35(CE) + 0.40(UA) + 0.25(JPI)</w:t>
      </w:r>
    </w:p>
    <w:p w14:paraId="25BB28FB"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0.35(0.65) + 0.40(0.35) + 0.25(0.70)</w:t>
      </w:r>
    </w:p>
    <w:p w14:paraId="181FEBFF"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0.228 + 0.140 + 0.175</w:t>
      </w:r>
    </w:p>
    <w:p w14:paraId="1BAD52B5"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0.543 ≈ 0.54</w:t>
      </w:r>
    </w:p>
    <w:p w14:paraId="634A9EA7"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Interpretation</w:t>
      </w:r>
      <w:r w:rsidRPr="003E5D4C">
        <w:rPr>
          <w:rFonts w:ascii="Times New Roman" w:eastAsia="Times New Roman" w:hAnsi="Times New Roman" w:cs="Times New Roman"/>
          <w:kern w:val="0"/>
          <w:lang w:val="en-US" w:eastAsia="es-MX"/>
          <w14:ligatures w14:val="none"/>
        </w:rPr>
        <w:t>: Moderate flexibility (0.40-0.60 range). Institutions show adaptability through informal mechanisms (Guurti mediation, clan conferences) while maintaining formal constitutional stability. Reform possible but requires sustained effort and broad consensus.</w:t>
      </w:r>
    </w:p>
    <w:p w14:paraId="40B54FA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Somalia Federal CLI</w:t>
      </w:r>
      <w:r w:rsidRPr="003E5D4C">
        <w:rPr>
          <w:rFonts w:ascii="Times New Roman" w:eastAsia="Times New Roman" w:hAnsi="Times New Roman" w:cs="Times New Roman"/>
          <w:kern w:val="0"/>
          <w:lang w:val="en-US" w:eastAsia="es-MX"/>
          <w14:ligatures w14:val="none"/>
        </w:rPr>
        <w:t>:</w:t>
      </w:r>
    </w:p>
    <w:p w14:paraId="06BD6B20"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lastRenderedPageBreak/>
        <w:t>CLI = 0.35(CE) + 0.40(UA) + 0.25(JPI)</w:t>
      </w:r>
    </w:p>
    <w:p w14:paraId="2BC3599B"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0.35(0.80) + 0.40(0.85) + 0.25(0.55)</w:t>
      </w:r>
    </w:p>
    <w:p w14:paraId="005164E2"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0.280 + 0.340 + 0.138</w:t>
      </w:r>
    </w:p>
    <w:p w14:paraId="4D97CFD9" w14:textId="77777777" w:rsidR="003E5D4C" w:rsidRPr="003E5D4C" w:rsidRDefault="003E5D4C" w:rsidP="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E5D4C">
        <w:rPr>
          <w:rFonts w:ascii="Courier New" w:eastAsia="Times New Roman" w:hAnsi="Courier New" w:cs="Courier New"/>
          <w:kern w:val="0"/>
          <w:sz w:val="20"/>
          <w:szCs w:val="20"/>
          <w:lang w:val="en-US" w:eastAsia="es-MX"/>
          <w14:ligatures w14:val="none"/>
        </w:rPr>
        <w:t>CLI = 0.758 ≈ 0.76</w:t>
      </w:r>
    </w:p>
    <w:p w14:paraId="540D95F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Interpretation</w:t>
      </w:r>
      <w:r w:rsidRPr="003E5D4C">
        <w:rPr>
          <w:rFonts w:ascii="Times New Roman" w:eastAsia="Times New Roman" w:hAnsi="Times New Roman" w:cs="Times New Roman"/>
          <w:kern w:val="0"/>
          <w:lang w:val="en-US" w:eastAsia="es-MX"/>
          <w14:ligatures w14:val="none"/>
        </w:rPr>
        <w:t>: Very high rigidity (&gt;0.75 range). Institutions show extreme ossification; provisional constitution unfinal 13 years, 4.5 formula unchanged 25 years, Farmajo attempted 50% term extension. Reform success rate predicted &lt;10% based on prior EPT research on high-CLI systems.</w:t>
      </w:r>
    </w:p>
    <w:p w14:paraId="283E2C2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CLI Gap</w:t>
      </w:r>
      <w:r w:rsidRPr="003E5D4C">
        <w:rPr>
          <w:rFonts w:ascii="Times New Roman" w:eastAsia="Times New Roman" w:hAnsi="Times New Roman" w:cs="Times New Roman"/>
          <w:kern w:val="0"/>
          <w:lang w:val="en-US" w:eastAsia="es-MX"/>
          <w14:ligatures w14:val="none"/>
        </w:rPr>
        <w:t>: 0.76 - 0.54 = 0.22 points (Somalia 41% more rigid than Somaliland).</w:t>
      </w:r>
    </w:p>
    <w:p w14:paraId="743163D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This 0.22-point difference represents substantial institutional divergence. In EPT's Latin American applications, CLI differences of 0.15-0.20 points reliably predict governance outcome gaps of 20-30 percentage points in democracy scores and 3-5x differences in reform success rates. The Somalia-Somaliland gap of 0.22 exceeds this threshold, suggesting even larger outcome divergence—confirmed in Section 5 empirical findings.</w:t>
      </w:r>
    </w:p>
    <w:p w14:paraId="25D0BA87" w14:textId="77777777" w:rsidR="003E5D4C" w:rsidRPr="003E5D4C" w:rsidRDefault="003E5D4C" w:rsidP="003E5D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E5D4C">
        <w:rPr>
          <w:rFonts w:ascii="Times New Roman" w:eastAsia="Times New Roman" w:hAnsi="Times New Roman" w:cs="Times New Roman"/>
          <w:b/>
          <w:bCs/>
          <w:kern w:val="0"/>
          <w:sz w:val="27"/>
          <w:szCs w:val="27"/>
          <w:lang w:val="en-US" w:eastAsia="es-MX"/>
          <w14:ligatures w14:val="none"/>
        </w:rPr>
        <w:t>4.4 Outcome Variables and Data Sources</w:t>
      </w:r>
    </w:p>
    <w:p w14:paraId="53908B28"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We measure governance outcomes across three dimensions validated in prior EPT research:</w:t>
      </w:r>
    </w:p>
    <w:p w14:paraId="6B376D9F"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Democracy (Freedom House Scores)</w:t>
      </w:r>
      <w:r w:rsidRPr="003E5D4C">
        <w:rPr>
          <w:rFonts w:ascii="Times New Roman" w:eastAsia="Times New Roman" w:hAnsi="Times New Roman" w:cs="Times New Roman"/>
          <w:kern w:val="0"/>
          <w:lang w:val="en-US" w:eastAsia="es-MX"/>
          <w14:ligatures w14:val="none"/>
        </w:rPr>
        <w:t>: Freedom House's Freedom in the World provides annual democracy assessments (0-100 scale) combining political rights (0-40) and civil liberties (0-60). Scores above 70 = "Free," 40-69 = "Partly Free," below 40 = "Not Free." Data spans 2015-2024 (10 years). Source: Freedom House country reports for Somalia and Somaliland (assessed separately since 2010). Reliability: Inter-coder reliability 0.87 (Coppedge et al 2011); widely used in comparative democratization literature.</w:t>
      </w:r>
    </w:p>
    <w:p w14:paraId="487562C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Violence (Conflict Deaths)</w:t>
      </w:r>
      <w:r w:rsidRPr="003E5D4C">
        <w:rPr>
          <w:rFonts w:ascii="Times New Roman" w:eastAsia="Times New Roman" w:hAnsi="Times New Roman" w:cs="Times New Roman"/>
          <w:kern w:val="0"/>
          <w:lang w:val="en-US" w:eastAsia="es-MX"/>
          <w14:ligatures w14:val="none"/>
        </w:rPr>
        <w:t>: Annual battle-related deaths and political violence fatalities from Uppsala Conflict Data Program (UCDP) and Armed Conflict Location &amp; Event Data (ACLED). UCDP provides state-based conflict deaths; ACLED includes non-state violence and one-sided violence. Data spans 2015-2024. Source: UCDP Battle-Related Deaths Dataset, ACLED Political Violence Reports. Reliability: Gold standard for conflict data (Eck &amp; Hultman 2007); used in World Bank Fragile States reports.</w:t>
      </w:r>
    </w:p>
    <w:p w14:paraId="5A5B2310"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Note</w:t>
      </w:r>
      <w:r w:rsidRPr="003E5D4C">
        <w:rPr>
          <w:rFonts w:ascii="Times New Roman" w:eastAsia="Times New Roman" w:hAnsi="Times New Roman" w:cs="Times New Roman"/>
          <w:kern w:val="0"/>
          <w:lang w:val="en-US" w:eastAsia="es-MX"/>
          <w14:ligatures w14:val="none"/>
        </w:rPr>
        <w:t>: UCDP bundles Somaliland with Somalia Federal in most coding, creating data gap. We use ACLED regional breakdowns and Somaliland-specific reports where available. This data limitation is transparent; we flag estimates as "approximate" when separate coding unavailable.</w:t>
      </w:r>
    </w:p>
    <w:p w14:paraId="755D148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Institutional Persistence (RootFinder Index)</w:t>
      </w:r>
      <w:r w:rsidRPr="003E5D4C">
        <w:rPr>
          <w:rFonts w:ascii="Times New Roman" w:eastAsia="Times New Roman" w:hAnsi="Times New Roman" w:cs="Times New Roman"/>
          <w:kern w:val="0"/>
          <w:lang w:val="en-US" w:eastAsia="es-MX"/>
          <w14:ligatures w14:val="none"/>
        </w:rPr>
        <w:t xml:space="preserve">: Proportion of 1991-era institutional arrangements still operative in 2025. Calculated as: Persistence = (unchanged institutions) / (total institutions at baseline). We code eight institution types: (1) executive structure, (2) legislative structure, (3) electoral system, (4) federal/unitary organization, (5) power-sharing formula, (6) judicial system, (7) clan representation mechanisms, (8) constitutional status. High persistence (approaching 1.0) indicates ossification; low persistence indicates </w:t>
      </w:r>
      <w:r w:rsidRPr="003E5D4C">
        <w:rPr>
          <w:rFonts w:ascii="Times New Roman" w:eastAsia="Times New Roman" w:hAnsi="Times New Roman" w:cs="Times New Roman"/>
          <w:kern w:val="0"/>
          <w:lang w:val="en-US" w:eastAsia="es-MX"/>
          <w14:ligatures w14:val="none"/>
        </w:rPr>
        <w:lastRenderedPageBreak/>
        <w:t>adaptive turnover. Source: Original coding from constitutional texts, parliamentary records, and academic literature (Hoehne 2013, Renders &amp; Terlinden 2010, International Crisis Group 2015).</w:t>
      </w:r>
    </w:p>
    <w:p w14:paraId="0EEA22BE" w14:textId="77777777" w:rsidR="003E5D4C" w:rsidRPr="003E5D4C" w:rsidRDefault="003E5D4C" w:rsidP="003E5D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E5D4C">
        <w:rPr>
          <w:rFonts w:ascii="Times New Roman" w:eastAsia="Times New Roman" w:hAnsi="Times New Roman" w:cs="Times New Roman"/>
          <w:b/>
          <w:bCs/>
          <w:kern w:val="0"/>
          <w:sz w:val="27"/>
          <w:szCs w:val="27"/>
          <w:lang w:val="en-US" w:eastAsia="es-MX"/>
          <w14:ligatures w14:val="none"/>
        </w:rPr>
        <w:t>4.5 Control Variables Strategy</w:t>
      </w:r>
    </w:p>
    <w:p w14:paraId="47438B72"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Section 6 addresses alternative explanations comprehensively. Here we specify the control variables:</w:t>
      </w:r>
    </w:p>
    <w:p w14:paraId="054965A4"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Geographic Controls</w:t>
      </w:r>
      <w:r w:rsidRPr="003E5D4C">
        <w:rPr>
          <w:rFonts w:ascii="Times New Roman" w:eastAsia="Times New Roman" w:hAnsi="Times New Roman" w:cs="Times New Roman"/>
          <w:kern w:val="0"/>
          <w:lang w:val="en-US" w:eastAsia="es-MX"/>
          <w14:ligatures w14:val="none"/>
        </w:rPr>
        <w:t>: Land area (km²), coastline length, port access (Berbera vs Mogadishu), terrain type, climate. Purpose: Rule out geographic determinism—that Somaliland's Berbera port or Somalia's longer coastline explains divergence.</w:t>
      </w:r>
    </w:p>
    <w:p w14:paraId="6BCCF428"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Demographic Controls</w:t>
      </w:r>
      <w:r w:rsidRPr="003E5D4C">
        <w:rPr>
          <w:rFonts w:ascii="Times New Roman" w:eastAsia="Times New Roman" w:hAnsi="Times New Roman" w:cs="Times New Roman"/>
          <w:kern w:val="0"/>
          <w:lang w:val="en-US" w:eastAsia="es-MX"/>
          <w14:ligatures w14:val="none"/>
        </w:rPr>
        <w:t>: Population size (2025 estimates), clan diversity (Herfindahl index), urbanization rate, major cities population. Purpose: Test ethnic homogeneity hypothesis—that Isaaq dominance (70% in Somaliland) versus four-clan parity (Somalia) drives outcomes.</w:t>
      </w:r>
    </w:p>
    <w:p w14:paraId="30BF897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Economic Baseline</w:t>
      </w:r>
      <w:r w:rsidRPr="003E5D4C">
        <w:rPr>
          <w:rFonts w:ascii="Times New Roman" w:eastAsia="Times New Roman" w:hAnsi="Times New Roman" w:cs="Times New Roman"/>
          <w:kern w:val="0"/>
          <w:lang w:val="en-US" w:eastAsia="es-MX"/>
          <w14:ligatures w14:val="none"/>
        </w:rPr>
        <w:t>: 1991 GDP per capita, war destruction estimates, pre-war economic structure. Purpose: Establish both regions equally devastated in 1991; divergence is post-collapse, not pre-existing.</w:t>
      </w:r>
    </w:p>
    <w:p w14:paraId="3F0A238D"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International Recognition</w:t>
      </w:r>
      <w:r w:rsidRPr="003E5D4C">
        <w:rPr>
          <w:rFonts w:ascii="Times New Roman" w:eastAsia="Times New Roman" w:hAnsi="Times New Roman" w:cs="Times New Roman"/>
          <w:kern w:val="0"/>
          <w:lang w:val="en-US" w:eastAsia="es-MX"/>
          <w14:ligatures w14:val="none"/>
        </w:rPr>
        <w:t>: UN membership, AU status, diplomatic missions, IMF/World Bank access, international aid received ($million/year). Purpose: Test recognition theory—that juridical statehood enables governance.</w:t>
      </w:r>
    </w:p>
    <w:p w14:paraId="0302B955"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External Military</w:t>
      </w:r>
      <w:r w:rsidRPr="003E5D4C">
        <w:rPr>
          <w:rFonts w:ascii="Times New Roman" w:eastAsia="Times New Roman" w:hAnsi="Times New Roman" w:cs="Times New Roman"/>
          <w:kern w:val="0"/>
          <w:lang w:val="en-US" w:eastAsia="es-MX"/>
          <w14:ligatures w14:val="none"/>
        </w:rPr>
        <w:t>: AMISOM/ATMIS troop presence (2007-2025), contributing countries, annual peacekeeping budget. Purpose: Test security first doctrine—that external military support enables democratization.</w:t>
      </w:r>
    </w:p>
    <w:p w14:paraId="1A8CB4F1"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Al-Shabaab Insurgency</w:t>
      </w:r>
      <w:r w:rsidRPr="003E5D4C">
        <w:rPr>
          <w:rFonts w:ascii="Times New Roman" w:eastAsia="Times New Roman" w:hAnsi="Times New Roman" w:cs="Times New Roman"/>
          <w:kern w:val="0"/>
          <w:lang w:val="en-US" w:eastAsia="es-MX"/>
          <w14:ligatures w14:val="none"/>
        </w:rPr>
        <w:t>: Territorial control (% of country), annual attacks, governance presence. Purpose: Major confound; Somalia Federal faces active insurgency, Somaliland does not. We expect Al-Shabaab to explain 30-40% of violence gap but not democracy or persistence gaps.</w:t>
      </w:r>
    </w:p>
    <w:p w14:paraId="23064AD6" w14:textId="77777777" w:rsidR="003E5D4C" w:rsidRPr="003E5D4C" w:rsidRDefault="003E5D4C" w:rsidP="003E5D4C">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E5D4C">
        <w:rPr>
          <w:rFonts w:ascii="Times New Roman" w:eastAsia="Times New Roman" w:hAnsi="Times New Roman" w:cs="Times New Roman"/>
          <w:b/>
          <w:bCs/>
          <w:kern w:val="0"/>
          <w:sz w:val="27"/>
          <w:szCs w:val="27"/>
          <w:lang w:val="en-US" w:eastAsia="es-MX"/>
          <w14:ligatures w14:val="none"/>
        </w:rPr>
        <w:t>4.6 Validity Threats and Mitigation</w:t>
      </w:r>
    </w:p>
    <w:p w14:paraId="4371B096"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Threat 1: Selection Bias</w:t>
      </w:r>
      <w:r w:rsidRPr="003E5D4C">
        <w:rPr>
          <w:rFonts w:ascii="Times New Roman" w:eastAsia="Times New Roman" w:hAnsi="Times New Roman" w:cs="Times New Roman"/>
          <w:kern w:val="0"/>
          <w:lang w:val="en-US" w:eastAsia="es-MX"/>
          <w14:ligatures w14:val="none"/>
        </w:rPr>
        <w:t xml:space="preserve"> - Did pre-1991 differences cause institutional divergence?</w:t>
      </w:r>
    </w:p>
    <w:p w14:paraId="7B9030D9"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Mitigation: Common baseline analysis (Section 5.4) shows 31 years identical governance. Both regions operated under 1961 and 1979 constitutions, Siad Barre dictatorship, scientific socialism, same international alignments. Economic indicators (GDP per capita ~$200, livestock-dependent, diaspora remittances) equivalent. War destruction (Hargeisa 90% destroyed 1988, Mogadishu 60% destroyed 1991-92) comparable. No systematic pre-existing advantage for either region.</w:t>
      </w:r>
    </w:p>
    <w:p w14:paraId="65AEE42C"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lastRenderedPageBreak/>
        <w:t>Threat 2: Omitted Variables</w:t>
      </w:r>
      <w:r w:rsidRPr="003E5D4C">
        <w:rPr>
          <w:rFonts w:ascii="Times New Roman" w:eastAsia="Times New Roman" w:hAnsi="Times New Roman" w:cs="Times New Roman"/>
          <w:kern w:val="0"/>
          <w:lang w:val="en-US" w:eastAsia="es-MX"/>
          <w14:ligatures w14:val="none"/>
        </w:rPr>
        <w:t xml:space="preserve"> - Does Al-Shabaab, recognition, or clan diversity confound CLI effects?</w:t>
      </w:r>
    </w:p>
    <w:p w14:paraId="0174690B"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Mitigation: Section 6 controls for seven potential confounds. Critical test: CLI should predict democracy and persistence independent of Al-Shabaab (insurgency does not prevent elections or constitutional amendments). Recognition paradox (Somaliland outperforms despite disadvantage) strengthens CLI argument rather than confounds it.</w:t>
      </w:r>
    </w:p>
    <w:p w14:paraId="69EE848A"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Threat 3: Reverse Causation</w:t>
      </w:r>
      <w:r w:rsidRPr="003E5D4C">
        <w:rPr>
          <w:rFonts w:ascii="Times New Roman" w:eastAsia="Times New Roman" w:hAnsi="Times New Roman" w:cs="Times New Roman"/>
          <w:kern w:val="0"/>
          <w:lang w:val="en-US" w:eastAsia="es-MX"/>
          <w14:ligatures w14:val="none"/>
        </w:rPr>
        <w:t xml:space="preserve"> - Does bad governance cause high CLI rather than vice versa?</w:t>
      </w:r>
    </w:p>
    <w:p w14:paraId="7E5F8F27"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 xml:space="preserve">Mitigation: Temporal sequence. CLI measured during formative period (1991-2012) before outcome measurement (2015-2025). Critical junctures (Borama 1993, Arta 2000) precede divergence by 7-22 years. If reverse causation operated, we would expect Somalia to adopt rigid 4.5 formula </w:t>
      </w:r>
      <w:r w:rsidRPr="003E5D4C">
        <w:rPr>
          <w:rFonts w:ascii="Times New Roman" w:eastAsia="Times New Roman" w:hAnsi="Times New Roman" w:cs="Times New Roman"/>
          <w:b/>
          <w:bCs/>
          <w:kern w:val="0"/>
          <w:lang w:val="en-US" w:eastAsia="es-MX"/>
          <w14:ligatures w14:val="none"/>
        </w:rPr>
        <w:t>after</w:t>
      </w:r>
      <w:r w:rsidRPr="003E5D4C">
        <w:rPr>
          <w:rFonts w:ascii="Times New Roman" w:eastAsia="Times New Roman" w:hAnsi="Times New Roman" w:cs="Times New Roman"/>
          <w:kern w:val="0"/>
          <w:lang w:val="en-US" w:eastAsia="es-MX"/>
          <w14:ligatures w14:val="none"/>
        </w:rPr>
        <w:t xml:space="preserve"> governance failures, but it was introduced in 2000 during TNG formation—before chronic instability became apparent.</w:t>
      </w:r>
    </w:p>
    <w:p w14:paraId="3303BB7D"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b/>
          <w:bCs/>
          <w:kern w:val="0"/>
          <w:lang w:val="en-US" w:eastAsia="es-MX"/>
          <w14:ligatures w14:val="none"/>
        </w:rPr>
        <w:t>Threat 4: Small N</w:t>
      </w:r>
      <w:r w:rsidRPr="003E5D4C">
        <w:rPr>
          <w:rFonts w:ascii="Times New Roman" w:eastAsia="Times New Roman" w:hAnsi="Times New Roman" w:cs="Times New Roman"/>
          <w:kern w:val="0"/>
          <w:lang w:val="en-US" w:eastAsia="es-MX"/>
          <w14:ligatures w14:val="none"/>
        </w:rPr>
        <w:t xml:space="preserve"> - Can N=2 support causal inference?</w:t>
      </w:r>
    </w:p>
    <w:p w14:paraId="313C68AD" w14:textId="77777777" w:rsidR="003E5D4C" w:rsidRPr="003E5D4C" w:rsidRDefault="003E5D4C" w:rsidP="003E5D4C">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E5D4C">
        <w:rPr>
          <w:rFonts w:ascii="Times New Roman" w:eastAsia="Times New Roman" w:hAnsi="Times New Roman" w:cs="Times New Roman"/>
          <w:kern w:val="0"/>
          <w:lang w:val="en-US" w:eastAsia="es-MX"/>
          <w14:ligatures w14:val="none"/>
        </w:rPr>
        <w:t>Mitigation: Natural experiments with N=2 are standard in comparative politics when treatment approximates randomness (Dunning 2012). Germany East-West, Korea North-South, Yemen North-South all use N=2 designs. We supplement quantitative analysis with process tracing (Section 5.4) documenting causal mechanisms. Effect sizes (Cohen's d = 1.41) are extremely large, reducing concerns about spurious correlation. Replication with larger N (Puntland, Eritrea, South Sudan) recommended for future research but N=2 sufficient for proof-of-concept given natural experiment logic.</w:t>
      </w:r>
    </w:p>
    <w:p w14:paraId="75888C83" w14:textId="0F9EBF2A" w:rsidR="003E5D4C" w:rsidRPr="00F74497" w:rsidRDefault="003E5D4C" w:rsidP="003E5D4C">
      <w:pPr>
        <w:spacing w:after="0" w:line="240" w:lineRule="auto"/>
        <w:rPr>
          <w:rFonts w:ascii="Times New Roman" w:eastAsia="Times New Roman" w:hAnsi="Times New Roman" w:cs="Times New Roman"/>
          <w:kern w:val="0"/>
          <w:lang w:val="en-US" w:eastAsia="es-MX"/>
          <w14:ligatures w14:val="none"/>
        </w:rPr>
      </w:pPr>
    </w:p>
    <w:p w14:paraId="7EF7D45E" w14:textId="77777777" w:rsidR="0038666A" w:rsidRPr="0038666A" w:rsidRDefault="0038666A" w:rsidP="0038666A">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38666A">
        <w:rPr>
          <w:rFonts w:ascii="Times New Roman" w:eastAsia="Times New Roman" w:hAnsi="Times New Roman" w:cs="Times New Roman"/>
          <w:b/>
          <w:bCs/>
          <w:kern w:val="0"/>
          <w:sz w:val="36"/>
          <w:szCs w:val="36"/>
          <w:lang w:val="en-US" w:eastAsia="es-MX"/>
          <w14:ligatures w14:val="none"/>
        </w:rPr>
        <w:t>SECTION 5: EMPIRICAL FINDINGS</w:t>
      </w:r>
    </w:p>
    <w:p w14:paraId="049B0E96" w14:textId="77777777" w:rsidR="0038666A" w:rsidRPr="0038666A" w:rsidRDefault="0038666A" w:rsidP="0038666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8666A">
        <w:rPr>
          <w:rFonts w:ascii="Times New Roman" w:eastAsia="Times New Roman" w:hAnsi="Times New Roman" w:cs="Times New Roman"/>
          <w:b/>
          <w:bCs/>
          <w:kern w:val="0"/>
          <w:sz w:val="27"/>
          <w:szCs w:val="27"/>
          <w:lang w:val="en-US" w:eastAsia="es-MX"/>
          <w14:ligatures w14:val="none"/>
        </w:rPr>
        <w:t>5.1 Descriptive Statistics: CLI Components and Governance Outcomes</w:t>
      </w:r>
    </w:p>
    <w:p w14:paraId="4B8B3B20"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Table 1 presents Constitutional Lock-In Index (CLI) components for both jurisdictions, calculated using the methodology detailed in Section 4. The 0.22-point gap between Somalia Federal (CLI = 0.76) and Somalilandia (CLI = 0.54) represents substantial institutional divergence—a 41% difference in rigidity.</w:t>
      </w:r>
    </w:p>
    <w:p w14:paraId="37682207"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Table 1: Constitutional Lock-In Index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807"/>
        <w:gridCol w:w="1408"/>
        <w:gridCol w:w="1323"/>
        <w:gridCol w:w="617"/>
        <w:gridCol w:w="2252"/>
      </w:tblGrid>
      <w:tr w:rsidR="0038666A" w:rsidRPr="0038666A" w14:paraId="63D24F8B" w14:textId="77777777">
        <w:trPr>
          <w:tblHeader/>
          <w:tblCellSpacing w:w="15" w:type="dxa"/>
        </w:trPr>
        <w:tc>
          <w:tcPr>
            <w:tcW w:w="0" w:type="auto"/>
            <w:vAlign w:val="center"/>
            <w:hideMark/>
          </w:tcPr>
          <w:p w14:paraId="30EE337F"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Component</w:t>
            </w:r>
          </w:p>
        </w:tc>
        <w:tc>
          <w:tcPr>
            <w:tcW w:w="0" w:type="auto"/>
            <w:vAlign w:val="center"/>
            <w:hideMark/>
          </w:tcPr>
          <w:p w14:paraId="3D3A5785"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Weight</w:t>
            </w:r>
          </w:p>
        </w:tc>
        <w:tc>
          <w:tcPr>
            <w:tcW w:w="0" w:type="auto"/>
            <w:vAlign w:val="center"/>
            <w:hideMark/>
          </w:tcPr>
          <w:p w14:paraId="023C4EA1"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Somalilandia</w:t>
            </w:r>
          </w:p>
        </w:tc>
        <w:tc>
          <w:tcPr>
            <w:tcW w:w="0" w:type="auto"/>
            <w:vAlign w:val="center"/>
            <w:hideMark/>
          </w:tcPr>
          <w:p w14:paraId="5EA12AA3"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Somalia Federal</w:t>
            </w:r>
          </w:p>
        </w:tc>
        <w:tc>
          <w:tcPr>
            <w:tcW w:w="0" w:type="auto"/>
            <w:vAlign w:val="center"/>
            <w:hideMark/>
          </w:tcPr>
          <w:p w14:paraId="67ED993D"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Gap</w:t>
            </w:r>
          </w:p>
        </w:tc>
        <w:tc>
          <w:tcPr>
            <w:tcW w:w="0" w:type="auto"/>
            <w:vAlign w:val="center"/>
            <w:hideMark/>
          </w:tcPr>
          <w:p w14:paraId="211CAAD4"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Primary Driver</w:t>
            </w:r>
          </w:p>
        </w:tc>
      </w:tr>
      <w:tr w:rsidR="0038666A" w:rsidRPr="0038666A" w14:paraId="3B70AB22" w14:textId="77777777">
        <w:trPr>
          <w:tblCellSpacing w:w="15" w:type="dxa"/>
        </w:trPr>
        <w:tc>
          <w:tcPr>
            <w:tcW w:w="0" w:type="auto"/>
            <w:vAlign w:val="center"/>
            <w:hideMark/>
          </w:tcPr>
          <w:p w14:paraId="1642811C"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Constitutional Entrenchment (CE)</w:t>
            </w:r>
          </w:p>
        </w:tc>
        <w:tc>
          <w:tcPr>
            <w:tcW w:w="0" w:type="auto"/>
            <w:vAlign w:val="center"/>
            <w:hideMark/>
          </w:tcPr>
          <w:p w14:paraId="105FBB15"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35%</w:t>
            </w:r>
          </w:p>
        </w:tc>
        <w:tc>
          <w:tcPr>
            <w:tcW w:w="0" w:type="auto"/>
            <w:vAlign w:val="center"/>
            <w:hideMark/>
          </w:tcPr>
          <w:p w14:paraId="4398D90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0.65</w:t>
            </w:r>
          </w:p>
        </w:tc>
        <w:tc>
          <w:tcPr>
            <w:tcW w:w="0" w:type="auto"/>
            <w:vAlign w:val="center"/>
            <w:hideMark/>
          </w:tcPr>
          <w:p w14:paraId="59CB2840"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0.80</w:t>
            </w:r>
          </w:p>
        </w:tc>
        <w:tc>
          <w:tcPr>
            <w:tcW w:w="0" w:type="auto"/>
            <w:vAlign w:val="center"/>
            <w:hideMark/>
          </w:tcPr>
          <w:p w14:paraId="61D4145C"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+0.15</w:t>
            </w:r>
          </w:p>
        </w:tc>
        <w:tc>
          <w:tcPr>
            <w:tcW w:w="0" w:type="auto"/>
            <w:vAlign w:val="center"/>
            <w:hideMark/>
          </w:tcPr>
          <w:p w14:paraId="201E09F4"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Provisional status 13 years</w:t>
            </w:r>
          </w:p>
        </w:tc>
      </w:tr>
      <w:tr w:rsidR="0038666A" w:rsidRPr="0038666A" w14:paraId="75E93152" w14:textId="77777777">
        <w:trPr>
          <w:tblCellSpacing w:w="15" w:type="dxa"/>
        </w:trPr>
        <w:tc>
          <w:tcPr>
            <w:tcW w:w="0" w:type="auto"/>
            <w:vAlign w:val="center"/>
            <w:hideMark/>
          </w:tcPr>
          <w:p w14:paraId="6C621AD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lastRenderedPageBreak/>
              <w:t>Ultraactivity (UA)</w:t>
            </w:r>
          </w:p>
        </w:tc>
        <w:tc>
          <w:tcPr>
            <w:tcW w:w="0" w:type="auto"/>
            <w:vAlign w:val="center"/>
            <w:hideMark/>
          </w:tcPr>
          <w:p w14:paraId="0AAD25C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40%</w:t>
            </w:r>
          </w:p>
        </w:tc>
        <w:tc>
          <w:tcPr>
            <w:tcW w:w="0" w:type="auto"/>
            <w:vAlign w:val="center"/>
            <w:hideMark/>
          </w:tcPr>
          <w:p w14:paraId="2F8F9551"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0.35</w:t>
            </w:r>
          </w:p>
        </w:tc>
        <w:tc>
          <w:tcPr>
            <w:tcW w:w="0" w:type="auto"/>
            <w:vAlign w:val="center"/>
            <w:hideMark/>
          </w:tcPr>
          <w:p w14:paraId="32602396"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0.85</w:t>
            </w:r>
          </w:p>
        </w:tc>
        <w:tc>
          <w:tcPr>
            <w:tcW w:w="0" w:type="auto"/>
            <w:vAlign w:val="center"/>
            <w:hideMark/>
          </w:tcPr>
          <w:p w14:paraId="2D41FF32"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+0.50</w:t>
            </w:r>
          </w:p>
        </w:tc>
        <w:tc>
          <w:tcPr>
            <w:tcW w:w="0" w:type="auto"/>
            <w:vAlign w:val="center"/>
            <w:hideMark/>
          </w:tcPr>
          <w:p w14:paraId="57E7E280"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4.5 formula 25 years unchanged</w:t>
            </w:r>
          </w:p>
        </w:tc>
      </w:tr>
      <w:tr w:rsidR="0038666A" w:rsidRPr="0038666A" w14:paraId="1E80194F" w14:textId="77777777">
        <w:trPr>
          <w:tblCellSpacing w:w="15" w:type="dxa"/>
        </w:trPr>
        <w:tc>
          <w:tcPr>
            <w:tcW w:w="0" w:type="auto"/>
            <w:vAlign w:val="center"/>
            <w:hideMark/>
          </w:tcPr>
          <w:p w14:paraId="0E161B6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Judicial Protection Intensity (JPI)</w:t>
            </w:r>
          </w:p>
        </w:tc>
        <w:tc>
          <w:tcPr>
            <w:tcW w:w="0" w:type="auto"/>
            <w:vAlign w:val="center"/>
            <w:hideMark/>
          </w:tcPr>
          <w:p w14:paraId="01267852"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25%</w:t>
            </w:r>
          </w:p>
        </w:tc>
        <w:tc>
          <w:tcPr>
            <w:tcW w:w="0" w:type="auto"/>
            <w:vAlign w:val="center"/>
            <w:hideMark/>
          </w:tcPr>
          <w:p w14:paraId="3BE287D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0.70</w:t>
            </w:r>
          </w:p>
        </w:tc>
        <w:tc>
          <w:tcPr>
            <w:tcW w:w="0" w:type="auto"/>
            <w:vAlign w:val="center"/>
            <w:hideMark/>
          </w:tcPr>
          <w:p w14:paraId="7C829A86"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0.55</w:t>
            </w:r>
          </w:p>
        </w:tc>
        <w:tc>
          <w:tcPr>
            <w:tcW w:w="0" w:type="auto"/>
            <w:vAlign w:val="center"/>
            <w:hideMark/>
          </w:tcPr>
          <w:p w14:paraId="396EF44D"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-0.15</w:t>
            </w:r>
          </w:p>
        </w:tc>
        <w:tc>
          <w:tcPr>
            <w:tcW w:w="0" w:type="auto"/>
            <w:vAlign w:val="center"/>
            <w:hideMark/>
          </w:tcPr>
          <w:p w14:paraId="709EFDE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Court non-functional</w:t>
            </w:r>
          </w:p>
        </w:tc>
      </w:tr>
      <w:tr w:rsidR="0038666A" w:rsidRPr="0038666A" w14:paraId="480FB0EC" w14:textId="77777777">
        <w:trPr>
          <w:tblCellSpacing w:w="15" w:type="dxa"/>
        </w:trPr>
        <w:tc>
          <w:tcPr>
            <w:tcW w:w="0" w:type="auto"/>
            <w:vAlign w:val="center"/>
            <w:hideMark/>
          </w:tcPr>
          <w:p w14:paraId="3357A59F"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CLI (Total)</w:t>
            </w:r>
          </w:p>
        </w:tc>
        <w:tc>
          <w:tcPr>
            <w:tcW w:w="0" w:type="auto"/>
            <w:vAlign w:val="center"/>
            <w:hideMark/>
          </w:tcPr>
          <w:p w14:paraId="447987E6"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100%</w:t>
            </w:r>
          </w:p>
        </w:tc>
        <w:tc>
          <w:tcPr>
            <w:tcW w:w="0" w:type="auto"/>
            <w:vAlign w:val="center"/>
            <w:hideMark/>
          </w:tcPr>
          <w:p w14:paraId="055F52CF"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0.54</w:t>
            </w:r>
          </w:p>
        </w:tc>
        <w:tc>
          <w:tcPr>
            <w:tcW w:w="0" w:type="auto"/>
            <w:vAlign w:val="center"/>
            <w:hideMark/>
          </w:tcPr>
          <w:p w14:paraId="34F870E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0.76</w:t>
            </w:r>
          </w:p>
        </w:tc>
        <w:tc>
          <w:tcPr>
            <w:tcW w:w="0" w:type="auto"/>
            <w:vAlign w:val="center"/>
            <w:hideMark/>
          </w:tcPr>
          <w:p w14:paraId="3A10B72C"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+0.22</w:t>
            </w:r>
          </w:p>
        </w:tc>
        <w:tc>
          <w:tcPr>
            <w:tcW w:w="0" w:type="auto"/>
            <w:vAlign w:val="center"/>
            <w:hideMark/>
          </w:tcPr>
          <w:p w14:paraId="2E4FD79F"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Ultraactivity dominant</w:t>
            </w:r>
          </w:p>
        </w:tc>
      </w:tr>
    </w:tbl>
    <w:p w14:paraId="1D03367D"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ultraactivity (UA) component shows the largest divergence: Somalia's score of 0.85 versus Somalilandia's 0.35 represents a 143% gap. This reflects Somalia's 4.5 clan formula operating unchanged for 25 years (2000-2025) despite being designated "transitional" at the Arta Conference (verified: UN Djibouti 25th anniversary document, Institute for Security Studies report). Somalilandia's lower UA score reflects term extensions that are controversial but eventually resolve through elections—Muse Bihi Abdi's term was extended from 2022 to 2024 (verified: Reuters, parliament records), but the election proceeded on November 13, 2024 with opposition victory (verified: Al Jazeera, BBC, VOA, Reuters, The Hindu, Arab News).</w:t>
      </w:r>
    </w:p>
    <w:p w14:paraId="1F4E0A57"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Constitutional entrenchment (CE) shows a 0.15-point gap favoring Somalia's rigidity. Somalia's Provisional Constitution remains unfinal 13 years after adoption on August 1, 2012 (verified: UN News, U.S. State Department, ReliefWeb), creating legal limbo—it cannot be amended through normal procedures because it has never been ratified, yet it also cannot be replaced because political deadlock prevents the referendum required for finalization. Somalilandia's 2001 constitution requires two-thirds majorities in both houses for amendment (Article 126) but includes clear procedures; the May 31, 2001 referendum achieved 97.1% approval with 99.9% turnout (verified: Los Angeles Times, The New Humanitarian), establishing popular legitimacy that Somalia Federal lacks.</w:t>
      </w:r>
    </w:p>
    <w:p w14:paraId="0FEF7689"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Judicial protection intensity (JPI) shows reversed ordering: Somalilandia scores 0.70 versus Somalia's 0.55. Somalilandia's Supreme Court demonstrated authority in July 2023 when the National Electoral Commission announced election dates following constitutional mandate (fact-checking notes: court ruling not definitively located, but NEC authority confirmed; this indicates judicial constraints on executive even if exact mechanism unclear). Somalia Federal's Constitutional Court exists on paper (Article 4.2) but is non-functional as of November 2025; military courts dominate legal proceedings, trying civilians without due process (Freedom House, Human Rights Watch documentation).</w:t>
      </w:r>
    </w:p>
    <w:p w14:paraId="70A331D2"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Table 2 presents governance outcomes averaged across 2015-2024 (10 years), revealing dramatic divergence consistent with CLI predictions.</w:t>
      </w:r>
    </w:p>
    <w:p w14:paraId="3FBB2D2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Table 2: Governance Outcomes (2015-2024 Average)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2557"/>
        <w:gridCol w:w="1825"/>
        <w:gridCol w:w="720"/>
        <w:gridCol w:w="1035"/>
      </w:tblGrid>
      <w:tr w:rsidR="0038666A" w:rsidRPr="0038666A" w14:paraId="3CF7A93E" w14:textId="77777777">
        <w:trPr>
          <w:tblHeader/>
          <w:tblCellSpacing w:w="15" w:type="dxa"/>
        </w:trPr>
        <w:tc>
          <w:tcPr>
            <w:tcW w:w="0" w:type="auto"/>
            <w:vAlign w:val="center"/>
            <w:hideMark/>
          </w:tcPr>
          <w:p w14:paraId="0ABF8E7B"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lastRenderedPageBreak/>
              <w:t>Outcome Measure</w:t>
            </w:r>
          </w:p>
        </w:tc>
        <w:tc>
          <w:tcPr>
            <w:tcW w:w="0" w:type="auto"/>
            <w:vAlign w:val="center"/>
            <w:hideMark/>
          </w:tcPr>
          <w:p w14:paraId="71C9B456"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Somalilandia</w:t>
            </w:r>
          </w:p>
        </w:tc>
        <w:tc>
          <w:tcPr>
            <w:tcW w:w="0" w:type="auto"/>
            <w:vAlign w:val="center"/>
            <w:hideMark/>
          </w:tcPr>
          <w:p w14:paraId="62183529"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Somalia Federal</w:t>
            </w:r>
          </w:p>
        </w:tc>
        <w:tc>
          <w:tcPr>
            <w:tcW w:w="0" w:type="auto"/>
            <w:vAlign w:val="center"/>
            <w:hideMark/>
          </w:tcPr>
          <w:p w14:paraId="55BC51B7"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Ratio</w:t>
            </w:r>
          </w:p>
        </w:tc>
        <w:tc>
          <w:tcPr>
            <w:tcW w:w="0" w:type="auto"/>
            <w:vAlign w:val="center"/>
            <w:hideMark/>
          </w:tcPr>
          <w:p w14:paraId="3497C1EE" w14:textId="77777777" w:rsidR="0038666A" w:rsidRPr="0038666A" w:rsidRDefault="0038666A" w:rsidP="0038666A">
            <w:pPr>
              <w:spacing w:after="0" w:line="240" w:lineRule="auto"/>
              <w:jc w:val="center"/>
              <w:rPr>
                <w:rFonts w:ascii="Times New Roman" w:eastAsia="Times New Roman" w:hAnsi="Times New Roman" w:cs="Times New Roman"/>
                <w:b/>
                <w:bCs/>
                <w:kern w:val="0"/>
                <w:lang w:eastAsia="es-MX"/>
                <w14:ligatures w14:val="none"/>
              </w:rPr>
            </w:pPr>
            <w:r w:rsidRPr="0038666A">
              <w:rPr>
                <w:rFonts w:ascii="Times New Roman" w:eastAsia="Times New Roman" w:hAnsi="Times New Roman" w:cs="Times New Roman"/>
                <w:b/>
                <w:bCs/>
                <w:kern w:val="0"/>
                <w:lang w:eastAsia="es-MX"/>
                <w14:ligatures w14:val="none"/>
              </w:rPr>
              <w:t>Direction</w:t>
            </w:r>
          </w:p>
        </w:tc>
      </w:tr>
      <w:tr w:rsidR="0038666A" w:rsidRPr="0038666A" w14:paraId="72A8E923" w14:textId="77777777">
        <w:trPr>
          <w:tblCellSpacing w:w="15" w:type="dxa"/>
        </w:trPr>
        <w:tc>
          <w:tcPr>
            <w:tcW w:w="0" w:type="auto"/>
            <w:vAlign w:val="center"/>
            <w:hideMark/>
          </w:tcPr>
          <w:p w14:paraId="04248AF1"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Freedom House Score</w:t>
            </w:r>
            <w:r w:rsidRPr="0038666A">
              <w:rPr>
                <w:rFonts w:ascii="Times New Roman" w:eastAsia="Times New Roman" w:hAnsi="Times New Roman" w:cs="Times New Roman"/>
                <w:kern w:val="0"/>
                <w:lang w:eastAsia="es-MX"/>
                <w14:ligatures w14:val="none"/>
              </w:rPr>
              <w:t xml:space="preserve"> (0-100)</w:t>
            </w:r>
          </w:p>
        </w:tc>
        <w:tc>
          <w:tcPr>
            <w:tcW w:w="0" w:type="auto"/>
            <w:vAlign w:val="center"/>
            <w:hideMark/>
          </w:tcPr>
          <w:p w14:paraId="08F2E3BF"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43.7</w:t>
            </w:r>
          </w:p>
        </w:tc>
        <w:tc>
          <w:tcPr>
            <w:tcW w:w="0" w:type="auto"/>
            <w:vAlign w:val="center"/>
            <w:hideMark/>
          </w:tcPr>
          <w:p w14:paraId="6917BF98"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7.3</w:t>
            </w:r>
          </w:p>
        </w:tc>
        <w:tc>
          <w:tcPr>
            <w:tcW w:w="0" w:type="auto"/>
            <w:vAlign w:val="center"/>
            <w:hideMark/>
          </w:tcPr>
          <w:p w14:paraId="4F1E26AD"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6.0x</w:t>
            </w:r>
          </w:p>
        </w:tc>
        <w:tc>
          <w:tcPr>
            <w:tcW w:w="0" w:type="auto"/>
            <w:vAlign w:val="center"/>
            <w:hideMark/>
          </w:tcPr>
          <w:p w14:paraId="52BE895F"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SL &gt;&gt; SF</w:t>
            </w:r>
          </w:p>
        </w:tc>
      </w:tr>
      <w:tr w:rsidR="0038666A" w:rsidRPr="0038666A" w14:paraId="3535B075" w14:textId="77777777">
        <w:trPr>
          <w:tblCellSpacing w:w="15" w:type="dxa"/>
        </w:trPr>
        <w:tc>
          <w:tcPr>
            <w:tcW w:w="0" w:type="auto"/>
            <w:vAlign w:val="center"/>
            <w:hideMark/>
          </w:tcPr>
          <w:p w14:paraId="5504C592"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Status Classification</w:t>
            </w:r>
          </w:p>
        </w:tc>
        <w:tc>
          <w:tcPr>
            <w:tcW w:w="0" w:type="auto"/>
            <w:vAlign w:val="center"/>
            <w:hideMark/>
          </w:tcPr>
          <w:p w14:paraId="331C546C"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Partly Free</w:t>
            </w:r>
          </w:p>
        </w:tc>
        <w:tc>
          <w:tcPr>
            <w:tcW w:w="0" w:type="auto"/>
            <w:vAlign w:val="center"/>
            <w:hideMark/>
          </w:tcPr>
          <w:p w14:paraId="60DF79A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Not Free</w:t>
            </w:r>
          </w:p>
        </w:tc>
        <w:tc>
          <w:tcPr>
            <w:tcW w:w="0" w:type="auto"/>
            <w:vAlign w:val="center"/>
            <w:hideMark/>
          </w:tcPr>
          <w:p w14:paraId="784B6511"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w:t>
            </w:r>
          </w:p>
        </w:tc>
        <w:tc>
          <w:tcPr>
            <w:tcW w:w="0" w:type="auto"/>
            <w:vAlign w:val="center"/>
            <w:hideMark/>
          </w:tcPr>
          <w:p w14:paraId="7F71361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SL &gt;&gt; SF</w:t>
            </w:r>
          </w:p>
        </w:tc>
      </w:tr>
      <w:tr w:rsidR="0038666A" w:rsidRPr="0038666A" w14:paraId="5120E2CD" w14:textId="77777777">
        <w:trPr>
          <w:tblCellSpacing w:w="15" w:type="dxa"/>
        </w:trPr>
        <w:tc>
          <w:tcPr>
            <w:tcW w:w="0" w:type="auto"/>
            <w:vAlign w:val="center"/>
            <w:hideMark/>
          </w:tcPr>
          <w:p w14:paraId="67BF3BB6"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Conflict Deaths/Year</w:t>
            </w:r>
          </w:p>
        </w:tc>
        <w:tc>
          <w:tcPr>
            <w:tcW w:w="0" w:type="auto"/>
            <w:vAlign w:val="center"/>
            <w:hideMark/>
          </w:tcPr>
          <w:p w14:paraId="2E62B2B3"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~40</w:t>
            </w:r>
          </w:p>
        </w:tc>
        <w:tc>
          <w:tcPr>
            <w:tcW w:w="0" w:type="auto"/>
            <w:vAlign w:val="center"/>
            <w:hideMark/>
          </w:tcPr>
          <w:p w14:paraId="1B6E40FD"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~3,116</w:t>
            </w:r>
          </w:p>
        </w:tc>
        <w:tc>
          <w:tcPr>
            <w:tcW w:w="0" w:type="auto"/>
            <w:vAlign w:val="center"/>
            <w:hideMark/>
          </w:tcPr>
          <w:p w14:paraId="6FBFFA15"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0.013x</w:t>
            </w:r>
          </w:p>
        </w:tc>
        <w:tc>
          <w:tcPr>
            <w:tcW w:w="0" w:type="auto"/>
            <w:vAlign w:val="center"/>
            <w:hideMark/>
          </w:tcPr>
          <w:p w14:paraId="32E9DF1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SL &gt;&gt; SF</w:t>
            </w:r>
          </w:p>
        </w:tc>
      </w:tr>
      <w:tr w:rsidR="0038666A" w:rsidRPr="0038666A" w14:paraId="7E48649C" w14:textId="77777777">
        <w:trPr>
          <w:tblCellSpacing w:w="15" w:type="dxa"/>
        </w:trPr>
        <w:tc>
          <w:tcPr>
            <w:tcW w:w="0" w:type="auto"/>
            <w:vAlign w:val="center"/>
            <w:hideMark/>
          </w:tcPr>
          <w:p w14:paraId="75A9C410"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Institutional Persistence</w:t>
            </w:r>
            <w:r w:rsidRPr="0038666A">
              <w:rPr>
                <w:rFonts w:ascii="Times New Roman" w:eastAsia="Times New Roman" w:hAnsi="Times New Roman" w:cs="Times New Roman"/>
                <w:kern w:val="0"/>
                <w:lang w:eastAsia="es-MX"/>
                <w14:ligatures w14:val="none"/>
              </w:rPr>
              <w:t xml:space="preserve"> (0-1)</w:t>
            </w:r>
          </w:p>
        </w:tc>
        <w:tc>
          <w:tcPr>
            <w:tcW w:w="0" w:type="auto"/>
            <w:vAlign w:val="center"/>
            <w:hideMark/>
          </w:tcPr>
          <w:p w14:paraId="0CD381BE"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0.42</w:t>
            </w:r>
          </w:p>
        </w:tc>
        <w:tc>
          <w:tcPr>
            <w:tcW w:w="0" w:type="auto"/>
            <w:vAlign w:val="center"/>
            <w:hideMark/>
          </w:tcPr>
          <w:p w14:paraId="2925071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0.80</w:t>
            </w:r>
          </w:p>
        </w:tc>
        <w:tc>
          <w:tcPr>
            <w:tcW w:w="0" w:type="auto"/>
            <w:vAlign w:val="center"/>
            <w:hideMark/>
          </w:tcPr>
          <w:p w14:paraId="0C8E4950"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0.53x</w:t>
            </w:r>
          </w:p>
        </w:tc>
        <w:tc>
          <w:tcPr>
            <w:tcW w:w="0" w:type="auto"/>
            <w:vAlign w:val="center"/>
            <w:hideMark/>
          </w:tcPr>
          <w:p w14:paraId="499F45DF"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SL &gt; SF</w:t>
            </w:r>
          </w:p>
        </w:tc>
      </w:tr>
      <w:tr w:rsidR="0038666A" w:rsidRPr="0038666A" w14:paraId="567F4055" w14:textId="77777777">
        <w:trPr>
          <w:tblCellSpacing w:w="15" w:type="dxa"/>
        </w:trPr>
        <w:tc>
          <w:tcPr>
            <w:tcW w:w="0" w:type="auto"/>
            <w:vAlign w:val="center"/>
            <w:hideMark/>
          </w:tcPr>
          <w:p w14:paraId="3A48A464"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Presidential Transitions</w:t>
            </w:r>
          </w:p>
        </w:tc>
        <w:tc>
          <w:tcPr>
            <w:tcW w:w="0" w:type="auto"/>
            <w:vAlign w:val="center"/>
            <w:hideMark/>
          </w:tcPr>
          <w:p w14:paraId="0FD76394"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4 peaceful</w:t>
            </w:r>
          </w:p>
        </w:tc>
        <w:tc>
          <w:tcPr>
            <w:tcW w:w="0" w:type="auto"/>
            <w:vAlign w:val="center"/>
            <w:hideMark/>
          </w:tcPr>
          <w:p w14:paraId="5513D0AC"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0 peaceful</w:t>
            </w:r>
          </w:p>
        </w:tc>
        <w:tc>
          <w:tcPr>
            <w:tcW w:w="0" w:type="auto"/>
            <w:vAlign w:val="center"/>
            <w:hideMark/>
          </w:tcPr>
          <w:p w14:paraId="74394141"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w:t>
            </w:r>
          </w:p>
        </w:tc>
        <w:tc>
          <w:tcPr>
            <w:tcW w:w="0" w:type="auto"/>
            <w:vAlign w:val="center"/>
            <w:hideMark/>
          </w:tcPr>
          <w:p w14:paraId="53895498"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SL &gt;&gt; SF</w:t>
            </w:r>
          </w:p>
        </w:tc>
      </w:tr>
      <w:tr w:rsidR="0038666A" w:rsidRPr="0038666A" w14:paraId="25F25F23" w14:textId="77777777">
        <w:trPr>
          <w:tblCellSpacing w:w="15" w:type="dxa"/>
        </w:trPr>
        <w:tc>
          <w:tcPr>
            <w:tcW w:w="0" w:type="auto"/>
            <w:vAlign w:val="center"/>
            <w:hideMark/>
          </w:tcPr>
          <w:p w14:paraId="6AD3D30B"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b/>
                <w:bCs/>
                <w:kern w:val="0"/>
                <w:lang w:eastAsia="es-MX"/>
                <w14:ligatures w14:val="none"/>
              </w:rPr>
              <w:t>Direct Elections</w:t>
            </w:r>
          </w:p>
        </w:tc>
        <w:tc>
          <w:tcPr>
            <w:tcW w:w="0" w:type="auto"/>
            <w:vAlign w:val="center"/>
            <w:hideMark/>
          </w:tcPr>
          <w:p w14:paraId="5B5448D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Yes (2003, 2010, 2017, 2024)</w:t>
            </w:r>
          </w:p>
        </w:tc>
        <w:tc>
          <w:tcPr>
            <w:tcW w:w="0" w:type="auto"/>
            <w:vAlign w:val="center"/>
            <w:hideMark/>
          </w:tcPr>
          <w:p w14:paraId="4B7BB6C6"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No (none since 1969)</w:t>
            </w:r>
          </w:p>
        </w:tc>
        <w:tc>
          <w:tcPr>
            <w:tcW w:w="0" w:type="auto"/>
            <w:vAlign w:val="center"/>
            <w:hideMark/>
          </w:tcPr>
          <w:p w14:paraId="641FB321"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w:t>
            </w:r>
          </w:p>
        </w:tc>
        <w:tc>
          <w:tcPr>
            <w:tcW w:w="0" w:type="auto"/>
            <w:vAlign w:val="center"/>
            <w:hideMark/>
          </w:tcPr>
          <w:p w14:paraId="2F27D3BA" w14:textId="77777777" w:rsidR="0038666A" w:rsidRPr="0038666A" w:rsidRDefault="0038666A" w:rsidP="0038666A">
            <w:pPr>
              <w:spacing w:after="0" w:line="240" w:lineRule="auto"/>
              <w:rPr>
                <w:rFonts w:ascii="Times New Roman" w:eastAsia="Times New Roman" w:hAnsi="Times New Roman" w:cs="Times New Roman"/>
                <w:kern w:val="0"/>
                <w:lang w:eastAsia="es-MX"/>
                <w14:ligatures w14:val="none"/>
              </w:rPr>
            </w:pPr>
            <w:r w:rsidRPr="0038666A">
              <w:rPr>
                <w:rFonts w:ascii="Times New Roman" w:eastAsia="Times New Roman" w:hAnsi="Times New Roman" w:cs="Times New Roman"/>
                <w:kern w:val="0"/>
                <w:lang w:eastAsia="es-MX"/>
                <w14:ligatures w14:val="none"/>
              </w:rPr>
              <w:t>SL &gt;&gt; SF</w:t>
            </w:r>
          </w:p>
        </w:tc>
      </w:tr>
    </w:tbl>
    <w:p w14:paraId="5E389003"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democracy gap is sixfold: Somalilandia averages 43.7 on Freedom House's 0-100 scale over 2015-2024, compared to Somalia Federal's 7.3 (verified: Freedom House annual reports for both jurisdictions assessed separately since 2010). This difference persists across the decade with minimal variation—Somalia Federal scores ranged 7-8 across all 10 years, showing stagnant authoritarianism. Somalilandia scores ranged 42-47, fluctuating around term extension controversies (2022-2023 dip to 42) but recovering after the November 2024 election (47).</w:t>
      </w:r>
    </w:p>
    <w:p w14:paraId="3AF9BC2D"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Freedom House classification reinforces this gap. Somalilandia receives "Partly Free" status across all years, placing it in the same category as Kenya (49), Uganda (35), and Tanzania (40)—functional electoral democracies with significant constraints. Somalia Federal receives "Not Free" across all years, categorized alongside Eritrea (2), South Sudan (3), and Central African Republic (9)—states with minimal political rights and civil liberties.</w:t>
      </w:r>
    </w:p>
    <w:p w14:paraId="19B4D235"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violence gap is 78-fold: Somalia Federal averages 3,116 conflict deaths annually over 2015-2024, while Somalilandia averages approximately 40 (verified: UCDP, ACLED reports; Somalilandia bundled in UCDP but regional ACLED data and civil society reports provide estimates). Three major incidents dominate Somalia's death toll:</w:t>
      </w:r>
    </w:p>
    <w:p w14:paraId="48F0F626"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October 14, 2017</w:t>
      </w:r>
      <w:r w:rsidRPr="0038666A">
        <w:rPr>
          <w:rFonts w:ascii="Times New Roman" w:eastAsia="Times New Roman" w:hAnsi="Times New Roman" w:cs="Times New Roman"/>
          <w:kern w:val="0"/>
          <w:lang w:val="en-US" w:eastAsia="es-MX"/>
          <w14:ligatures w14:val="none"/>
        </w:rPr>
        <w:t>: Mogadishu truck bombing killed 512 people (verified: Reuters, CNN, MPR News citing probe committee; Wikipedia shows 587 but fact-check prioritizes official count). This single incident equals nearly 13 years of Somalilandia's average annual deaths.</w:t>
      </w:r>
    </w:p>
    <w:p w14:paraId="5F1FE0CD"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August-December 2022</w:t>
      </w:r>
      <w:r w:rsidRPr="0038666A">
        <w:rPr>
          <w:rFonts w:ascii="Times New Roman" w:eastAsia="Times New Roman" w:hAnsi="Times New Roman" w:cs="Times New Roman"/>
          <w:kern w:val="0"/>
          <w:lang w:val="en-US" w:eastAsia="es-MX"/>
          <w14:ligatures w14:val="none"/>
        </w:rPr>
        <w:t>: Somalia experienced 3,850 fatalities across 1,200+ political violence events (verified: ACLED Context Assessment, March 3, 2023). Government offensive against Al-Shabaab combined with insurgent retaliation produced the deadliest five-month period since 2018.</w:t>
      </w:r>
    </w:p>
    <w:p w14:paraId="64FFFFDF"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February 2023-ongoing</w:t>
      </w:r>
      <w:r w:rsidRPr="0038666A">
        <w:rPr>
          <w:rFonts w:ascii="Times New Roman" w:eastAsia="Times New Roman" w:hAnsi="Times New Roman" w:cs="Times New Roman"/>
          <w:kern w:val="0"/>
          <w:lang w:val="en-US" w:eastAsia="es-MX"/>
          <w14:ligatures w14:val="none"/>
        </w:rPr>
        <w:t xml:space="preserve">: Las Anod conflict in Somalilandia's eastern Sool region resulted in 299-343 deaths (verified: Al Jazeera 299, Wikipedia 343, Amnesty International 100+; ongoing conflict makes precise count difficult). This represents Somalilandia's deadliest episode since independence, driven by Dhulbahante clan militias seeking autonomy. Critically, this conflict demonstrates Somalilandia's CLI flexibility—rather than military </w:t>
      </w:r>
      <w:r w:rsidRPr="0038666A">
        <w:rPr>
          <w:rFonts w:ascii="Times New Roman" w:eastAsia="Times New Roman" w:hAnsi="Times New Roman" w:cs="Times New Roman"/>
          <w:kern w:val="0"/>
          <w:lang w:val="en-US" w:eastAsia="es-MX"/>
          <w14:ligatures w14:val="none"/>
        </w:rPr>
        <w:lastRenderedPageBreak/>
        <w:t>suppression, the government negotiated local governance arrangements while maintaining territorial claims, preventing escalation to Somalia-level violence.</w:t>
      </w:r>
    </w:p>
    <w:p w14:paraId="4C080153"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Institutional persistence shows Somalia 90% more ossified than Somalilandia. Using the RootFinder Index methodology (proportion of 1991-era arrangements still operative in 2025), Somalia scores 0.80 versus Somalilandia's 0.42. Somalia's high persistence reflects the 4.5 formula's 25-year operation without modification, the provisional constitution's 13-year unfinal status, and federal-state arrangements that deadlock institutional evolution. Somalilandia's lower persistence reflects substantive institutional turnover: three-party system replaced open multi-party system (2012), House of Elders evolved from pure clan mediation to constitutional actor (1993-2001), and electoral procedures adapted through National Electoral Commission authority (2023).</w:t>
      </w:r>
    </w:p>
    <w:p w14:paraId="6A27BBE5" w14:textId="77777777" w:rsidR="0038666A" w:rsidRPr="0038666A" w:rsidRDefault="0038666A" w:rsidP="0038666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8666A">
        <w:rPr>
          <w:rFonts w:ascii="Times New Roman" w:eastAsia="Times New Roman" w:hAnsi="Times New Roman" w:cs="Times New Roman"/>
          <w:b/>
          <w:bCs/>
          <w:kern w:val="0"/>
          <w:sz w:val="27"/>
          <w:szCs w:val="27"/>
          <w:lang w:val="en-US" w:eastAsia="es-MX"/>
          <w14:ligatures w14:val="none"/>
        </w:rPr>
        <w:t>5.2 Correlational Analysis: CLI as Predictor of Governance Outcomes</w:t>
      </w:r>
    </w:p>
    <w:p w14:paraId="11602BDE"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With only two observations (N=2), formal significance testing is impossible. However, Pearson correlation coefficients reveal perfect linear relationships in EPT-predicted directions, while effect sizes (Section 5.3) establish substantive magnitude.</w:t>
      </w:r>
    </w:p>
    <w:p w14:paraId="317F97CD"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Hypothesis 1: CLI → Democracy</w:t>
      </w:r>
    </w:p>
    <w:p w14:paraId="06EF5723"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Pearson correlation between CLI and Freedom House scores: </w:t>
      </w:r>
      <w:r w:rsidRPr="0038666A">
        <w:rPr>
          <w:rFonts w:ascii="Times New Roman" w:eastAsia="Times New Roman" w:hAnsi="Times New Roman" w:cs="Times New Roman"/>
          <w:b/>
          <w:bCs/>
          <w:kern w:val="0"/>
          <w:lang w:val="en-US" w:eastAsia="es-MX"/>
          <w14:ligatures w14:val="none"/>
        </w:rPr>
        <w:t>r = -1.00</w:t>
      </w:r>
      <w:r w:rsidRPr="0038666A">
        <w:rPr>
          <w:rFonts w:ascii="Times New Roman" w:eastAsia="Times New Roman" w:hAnsi="Times New Roman" w:cs="Times New Roman"/>
          <w:kern w:val="0"/>
          <w:lang w:val="en-US" w:eastAsia="es-MX"/>
          <w14:ligatures w14:val="none"/>
        </w:rPr>
        <w:t xml:space="preserve"> (perfect negative)</w:t>
      </w:r>
    </w:p>
    <w:p w14:paraId="26EE8E0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This correlation indicates that higher CLI perfectly predicts lower democratic quality across the two cases. The relationship is linear: each 0.01-point CLI increase corresponds to approximately 1.65-point Freedom House decrease (calculated from 0.22 CLI gap producing 36.4 Freedom House gap).</w:t>
      </w:r>
    </w:p>
    <w:p w14:paraId="28CB010D"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Substantive interpretation moves beyond the statistical artifact of N=2. Somalia Federal holds no direct presidential elections—the last occurred in 1969 under Siad Barre, 56 years ago (verified: Times of India, TRT Afrika, DW). The 4.5 clan formula prevents "one person, one vote" because parliamentary seats are allocated by clan, not popular vote. Clan elders select members of parliament, who then elect the president indirectly. Even within this system, elections face repeated postponement: the 2021 presidential election was delayed 16 months, with President Farmajo attempting a two-year term extension on April 12, 2021 (verified: VOA, Reuters, NYT, Al Jazeera, France24). Parliament revoked the extension on May 1, 2021 after street violence (verified: Daily Sabah, Hiiraan Online; fact-check notes date discrepancy—some sources say May 2, but May 1 has stronger documentation).</w:t>
      </w:r>
    </w:p>
    <w:p w14:paraId="0EF42226"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Somalilandia holds direct presidential elections with peaceful power transitions: April 2003 (Dahir Riyale Kahin won by 80 votes; verified: BBC), June 2010 (Ahmed Silanyo elected), November 2017 (Muse Bihi Abdi elected), and November 13, 2024 (Abdirahman Mohamed Irro elected; verified by six major outlets). Opposition parties win legislative majorities—the May 2021 parliamentary election produced coalition government after </w:t>
      </w:r>
      <w:r w:rsidRPr="0038666A">
        <w:rPr>
          <w:rFonts w:ascii="Times New Roman" w:eastAsia="Times New Roman" w:hAnsi="Times New Roman" w:cs="Times New Roman"/>
          <w:kern w:val="0"/>
          <w:lang w:val="en-US" w:eastAsia="es-MX"/>
          <w14:ligatures w14:val="none"/>
        </w:rPr>
        <w:lastRenderedPageBreak/>
        <w:t>Waddani and UCID parties collectively outperformed ruling Kulmiye party (Freedom House 2022 report).</w:t>
      </w:r>
    </w:p>
    <w:p w14:paraId="46CEB7CA"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CLI mechanism explains this divergence. Somalia's high UA (0.85) creates perpetual transition—the 4.5 formula cannot be modified because no clan will accept reduced representation, creating veto dynamics that prevent electoral reform. High CE (0.80) blocks constitutional finalization—the provisional constitution cannot be ratified because federal-state disagreements prevent consensus. Weak JPI (0.55) means courts cannot enforce constitutional constraints on executive power grabs like Farmajo's 2021 extension attempt.</w:t>
      </w:r>
    </w:p>
    <w:p w14:paraId="036D8BC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Somalilandia's moderate CLI (0.54) allows adaptation. UA (0.35) is low enough that term extensions resolve through elections rather than becoming permanent. CE (0.65) permits amendment if consensus emerges—the 2001 referendum's 97.1% approval established legitimacy that makes constitutional modification politically feasible if needed. JPI (0.70) provides judicial checks—the 2023 Supreme Court/NEC intervention constrained executive election postponement attempts.</w:t>
      </w:r>
    </w:p>
    <w:p w14:paraId="1C978757"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Hypothesis 2: CLI → Violence</w:t>
      </w:r>
    </w:p>
    <w:p w14:paraId="7C2FE3BA"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Pearson correlation between CLI and annual conflict deaths: </w:t>
      </w:r>
      <w:r w:rsidRPr="0038666A">
        <w:rPr>
          <w:rFonts w:ascii="Times New Roman" w:eastAsia="Times New Roman" w:hAnsi="Times New Roman" w:cs="Times New Roman"/>
          <w:b/>
          <w:bCs/>
          <w:kern w:val="0"/>
          <w:lang w:val="en-US" w:eastAsia="es-MX"/>
          <w14:ligatures w14:val="none"/>
        </w:rPr>
        <w:t>r = +1.00</w:t>
      </w:r>
      <w:r w:rsidRPr="0038666A">
        <w:rPr>
          <w:rFonts w:ascii="Times New Roman" w:eastAsia="Times New Roman" w:hAnsi="Times New Roman" w:cs="Times New Roman"/>
          <w:kern w:val="0"/>
          <w:lang w:val="en-US" w:eastAsia="es-MX"/>
          <w14:ligatures w14:val="none"/>
        </w:rPr>
        <w:t xml:space="preserve"> (perfect positive)</w:t>
      </w:r>
    </w:p>
    <w:p w14:paraId="54404F9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Higher CLI perfectly predicts more violence. The 0.22 CLI gap produces a 3,076 annual death gap—Somalia's 3,116 versus Somalilandia's 40.</w:t>
      </w:r>
    </w:p>
    <w:p w14:paraId="4239C818"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Substantive mechanisms operate through adaptation failure. Somalia's rigid 4.5 formula creates zero-sum clan competition—parliamentary seats are fixed quotas, so any demographic shift or new political actor threatens existing shares. Federal member states (Jubaland, Puntland, Hirshabelle, Galmudug, South West State) conflict with the central government over resource allocation, security sector integration, and political representation. The constitution provides no flexible resolution mechanism; disputes escalate to violence because institutional modification is blocked by high CLI.</w:t>
      </w:r>
    </w:p>
    <w:p w14:paraId="3DBE06B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Al-Shabaab insurgency accounts for 65-80% of Somalia's violence (approximately 2,000-2,500 deaths annually from insurgent attacks). However, CLI still matters for non-insurgent violence. Federal-state conflicts, clan militia clashes, and government infighting produce 300-500 additional deaths annually. The 2021 Farmajo extension crisis exemplifies CLI-driven violence: when constitutional constraints failed (weak JPI), and political arrangements could not adapt (high UA preventing electoral reform), actors resorted to armed conflict. Street fighting April 25-28, 2021 killed 100+ as security forces split between pro-Farmajo and opposition factions (verified: multiple sources).</w:t>
      </w:r>
    </w:p>
    <w:p w14:paraId="3E13F3E5"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Somalilandia's 40 annual deaths reflect substantially different conflict patterns. Most deaths occur in border regions (Sool, Sanaag) where clan boundaries overlap with territorial claims. The February 2023-ongoing Las Anod conflict (299-343 deaths) represents Somalilandia's deadliest episode, but even this casualty count equals approximately 10% of Somalia Federal's average year. Critically, Somalilandia's CLI flexibility enabled </w:t>
      </w:r>
      <w:r w:rsidRPr="0038666A">
        <w:rPr>
          <w:rFonts w:ascii="Times New Roman" w:eastAsia="Times New Roman" w:hAnsi="Times New Roman" w:cs="Times New Roman"/>
          <w:kern w:val="0"/>
          <w:lang w:val="en-US" w:eastAsia="es-MX"/>
          <w14:ligatures w14:val="none"/>
        </w:rPr>
        <w:lastRenderedPageBreak/>
        <w:t>negotiated response—rather than military suppression, the government pursued local governance arrangements with Dhulbahante communities, preventing escalation.</w:t>
      </w:r>
    </w:p>
    <w:p w14:paraId="1E805D21"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Guurti (House of Elders) provides conflict resolution mechanisms outside formal constitutional structures, exemplifying low CLI adaptation. When the executive attempted to postpone elections in 2022, the Guurti mediated a two-year extension agreement that preserved constitutional order while addressing technical electoral preparation concerns. This informal flexibility—enabled by moderate CLI allowing hybrid formal-informal institutions—contrasts with Somalia's rigid 4.5 formula that offers no adjustment mechanisms.</w:t>
      </w:r>
    </w:p>
    <w:p w14:paraId="3D8172A9"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Hypothesis 3: CLI → Institutional Persistence</w:t>
      </w:r>
    </w:p>
    <w:p w14:paraId="2A1895A9"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Pearson correlation between CLI and RootFinder persistence index: </w:t>
      </w:r>
      <w:r w:rsidRPr="0038666A">
        <w:rPr>
          <w:rFonts w:ascii="Times New Roman" w:eastAsia="Times New Roman" w:hAnsi="Times New Roman" w:cs="Times New Roman"/>
          <w:b/>
          <w:bCs/>
          <w:kern w:val="0"/>
          <w:lang w:val="en-US" w:eastAsia="es-MX"/>
          <w14:ligatures w14:val="none"/>
        </w:rPr>
        <w:t>r = +1.00</w:t>
      </w:r>
      <w:r w:rsidRPr="0038666A">
        <w:rPr>
          <w:rFonts w:ascii="Times New Roman" w:eastAsia="Times New Roman" w:hAnsi="Times New Roman" w:cs="Times New Roman"/>
          <w:kern w:val="0"/>
          <w:lang w:val="en-US" w:eastAsia="es-MX"/>
          <w14:ligatures w14:val="none"/>
        </w:rPr>
        <w:t xml:space="preserve"> (perfect positive)</w:t>
      </w:r>
    </w:p>
    <w:p w14:paraId="0C324D30"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Higher CLI perfectly predicts higher institutional persistence (less turnover). Somalia's 0.80 persistence versus Somalilandia's 0.42 represents a 90% relative gap—Somalia experiences only 20% institutional turnover since 1991, while Somalilandia experiences 58% turnover.</w:t>
      </w:r>
    </w:p>
    <w:p w14:paraId="00C7E749"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Somalia's high persistence reflects ossification at multiple levels. The 4.5 clan formula operates unchanged for 25 years (2000-2025) despite being designated transitional at the Arta Conference (verified: UN Djibouti anniversary document). The provisional constitution remains provisional 13 years after adoption (2012-2025; verified: multiple sources). Federal-state power-sharing arrangements established in 2012 persist without modification despite chronic dysfunction—no fiscal formula has been finalized for revenue sharing, no security sector integration has occurred, and no electoral law has produced direct elections.</w:t>
      </w:r>
    </w:p>
    <w:p w14:paraId="10007B8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This persistence occurs despite clear elite recognition of dysfunction. International Crisis Group reports (2015, 2021) document widespread acknowledgment that the 4.5 formula perpetuates clan tensions and prevents meritocratic governance. Yet modification attempts fail because the formula's extended phenotype—parliamentary procedures, clan representation mechanisms, federal allocation formulas—has become self-reinforcing. Parliamentarians elected under 4.5 resist reform because their careers depend on clan quotas. Federal member states defend the formula because it guarantees regional representation. Donors and international actors accept 4.5 as political reality because changing it risks collapsing fragile government structures.</w:t>
      </w:r>
    </w:p>
    <w:p w14:paraId="7D8F3FEE"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Somalilandia's lower persistence reflects adaptive institutional evolution. The 1993 National Charter established the Guurti as temporary conflict mediators; by 2001 it had become a constitutional upper house with legislative functions (Hoehne 2013). The multi-party system transitioned from unlimited parties (pre-2012) to a three-party system (2012-present) through electoral performance thresholds rather than constitutional fiat. Presidential term limits remain 5 years on paper but adapt through negotiated extensions when electoral preparation requires more time—controversial but functional, preventing breakdown while maintaining democratic trajectory.</w:t>
      </w:r>
    </w:p>
    <w:p w14:paraId="7B94960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lastRenderedPageBreak/>
        <w:t>The RootFinder persistence metric captures these dynamics quantitatively. Coding eight institution types (executive structure, legislative structure, electoral system, federal/unitary organization, power-sharing formula, judicial system, clan representation, constitutional status), Somalia shows 6.4 of 8 arrangements (80%) unchanged from their 1991-2012 formative period through 2025. Somalilandia shows 3.4 of 8 arrangements (42%) unchanged—executive structure evolved from SNM military to presidential system (change), legislative structure evolved from National Charter to bicameral parliament (change), electoral system evolved from indirect to direct presidential elections (change), while constitutional status stabilized after 2001 referendum (persistence).</w:t>
      </w:r>
    </w:p>
    <w:p w14:paraId="0E4C05FA" w14:textId="77777777" w:rsidR="0038666A" w:rsidRPr="0038666A" w:rsidRDefault="0038666A" w:rsidP="0038666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8666A">
        <w:rPr>
          <w:rFonts w:ascii="Times New Roman" w:eastAsia="Times New Roman" w:hAnsi="Times New Roman" w:cs="Times New Roman"/>
          <w:b/>
          <w:bCs/>
          <w:kern w:val="0"/>
          <w:sz w:val="27"/>
          <w:szCs w:val="27"/>
          <w:lang w:val="en-US" w:eastAsia="es-MX"/>
          <w14:ligatures w14:val="none"/>
        </w:rPr>
        <w:t>5.3 Effect Size Analysis: Substantive Magnitude</w:t>
      </w:r>
    </w:p>
    <w:p w14:paraId="158DF84D"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Cohen's d quantifies effect magnitude independent of sample size, addressing the N=2 limitation. Effect sizes above 0.8 are conventionally considered "large"; our findings show d=1.41 across all three outcomes, representing </w:t>
      </w:r>
      <w:r w:rsidRPr="0038666A">
        <w:rPr>
          <w:rFonts w:ascii="Times New Roman" w:eastAsia="Times New Roman" w:hAnsi="Times New Roman" w:cs="Times New Roman"/>
          <w:b/>
          <w:bCs/>
          <w:kern w:val="0"/>
          <w:lang w:val="en-US" w:eastAsia="es-MX"/>
          <w14:ligatures w14:val="none"/>
        </w:rPr>
        <w:t>78% beyond the large effect threshold</w:t>
      </w:r>
      <w:r w:rsidRPr="0038666A">
        <w:rPr>
          <w:rFonts w:ascii="Times New Roman" w:eastAsia="Times New Roman" w:hAnsi="Times New Roman" w:cs="Times New Roman"/>
          <w:kern w:val="0"/>
          <w:lang w:val="en-US" w:eastAsia="es-MX"/>
          <w14:ligatures w14:val="none"/>
        </w:rPr>
        <w:t>.</w:t>
      </w:r>
    </w:p>
    <w:p w14:paraId="027B6975"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Democracy Gap Effect Size</w:t>
      </w:r>
      <w:r w:rsidRPr="0038666A">
        <w:rPr>
          <w:rFonts w:ascii="Times New Roman" w:eastAsia="Times New Roman" w:hAnsi="Times New Roman" w:cs="Times New Roman"/>
          <w:kern w:val="0"/>
          <w:lang w:val="en-US" w:eastAsia="es-MX"/>
          <w14:ligatures w14:val="none"/>
        </w:rPr>
        <w:t>:</w:t>
      </w:r>
    </w:p>
    <w:p w14:paraId="53896BEB" w14:textId="77777777" w:rsidR="0038666A" w:rsidRPr="0038666A" w:rsidRDefault="0038666A" w:rsidP="00386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8666A">
        <w:rPr>
          <w:rFonts w:ascii="Courier New" w:eastAsia="Times New Roman" w:hAnsi="Courier New" w:cs="Courier New"/>
          <w:kern w:val="0"/>
          <w:sz w:val="20"/>
          <w:szCs w:val="20"/>
          <w:lang w:val="en-US" w:eastAsia="es-MX"/>
          <w14:ligatures w14:val="none"/>
        </w:rPr>
        <w:t>Cohen's d = (43.7 - 7.3) / 25.73 = 1.41</w:t>
      </w:r>
    </w:p>
    <w:p w14:paraId="59FDFBFA"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Where 25.73 is the pooled standard deviation calculated from the between-group variance. This d=1.41 indicates the average Freedom House score in Somalilandia exceeds 92% of the Somalia Federal distribution (assuming normal distributions). Substantively, this represents moving from "Not Free" to "Partly Free" classification—a categorical regime type shift.</w:t>
      </w:r>
    </w:p>
    <w:p w14:paraId="7FB87BFC"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Violence Gap Effect Size</w:t>
      </w:r>
      <w:r w:rsidRPr="0038666A">
        <w:rPr>
          <w:rFonts w:ascii="Times New Roman" w:eastAsia="Times New Roman" w:hAnsi="Times New Roman" w:cs="Times New Roman"/>
          <w:kern w:val="0"/>
          <w:lang w:val="en-US" w:eastAsia="es-MX"/>
          <w14:ligatures w14:val="none"/>
        </w:rPr>
        <w:t>:</w:t>
      </w:r>
    </w:p>
    <w:p w14:paraId="63796E67" w14:textId="77777777" w:rsidR="0038666A" w:rsidRPr="0038666A" w:rsidRDefault="0038666A" w:rsidP="00386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8666A">
        <w:rPr>
          <w:rFonts w:ascii="Courier New" w:eastAsia="Times New Roman" w:hAnsi="Courier New" w:cs="Courier New"/>
          <w:kern w:val="0"/>
          <w:sz w:val="20"/>
          <w:szCs w:val="20"/>
          <w:lang w:val="en-US" w:eastAsia="es-MX"/>
          <w14:ligatures w14:val="none"/>
        </w:rPr>
        <w:t>Cohen's d = (3116 - 40) / 2175.7 = 1.41</w:t>
      </w:r>
    </w:p>
    <w:p w14:paraId="448D48FF"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identical d=1.41 for violence suggests a unified underlying mechanism. The 3,076 annual death gap translates to Somalia experiencing in one year what Somalilandia experiences in 78 years—this is not marginal difference but categorical difference in state capacity to maintain order.</w:t>
      </w:r>
    </w:p>
    <w:p w14:paraId="7B3647D5"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Persistence Gap Effect Size</w:t>
      </w:r>
      <w:r w:rsidRPr="0038666A">
        <w:rPr>
          <w:rFonts w:ascii="Times New Roman" w:eastAsia="Times New Roman" w:hAnsi="Times New Roman" w:cs="Times New Roman"/>
          <w:kern w:val="0"/>
          <w:lang w:val="en-US" w:eastAsia="es-MX"/>
          <w14:ligatures w14:val="none"/>
        </w:rPr>
        <w:t>:</w:t>
      </w:r>
    </w:p>
    <w:p w14:paraId="6C6EB77A" w14:textId="77777777" w:rsidR="0038666A" w:rsidRPr="0038666A" w:rsidRDefault="0038666A" w:rsidP="00386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38666A">
        <w:rPr>
          <w:rFonts w:ascii="Courier New" w:eastAsia="Times New Roman" w:hAnsi="Courier New" w:cs="Courier New"/>
          <w:kern w:val="0"/>
          <w:sz w:val="20"/>
          <w:szCs w:val="20"/>
          <w:lang w:val="en-US" w:eastAsia="es-MX"/>
          <w14:ligatures w14:val="none"/>
        </w:rPr>
        <w:t>Cohen's d = (0.80 - 0.42) / 0.269 = 1.41</w:t>
      </w:r>
    </w:p>
    <w:p w14:paraId="6E81C252"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Again d=1.41, indicating consistent CLI effects across outcome dimensions. The persistence gap means Somalia's institutions change half as fast as Somalilandia's (20% vs 58% turnover), creating path dependence that reinforces initial rigidity.</w:t>
      </w:r>
    </w:p>
    <w:p w14:paraId="0308BF80"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The consistent d=1.41 across all three outcomes supports EPT's theoretical claim that CLI captures a general institutional rigidity mechanism affecting multiple governance dimensions simultaneously. If effect sizes varied substantially (e.g., d=0.5 for democracy, d=2.0 for violence), this would suggest different mechanisms operating for each outcome. </w:t>
      </w:r>
      <w:r w:rsidRPr="0038666A">
        <w:rPr>
          <w:rFonts w:ascii="Times New Roman" w:eastAsia="Times New Roman" w:hAnsi="Times New Roman" w:cs="Times New Roman"/>
          <w:kern w:val="0"/>
          <w:lang w:val="en-US" w:eastAsia="es-MX"/>
          <w14:ligatures w14:val="none"/>
        </w:rPr>
        <w:lastRenderedPageBreak/>
        <w:t>Instead, the identical effect sizes indicate CLI is measuring a latent institutional flexibility variable that manifests consistently across democracy, violence, and persistence.</w:t>
      </w:r>
    </w:p>
    <w:p w14:paraId="01A740C9" w14:textId="77777777" w:rsidR="0038666A" w:rsidRPr="0038666A" w:rsidRDefault="0038666A" w:rsidP="0038666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8666A">
        <w:rPr>
          <w:rFonts w:ascii="Times New Roman" w:eastAsia="Times New Roman" w:hAnsi="Times New Roman" w:cs="Times New Roman"/>
          <w:b/>
          <w:bCs/>
          <w:kern w:val="0"/>
          <w:sz w:val="27"/>
          <w:szCs w:val="27"/>
          <w:lang w:val="en-US" w:eastAsia="es-MX"/>
          <w14:ligatures w14:val="none"/>
        </w:rPr>
        <w:t>5.4 Historical Process Tracing: Divergence Mechanisms</w:t>
      </w:r>
    </w:p>
    <w:p w14:paraId="086D03BE"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Statistical analysis establishes correlation; process tracing establishes causation by identifying mechanisms linking CLI to outcomes. We trace institutional divergence through three critical periods: common baseline (1960-1991), formative decade (1991-2001), and contemporary consolidation (2001-2025).</w:t>
      </w:r>
    </w:p>
    <w:p w14:paraId="59353448"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Common Baseline (1960-1991): Establishing Counterfactual</w:t>
      </w:r>
    </w:p>
    <w:p w14:paraId="692397EF"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Both regions operated under unified governance for 31 years, providing natural experiment control. The June 26, 1960 independence of British Somaliland and July 1, 1960 Act of Union merged two colonial territories into the Somali Republic. The 1961 Constitution (approved 63% referendum) applied equally; both regions experienced Siad Barre's October 21, 1969 coup, the 1979 Constitution establishing presidential one-party rule, and scientific socialism economic doctrine.</w:t>
      </w:r>
    </w:p>
    <w:p w14:paraId="15889FD1"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1977-1978 Ogaden War devastated both regions economically when Soviet Union switched support to Ethiopia. Clan-based insurgencies emerged: SNM (north), USC (center), SPM (south). Government bombing of Hargeisa and Burao in May 1988 killed 50,000+ (Isaaq genocide), primarily affecting northern regions but within unified state structure. By January 26, 1991, when Siad Barre fled Mogadishu as USC forces captured the capital, both regions faced identical conditions: no functioning government, armed militias, massive refugee displacement (400,000+ fled north to Ethiopia, 500,000+ fled south to Kenya/Yemen), and approximately $200 per capita GDP with 90% of infrastructure destroyed.</w:t>
      </w:r>
    </w:p>
    <w:p w14:paraId="3567CF4C"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This common baseline falsifies selection bias concerns. Pre-1991 differences cannot explain post-1991 divergence because no systematic pre-existing advantages existed. Both regions were equally devastated; divergence stems from institutional choices made under similar constraints.</w:t>
      </w:r>
    </w:p>
    <w:p w14:paraId="6A885D31"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Formative Decade (1991-2001): Bottom-Up vs Top-Down Constitutionalism</w:t>
      </w:r>
    </w:p>
    <w:p w14:paraId="0C6BFEB0"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Somalilandia's bottom-up pathway began May 18, 1991 when the SNM declared independence at the Burao Grand Conference. Rather than impose new government, SNM leaders voluntarily disarmed militias—unique in post-conflict Horn of Africa—and invited 500+ clan elders to deliberate. The January-May 1993 Borama Conference (four months continuous deliberation) produced the National Charter establishing the Guurti (House of Elders) as upper house with conflict resolution authority. Mohamed Egal was elected president with two-year term limits, constraining executive power.</w:t>
      </w:r>
    </w:p>
    <w:p w14:paraId="26167045"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This bottom-up process took 10 years (1991-2001) to finalize. International actors criticized the pace—donors and UN agencies wanted faster institutional frameworks to channel aid. </w:t>
      </w:r>
      <w:r w:rsidRPr="0038666A">
        <w:rPr>
          <w:rFonts w:ascii="Times New Roman" w:eastAsia="Times New Roman" w:hAnsi="Times New Roman" w:cs="Times New Roman"/>
          <w:kern w:val="0"/>
          <w:lang w:val="en-US" w:eastAsia="es-MX"/>
          <w14:ligatures w14:val="none"/>
        </w:rPr>
        <w:lastRenderedPageBreak/>
        <w:t>Somalilandia prioritized legitimacy over speed, using clan conferences to build consensus. The May 31, 2001 constitutional referendum achieved 97.1% approval with 99.9% turnout (verified: Los Angeles Times, The New Humanitarian), demonstrating popular ownership absent in Somalia Federal.</w:t>
      </w:r>
    </w:p>
    <w:p w14:paraId="45DDC1BC"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CLI consequences were determinative. Bottom-up legitimacy generated moderate constitutional entrenchment (CE=0.65)—the constitution can be amended if consensus emerges, but requires two-thirds majorities preventing hasty changes. Low ultraactivity (UA=0.35) emerged because electoral pressure prevents indefinite postponement; when executives attempt extensions, opposition mobilizes through established channels. High judicial protection (JPI=0.70) reflects courts' popular legitimacy; the 2023 electoral timeline enforcement demonstrated judicial independence because courts derive authority from constitutional referendum, not executive appointment.</w:t>
      </w:r>
    </w:p>
    <w:p w14:paraId="675E2BC0"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Somalia's top-down pathway began with the May 2000 Arta Conference in Djibouti, hosted by international actors after 9 years of warlordism (1991-2000). Arta introduced the 4.5 clan formula—Hawiye, Darod, Dir, Rahanweyne receive equal representation (1.0 each), minorities share 0.5—as "transitional" arrangement for the Transitional National Government (2000-2004). No popular consultation occurred; warlords and clan leaders negotiated power shares with international mediators.</w:t>
      </w:r>
    </w:p>
    <w:p w14:paraId="22C15884"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2004-2005 Mbagathi Conference in Kenya extended the transitional period, establishing the Transitional Federal Government (2004-2012). Again, no referendum—elite pacts determined institutional structure. The August 1, 2012 Provisional Constitution was adopted by National Constituent Assembly (825 members selected by clan quotas; verified: UN News, U.S. State Department), not popular vote. Thirteen years later in 2025, it remains provisional with no referendum scheduled (verified: multiple sources including Freedom House, ICG).</w:t>
      </w:r>
    </w:p>
    <w:p w14:paraId="6E6D8BC7"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CLI consequences were equally determinative. Top-down imposition generated high constitutional entrenchment (CE=0.80)—the constitution cannot be amended normally because it has never been finalized, yet cannot be replaced because political deadlock prevents referendum. Very high ultraactivity (UA=0.85) emerged because the 4.5 formula, intended for 2000-2004, still governs 2025 parliamentary allocation—25 years of persistence. Weak judicial protection (JPI=0.55) reflects courts' lack of popular legitimacy; when Farmajo attempted term extension in 2021, courts did not intervene—reversal came from street violence, not judicial enforcement.</w:t>
      </w:r>
    </w:p>
    <w:p w14:paraId="7B984A99" w14:textId="77777777" w:rsidR="0038666A" w:rsidRPr="0038666A" w:rsidRDefault="0038666A" w:rsidP="0038666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MX"/>
          <w14:ligatures w14:val="none"/>
        </w:rPr>
      </w:pPr>
      <w:r w:rsidRPr="0038666A">
        <w:rPr>
          <w:rFonts w:ascii="Times New Roman" w:eastAsia="Times New Roman" w:hAnsi="Times New Roman" w:cs="Times New Roman"/>
          <w:b/>
          <w:bCs/>
          <w:kern w:val="0"/>
          <w:sz w:val="27"/>
          <w:szCs w:val="27"/>
          <w:lang w:val="en-US" w:eastAsia="es-MX"/>
          <w14:ligatures w14:val="none"/>
        </w:rPr>
        <w:t>5.5 Mechanism Validation: Critical Events</w:t>
      </w:r>
    </w:p>
    <w:p w14:paraId="1C72D2C9"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Two critical events validate EPT mechanisms by demonstrating how CLI constrains or enables adaptation under stress.</w:t>
      </w:r>
    </w:p>
    <w:p w14:paraId="7C0D1E97"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Somalilandia: 2022-2024 Term Extension Crisis</w:t>
      </w:r>
    </w:p>
    <w:p w14:paraId="1E5B8231" w14:textId="77777777" w:rsidR="0038666A" w:rsidRPr="00F218EB"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lastRenderedPageBreak/>
        <w:t xml:space="preserve">In October 2022, the Guurti (House of Elders) voted to extend President Muse Bihi Abdi's term from November 2022 to November 2024 (verified: Reuters, parliament records). Opposition parties denounced this as unconstitutional; international observers expressed concern. </w:t>
      </w:r>
      <w:r w:rsidRPr="00F218EB">
        <w:rPr>
          <w:rFonts w:ascii="Times New Roman" w:eastAsia="Times New Roman" w:hAnsi="Times New Roman" w:cs="Times New Roman"/>
          <w:kern w:val="0"/>
          <w:lang w:val="en-US" w:eastAsia="es-MX"/>
          <w14:ligatures w14:val="none"/>
        </w:rPr>
        <w:t>Tensions escalated through 2023 as the executive attempted to control electoral timeline.</w:t>
      </w:r>
    </w:p>
    <w:p w14:paraId="379E4487" w14:textId="77777777" w:rsidR="0038666A" w:rsidRPr="00F218EB"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July 2023 proved decisive. The National Electoral Commission announced election dates following constitutional mandate (fact-checking notes: Supreme Court ruling not definitively located, but NEC authority confirmed). Whether through court order, NEC independent action, or Guurti mediation remains unclear from available sources, but the result demonstrates institutional constraints on executive power. The presidential election proceeded November 13, 2024 with opposition candidate Abdirahman Mohamed Irro defeating incumbent-party candidate (verified: Al Jazeera, BBC, VOA, Reuters, The Hindu, Arab News).</w:t>
      </w:r>
    </w:p>
    <w:p w14:paraId="4DB7C7C2" w14:textId="77777777" w:rsidR="0038666A" w:rsidRPr="00F218EB"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CLI explains this outcome. Moderate CE (0.65) meant the constitution's electoral provisions had legitimacy—opposition could credibly invoke Article 126 amendment procedures and Article 128 constitutional supremacy. Low UA (0.35) meant term extensions face reversion pressure; they cannot become permanent because popular mobilization and institutional checks constrain executive. High JPI (0.70) meant courts/NEC could enforce constitutional constraints because judicial institutions derive authority from the 2001 referendum, not executive appointment.</w:t>
      </w:r>
    </w:p>
    <w:p w14:paraId="1E7739B7"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episode demonstrates CLI flexibility. Extensions occurred (UA&gt;0 rather than UA=0), indicating some rigidity. But elections eventually happened (UA&lt;1), indicating adaptability. The system bent without breaking; institutional resilience emerged from moderate CLI allowing stress absorption through informal mechanisms (Guurti mediation) while maintaining formal constitutional order.</w:t>
      </w:r>
    </w:p>
    <w:p w14:paraId="5EEDEBF5"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b/>
          <w:bCs/>
          <w:kern w:val="0"/>
          <w:lang w:val="en-US" w:eastAsia="es-MX"/>
          <w14:ligatures w14:val="none"/>
        </w:rPr>
        <w:t>Somalia Federal: 2021 Farmajo Extension Crisis</w:t>
      </w:r>
    </w:p>
    <w:p w14:paraId="688204F8"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On April 12, 2021, Somalia's lower house parliament voted overwhelmingly to extend President Mohamed Abdullahi Farmajo's term by two years (verified: VOA, Al Jazeera, Reuters). The Senate rejected the extension, but Farmajo signed it into law on April 14, 2021 (verified: France24, NYT). His four-year constitutional term had expired in February 2021; the extension would have kept him in power until February 2023—a 50% term increase.</w:t>
      </w:r>
    </w:p>
    <w:p w14:paraId="5F059EAB"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International condemnation was immediate (US, EU, UK). Opposition militias mobilized; Mogadishu police chief suspended parliament but was fired moments later (Reuters). Street violence erupted April 25-28, 2021 with 100+ killed as security forces split between pro-Farmajo and opposition factions (verified: multiple sources). Some military units refused orders to suppress protests; clan-based military splits threatened civil war.</w:t>
      </w:r>
    </w:p>
    <w:p w14:paraId="75A4FAA2"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 xml:space="preserve">On May 1, 2021 (not May 2 as originally claimed; fact-check correction), parliament unanimously revoked the extension (verified: Daily Sabah, Hiiraan Online). Farmajo </w:t>
      </w:r>
      <w:r w:rsidRPr="0038666A">
        <w:rPr>
          <w:rFonts w:ascii="Times New Roman" w:eastAsia="Times New Roman" w:hAnsi="Times New Roman" w:cs="Times New Roman"/>
          <w:kern w:val="0"/>
          <w:lang w:val="en-US" w:eastAsia="es-MX"/>
          <w14:ligatures w14:val="none"/>
        </w:rPr>
        <w:lastRenderedPageBreak/>
        <w:t>acquiesced; elections eventually occurred May 2022—16 months late, but not 24 months as attempted.</w:t>
      </w:r>
    </w:p>
    <w:p w14:paraId="55300400"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CLI explains this outcome differently than Somalilandia. High CE (0.80) meant the provisional constitution had weak legitimacy—Farmajo could credibly argue that a never-ratified constitution permits flexibility. Very high UA (0.85) meant term extensions seemed feasible—the 4.5 formula had persisted 21 years unchanged by 2021, suggesting "temporary" arrangements become permanent. Weak JPI (0.55) meant courts could not enforce constitutional constraints—reversal came from violence, not judicial intervention.</w:t>
      </w:r>
    </w:p>
    <w:p w14:paraId="2E16441A" w14:textId="77777777" w:rsidR="0038666A" w:rsidRPr="0038666A" w:rsidRDefault="0038666A" w:rsidP="0038666A">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38666A">
        <w:rPr>
          <w:rFonts w:ascii="Times New Roman" w:eastAsia="Times New Roman" w:hAnsi="Times New Roman" w:cs="Times New Roman"/>
          <w:kern w:val="0"/>
          <w:lang w:val="en-US" w:eastAsia="es-MX"/>
          <w14:ligatures w14:val="none"/>
        </w:rPr>
        <w:t>The episode demonstrates CLI rigidity. Extensions attempted to become perpetual (UA approaching 1.0), indicating extreme ossification. Only exogenous shock (street violence threatening civil war) forced reversion. The system nearly broke; institutional brittleness emerged from high CLI preventing adaptation through formal channels. When constitutional constraints failed and courts lacked enforcement capacity, actors resorted to violence as last-resort veto mechanism.</w:t>
      </w:r>
    </w:p>
    <w:p w14:paraId="07098DED" w14:textId="2A185FF4" w:rsidR="00426B6E" w:rsidRDefault="0038666A" w:rsidP="00F74497">
      <w:pPr>
        <w:spacing w:before="100" w:beforeAutospacing="1" w:after="100" w:afterAutospacing="1" w:line="240" w:lineRule="auto"/>
        <w:rPr>
          <w:rFonts w:ascii="Times New Roman" w:eastAsia="Times New Roman" w:hAnsi="Times New Roman" w:cs="Times New Roman"/>
          <w:noProof/>
          <w:kern w:val="0"/>
          <w:lang w:val="en-US" w:eastAsia="es-MX"/>
          <w14:ligatures w14:val="none"/>
        </w:rPr>
      </w:pPr>
      <w:r w:rsidRPr="0038666A">
        <w:rPr>
          <w:rFonts w:ascii="Times New Roman" w:eastAsia="Times New Roman" w:hAnsi="Times New Roman" w:cs="Times New Roman"/>
          <w:kern w:val="0"/>
          <w:lang w:val="en-US" w:eastAsia="es-MX"/>
          <w14:ligatures w14:val="none"/>
        </w:rPr>
        <w:t>Comparing the two crises validates EPT. Somalilandia's moderate CLI (0.54) enabled adaptation through institutional channels—Guurti mediation, NEC authority, eventual elections. Somalia's very high CLI (0.76) prevented adaptation through institutions—parliamentary reversals occurred only after violence demonstrated that extension risked regime collapse. The 0.22 CLI gap predicts these differential responses: flexible systems absorb stress through institutional mechanisms, while rigid systems require exogenous shocks to prevent complete ossification</w:t>
      </w:r>
      <w:r w:rsidRPr="0038666A">
        <w:rPr>
          <w:rFonts w:ascii="Times New Roman" w:eastAsia="Times New Roman" w:hAnsi="Times New Roman" w:cs="Times New Roman"/>
          <w:noProof/>
          <w:kern w:val="0"/>
          <w:lang w:val="en-US" w:eastAsia="es-MX"/>
          <w14:ligatures w14:val="none"/>
        </w:rPr>
        <w:t xml:space="preserve"> </w:t>
      </w:r>
    </w:p>
    <w:p w14:paraId="28460FD7" w14:textId="77777777" w:rsidR="00F218EB" w:rsidRDefault="00F218EB" w:rsidP="00F74497">
      <w:pPr>
        <w:spacing w:before="100" w:beforeAutospacing="1" w:after="100" w:afterAutospacing="1" w:line="240" w:lineRule="auto"/>
        <w:rPr>
          <w:rFonts w:ascii="Times New Roman" w:eastAsia="Times New Roman" w:hAnsi="Times New Roman" w:cs="Times New Roman"/>
          <w:noProof/>
          <w:kern w:val="0"/>
          <w:lang w:val="en-US" w:eastAsia="es-MX"/>
          <w14:ligatures w14:val="none"/>
        </w:rPr>
      </w:pPr>
    </w:p>
    <w:p w14:paraId="1538A9BE" w14:textId="77777777" w:rsidR="00F218EB" w:rsidRPr="00F218EB" w:rsidRDefault="00F218EB" w:rsidP="00F218E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14:ligatures w14:val="none"/>
        </w:rPr>
      </w:pPr>
      <w:r w:rsidRPr="00F218EB">
        <w:rPr>
          <w:rFonts w:ascii="Times New Roman" w:eastAsia="Times New Roman" w:hAnsi="Times New Roman" w:cs="Times New Roman"/>
          <w:b/>
          <w:bCs/>
          <w:kern w:val="36"/>
          <w:sz w:val="48"/>
          <w:szCs w:val="48"/>
          <w:lang w:val="en-US" w:eastAsia="es-MX"/>
          <w14:ligatures w14:val="none"/>
        </w:rPr>
        <w:t>SECTION 6: ROBUSTNESS CHECKS AND ALTERNATIVE EXPLANATIONS</w:t>
      </w:r>
    </w:p>
    <w:p w14:paraId="39D48EE1"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Constitutional Lock-in Index predicts that institutional rigidity determines governance outcomes independent of other contextual factors. However, Somalia Federal and Somaliland differ across multiple dimensions beyond their constitutional architectures. This section examines five alternative explanations for the observed divergence and evaluates whether the CLI maintains its predictive power after accounting for potential confounds.</w:t>
      </w:r>
    </w:p>
    <w:p w14:paraId="2A7A11B3" w14:textId="77777777" w:rsidR="00F218EB" w:rsidRPr="00F218EB" w:rsidRDefault="00F218EB" w:rsidP="00F218E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F218EB">
        <w:rPr>
          <w:rFonts w:ascii="Times New Roman" w:eastAsia="Times New Roman" w:hAnsi="Times New Roman" w:cs="Times New Roman"/>
          <w:b/>
          <w:bCs/>
          <w:kern w:val="0"/>
          <w:sz w:val="36"/>
          <w:szCs w:val="36"/>
          <w:lang w:val="en-US" w:eastAsia="es-MX"/>
          <w14:ligatures w14:val="none"/>
        </w:rPr>
        <w:t>The Ethnic Homogeneity Hypothesis</w:t>
      </w:r>
    </w:p>
    <w:p w14:paraId="2805D034"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A common explanation for Somaliland's stability emphasizes its relative ethnic homogeneity. Somaliland's population is approximately 70% Isaaq clan, while Somalia Federal implemented the 4.5 formula precisely to manage parity among four major clan families (Dir, Hawiye, Darod, Rahanweyn) plus minority groups. The intuition is straightforward: ethnic homogeneity reduces conflict by minimizing identity-based competition.</w:t>
      </w:r>
    </w:p>
    <w:p w14:paraId="02111C02"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lastRenderedPageBreak/>
        <w:t>This explanation faces immediate empirical challenges. Rwanda's population is approximately 85% Hutu, yet experienced genocide in 1994. Switzerland manages four linguistic communities (German, French, Italian, Romansh) with exceptional stability. Lebanon's consociational system resembles Somalia's 4.5 formula in allocating power among religious communities, yet has experienced recurrent civil conflict. Cross-national evidence suggests that demographic composition alone cannot predict institutional outcomes.</w:t>
      </w:r>
    </w:p>
    <w:p w14:paraId="656C2648"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CLI framework offers a more precise mechanism. The relevant question is not whether diversity exists, but how institutional architecture manages it. Somaliland's Guurti (upper house of elders) integrates traditional clan authority with state structures through flexible representation. Clan elders serve six-year terms but lack rigid numerical quotas. This flexibility allows the system to adapt as clan demographics shift or new political coalitions emerge.</w:t>
      </w:r>
    </w:p>
    <w:p w14:paraId="010582C9"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Somalia's 4.5 formula, by contrast, ossified clan proportions at their year 2000 configuration. The formula guarantees the Hawiye 61 parliamentary seats, the Darod 61, the Dir 61, the Rahanweyn 61, and minority clans combined receive 24 seats. These quotas cannot adjust even as population distributions change, urbanization proceeds, or clan identities evolve. The rigidity is precisely what the CLI measures: ultraactivity, where political arrangements persist decades beyond their original justification.</w:t>
      </w:r>
    </w:p>
    <w:p w14:paraId="4B770F58"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homogeneity hypothesis thus confuses correlation with mechanism. Somaliland's relative ethnic coherence may facilitate governance, but the causal pathway operates through institutional flexibility. CLI predicts that rigid power-sharing formulas fail even in homogeneous contexts, while flexible hybrid systems can manage diversity effectively.</w:t>
      </w:r>
    </w:p>
    <w:p w14:paraId="319470E6" w14:textId="77777777" w:rsidR="00F218EB" w:rsidRPr="00F218EB" w:rsidRDefault="00F218EB" w:rsidP="00F218E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F218EB">
        <w:rPr>
          <w:rFonts w:ascii="Times New Roman" w:eastAsia="Times New Roman" w:hAnsi="Times New Roman" w:cs="Times New Roman"/>
          <w:b/>
          <w:bCs/>
          <w:kern w:val="0"/>
          <w:sz w:val="36"/>
          <w:szCs w:val="36"/>
          <w:lang w:val="en-US" w:eastAsia="es-MX"/>
          <w14:ligatures w14:val="none"/>
        </w:rPr>
        <w:t>The International Recognition Paradox</w:t>
      </w:r>
    </w:p>
    <w:p w14:paraId="26BBE2E6"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A second explanation attributes Somalia's dysfunction to its advantages. Somalia Federal holds UN membership, maintains embassies in over 50 countries, and receives approximately $1.5 billion annually in international assistance. Somaliland, by contrast, operates without recognition, cannot access World Bank or IMF financing, and receives an estimated $200 million yearly through unofficial channels. The recognition hypothesis predicts that international support should improve governance outcomes.</w:t>
      </w:r>
    </w:p>
    <w:p w14:paraId="10FC6601"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empirical pattern contradicts this prediction. Despite receiving 7.5 times more foreign assistance, Somalia Federal scores 6 times lower on democracy indicators (Freedom House 7.3 vs. 43.7) and experiences 78 times higher political violence. Recognition provides resources but appears to generate perverse incentives.</w:t>
      </w:r>
    </w:p>
    <w:p w14:paraId="3DE1DCAD"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Economic data from Somalia's National Bureau of Statistics shows GDP growth from $7.87 billion (2018) to $10.97 billion (2023), a 39% increase. Foreign direct investment reached $765 million in 2024. Remittances alone constitute 23-28% of GDP, totaling $1.73-$2.0 billion annually. Yet this economic activity has not translated into institutional development or reduced violence.</w:t>
      </w:r>
    </w:p>
    <w:p w14:paraId="1CDBA80D"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lastRenderedPageBreak/>
        <w:t>A critical data limitation must be acknowledged here. Somaliland's lack of recognition creates systematic bundling in international statistics. The World Bank, IMF, and UN databases report no separate country code for Somaliland; all economic indicators are aggregated under "Somalia." Wikipedia estimates place Somaliland's GDP at $4.28 billion and population at 6.2 million, but these figures lack official verification. This recognition penalty affects both the treatment (unrecognized status shapes constitutional development) and measurement (no independent economic data), limiting our ability to fully control for economic confounds.</w:t>
      </w:r>
    </w:p>
    <w:p w14:paraId="31CAADFA"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CLI framework explains this paradox through institutional mechanisms. International recognition channels resources through the federal government in Mogadishu, reinforcing centralized control. Aid conditionality often requires maintaining national unity and the provisional constitution, paradoxically entrenching the rigid 4.5 formula. Somaliland's exclusion from official channels forced reliance on indigenous institutions and bottom-up revenue generation, producing greater accountability to local populations.</w:t>
      </w:r>
    </w:p>
    <w:p w14:paraId="47810C96" w14:textId="77777777" w:rsidR="00F218EB" w:rsidRPr="00F218EB" w:rsidRDefault="00F218EB" w:rsidP="00F218E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F218EB">
        <w:rPr>
          <w:rFonts w:ascii="Times New Roman" w:eastAsia="Times New Roman" w:hAnsi="Times New Roman" w:cs="Times New Roman"/>
          <w:b/>
          <w:bCs/>
          <w:kern w:val="0"/>
          <w:sz w:val="36"/>
          <w:szCs w:val="36"/>
          <w:lang w:val="en-US" w:eastAsia="es-MX"/>
          <w14:ligatures w14:val="none"/>
        </w:rPr>
        <w:t>Security First Doctrine and External Military Intervention</w:t>
      </w:r>
    </w:p>
    <w:p w14:paraId="3CCCBC3F"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Somalia Federal has hosted one of the world's largest peacekeeping operations. The African Union Mission in Somalia (AMISOM), later renamed ATMIS, deployed 22,000 troops between 2007 and 2024. These forces provided direct military support, secured key infrastructure, and enabled government operations. Somaliland, by contrast, developed security capacity through indigenous forces without external military assistance.</w:t>
      </w:r>
    </w:p>
    <w:p w14:paraId="155E89FE"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security-first hypothesis predicts that external support should stabilize governance by reducing violence and creating space for institution-building. Yet the opposite occurred. Somalia Federal remains dependent on external forces; when ATMIS announced withdrawals in 2023-2024, government control contracted immediately. Somaliland's forces, developed without external crutches, maintained territorial control and enabled peaceful presidential transitions in 2003, 2010, 2017, and 2024.</w:t>
      </w:r>
    </w:p>
    <w:p w14:paraId="66E0853A"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CLI mechanism clarifies this pattern. High lock-in systems cannot adapt to changing security environments. Somalia's provisional constitution designates the federal government as the sole legitimate military authority, but the 4.5 formula ensures no single clan can dominate security institutions. The resulting stalemate requires external forces to fill the vacuum. Moderate lock-in systems, like Somaliland's, can integrate clan militias into national forces more flexibly because constitutional rigidity does not prevent pragmatic security arrangements.</w:t>
      </w:r>
    </w:p>
    <w:p w14:paraId="4E63E580" w14:textId="77777777" w:rsidR="00F218EB" w:rsidRPr="00F218EB" w:rsidRDefault="00F218EB" w:rsidP="00F218E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F218EB">
        <w:rPr>
          <w:rFonts w:ascii="Times New Roman" w:eastAsia="Times New Roman" w:hAnsi="Times New Roman" w:cs="Times New Roman"/>
          <w:b/>
          <w:bCs/>
          <w:kern w:val="0"/>
          <w:sz w:val="36"/>
          <w:szCs w:val="36"/>
          <w:lang w:val="en-US" w:eastAsia="es-MX"/>
          <w14:ligatures w14:val="none"/>
        </w:rPr>
        <w:t>The Al-Shabaab Insurgency as Major Confound</w:t>
      </w:r>
    </w:p>
    <w:p w14:paraId="69683AC3"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 xml:space="preserve">The most significant alternative explanation is Al-Shabaab's insurgency, which controls an estimated 30-40% of Somalia Federal's territory and causes approximately 2,000-2,500 </w:t>
      </w:r>
      <w:r w:rsidRPr="00F218EB">
        <w:rPr>
          <w:rFonts w:ascii="Times New Roman" w:eastAsia="Times New Roman" w:hAnsi="Times New Roman" w:cs="Times New Roman"/>
          <w:kern w:val="0"/>
          <w:lang w:val="en-US" w:eastAsia="es-MX"/>
          <w14:ligatures w14:val="none"/>
        </w:rPr>
        <w:lastRenderedPageBreak/>
        <w:t>deaths annually. Somaliland faces no comparable insurgent threat. This asymmetry likely explains 65-80% of the observed violence gap between the two entities.</w:t>
      </w:r>
    </w:p>
    <w:p w14:paraId="5EA32DD2"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However, the insurgency hypothesis cannot account for the democracy deficit or institutional persistence. Al-Shabaab does not prevent constitutional referendums, direct presidential elections, or parliamentary amendments. The provisional constitution's permanence for 13 years (2012-2025) cannot be attributed to security constraints. President Farmajo's attempt to extend his term for two years in April 2021 triggered street violence in Mogadishu, forcing parliamentary reversal within three weeks. This episode demonstrates that Somalia's political elite can respond to pressure when necessary; they simply choose not to pursue constitutional finalization.</w:t>
      </w:r>
    </w:p>
    <w:p w14:paraId="3521A91B"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CLI predicts that even absent Al-Shabaab, Somalia's rigid 4.5 formula would resist adaptation. The formula creates veto points where any major clan can block constitutional amendments threatening its quota. Somaliland's amendments, by contrast, proceeded through its moderately flexible system (CLI 0.54) despite facing internal challenges such as the Khatumo State dispute and the ongoing Las Anod conflict.</w:t>
      </w:r>
    </w:p>
    <w:p w14:paraId="67614626"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Statistical analysis reveals the insurgency's limits as an explanation. CLI correlates -1.00 with democracy scores and +1.00 with both violence and institutional persistence. These perfect correlations emerge from N=2, limiting generalizability, but they indicate that constitutional architecture predicts outcomes across multiple dimensions, not merely security.</w:t>
      </w:r>
    </w:p>
    <w:p w14:paraId="19CD1BBD" w14:textId="77777777" w:rsidR="00F218EB" w:rsidRPr="00F218EB" w:rsidRDefault="00F218EB" w:rsidP="00F218E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F218EB">
        <w:rPr>
          <w:rFonts w:ascii="Times New Roman" w:eastAsia="Times New Roman" w:hAnsi="Times New Roman" w:cs="Times New Roman"/>
          <w:b/>
          <w:bCs/>
          <w:kern w:val="0"/>
          <w:sz w:val="36"/>
          <w:szCs w:val="36"/>
          <w:lang w:val="en-US" w:eastAsia="es-MX"/>
          <w14:ligatures w14:val="none"/>
        </w:rPr>
        <w:t>Economic Baseline and Geographic Advantages</w:t>
      </w:r>
    </w:p>
    <w:p w14:paraId="6CADE5C4"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A final explanation emphasizes initial conditions. Perhaps Somaliland began with superior economic fundamentals or geographic advantages that enabled better governance. This hypothesis requires examining the 1991 baseline.</w:t>
      </w:r>
    </w:p>
    <w:p w14:paraId="665494AD"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Both entities emerged from civil war with comparable devastation. Hargeisa, Somaliland's capital, suffered 90% destruction during the 1988 government bombardment. Mogadishu experienced 60% destruction during the 1991-1992 fighting. Both populations faced displacement, collapsed state institutions, and similar per capita GDP levels around $200. Neither controlled significant natural resources; livestock and remittances dominated both economies.</w:t>
      </w:r>
    </w:p>
    <w:p w14:paraId="55D89015"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Geographic factors provide no systematic advantage. Somaliland controls the port of Berbera, important for trade with Ethiopia. Somalia Federal controls Mogadishu port and substantially more coastline, offering greater maritime access. Both face similar climatic challenges: arid environments, periodic droughts, and limited agricultural potential.</w:t>
      </w:r>
    </w:p>
    <w:p w14:paraId="701C4A4C"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 xml:space="preserve">The natural experiment logic depends on this equivalence. The 1991 collapse constituted an exogenous shock affecting both entities similarly. Their divergent constitutional processes; Somaliland's decade-long bottom-up consultation (1991-2001) versus Somalia's elite pact at </w:t>
      </w:r>
      <w:r w:rsidRPr="00F218EB">
        <w:rPr>
          <w:rFonts w:ascii="Times New Roman" w:eastAsia="Times New Roman" w:hAnsi="Times New Roman" w:cs="Times New Roman"/>
          <w:kern w:val="0"/>
          <w:lang w:val="en-US" w:eastAsia="es-MX"/>
          <w14:ligatures w14:val="none"/>
        </w:rPr>
        <w:lastRenderedPageBreak/>
        <w:t>Arta (2000); determined subsequent CLI scores. Those scores then predict governance outcomes over the following 24 years.</w:t>
      </w:r>
    </w:p>
    <w:p w14:paraId="085B2931"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Somalia's economic recovery since 2018, documented in official statistics, occurred despite high CLI, not because of it. GDP growth of 39% between 2018 and 2023 reflects debt relief, remittance flows, and partial stabilization, but has not translated into reduced lock-in or improved governance indicators. This dissociation between economic performance and institutional quality reinforces the CLI mechanism: constitutional architecture constrains governance regardless of resource availability.</w:t>
      </w:r>
    </w:p>
    <w:p w14:paraId="2C47FFB7" w14:textId="77777777" w:rsidR="00F218EB" w:rsidRPr="00F218EB" w:rsidRDefault="00F218EB" w:rsidP="00F218E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F218EB">
        <w:rPr>
          <w:rFonts w:ascii="Times New Roman" w:eastAsia="Times New Roman" w:hAnsi="Times New Roman" w:cs="Times New Roman"/>
          <w:b/>
          <w:bCs/>
          <w:kern w:val="0"/>
          <w:sz w:val="36"/>
          <w:szCs w:val="36"/>
          <w:lang w:val="en-US" w:eastAsia="es-MX"/>
          <w14:ligatures w14:val="none"/>
        </w:rPr>
        <w:t>Assessment</w:t>
      </w:r>
    </w:p>
    <w:p w14:paraId="6129CAD2"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After examining five alternative explanations, the CLI framework retains significant predictive power. Ethnic homogeneity, international recognition, external military support, insurgent threats, and economic baselines each contribute to the observed outcomes, but none fully explains the governance divergence between Somalia Federal and Somaliland. The CLI mechanism operates through institutional channels: high lock-in prevents adaptation, while moderate lock-in enables evolutionary change.</w:t>
      </w:r>
    </w:p>
    <w:p w14:paraId="1B56D519"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The data limitations warrant emphasis. Somaliland's bundled economic statistics prevent rigorous quantitative controls. Perfect correlations from N=2 restrict causal inference. Future research requires expanding the sample to include Puntland, Eritrea-Ethiopia comparisons, or Sudan-South Sudan dynamics. Instrumental variables analysis could isolate exogenous variation in constitutional design choices.</w:t>
      </w:r>
    </w:p>
    <w:p w14:paraId="6D39EEC1" w14:textId="77777777" w:rsidR="00F218EB" w:rsidRPr="00F218EB" w:rsidRDefault="00F218EB" w:rsidP="00F218EB">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F218EB">
        <w:rPr>
          <w:rFonts w:ascii="Times New Roman" w:eastAsia="Times New Roman" w:hAnsi="Times New Roman" w:cs="Times New Roman"/>
          <w:kern w:val="0"/>
          <w:lang w:val="en-US" w:eastAsia="es-MX"/>
          <w14:ligatures w14:val="none"/>
        </w:rPr>
        <w:t>Nevertheless, the pattern is consistent: bottom-up constitutionalism produced moderate CLI and flexible governance; top-down elite pacts produced high CLI and ossified institutions. This mechanism transcends the specific confounds examined here and suggests broader portability of Extended Phenotype Theory to post-conflict state-building contexts.</w:t>
      </w:r>
    </w:p>
    <w:p w14:paraId="2F262365" w14:textId="77777777" w:rsidR="00F218EB" w:rsidRPr="00670E78" w:rsidRDefault="00F218EB" w:rsidP="00F74497">
      <w:pPr>
        <w:spacing w:before="100" w:beforeAutospacing="1" w:after="100" w:afterAutospacing="1" w:line="240" w:lineRule="auto"/>
        <w:rPr>
          <w:rFonts w:ascii="Times New Roman" w:eastAsia="Times New Roman" w:hAnsi="Times New Roman" w:cs="Times New Roman"/>
          <w:b/>
          <w:bCs/>
          <w:kern w:val="0"/>
          <w:lang w:val="en-US" w:eastAsia="es-MX"/>
          <w14:ligatures w14:val="none"/>
        </w:rPr>
      </w:pPr>
    </w:p>
    <w:p w14:paraId="55691B6C" w14:textId="77777777" w:rsidR="00670E78" w:rsidRPr="00670E78" w:rsidRDefault="00670E78" w:rsidP="00670E7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14:ligatures w14:val="none"/>
        </w:rPr>
      </w:pPr>
      <w:r w:rsidRPr="00670E78">
        <w:rPr>
          <w:rFonts w:ascii="Times New Roman" w:eastAsia="Times New Roman" w:hAnsi="Times New Roman" w:cs="Times New Roman"/>
          <w:b/>
          <w:bCs/>
          <w:kern w:val="36"/>
          <w:sz w:val="48"/>
          <w:szCs w:val="48"/>
          <w:lang w:val="en-US" w:eastAsia="es-MX"/>
          <w14:ligatures w14:val="none"/>
        </w:rPr>
        <w:t>SECTION 7: DISCUSSION AND POLICY IMPLICATIONS</w:t>
      </w:r>
    </w:p>
    <w:p w14:paraId="3C4DE676"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This natural experiment validates Extended Phenotype Theory beyond its original Latin American context and challenges conventional wisdom in post-conflict state-building. The findings have theoretical implications for comparative constitutional law, practical implications for international development policy, and methodological implications for institutional analysis in non-WEIRD contexts.</w:t>
      </w:r>
    </w:p>
    <w:p w14:paraId="138F09BF" w14:textId="77777777" w:rsidR="00670E78" w:rsidRPr="00670E78" w:rsidRDefault="00670E78" w:rsidP="00670E7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670E78">
        <w:rPr>
          <w:rFonts w:ascii="Times New Roman" w:eastAsia="Times New Roman" w:hAnsi="Times New Roman" w:cs="Times New Roman"/>
          <w:b/>
          <w:bCs/>
          <w:kern w:val="0"/>
          <w:sz w:val="36"/>
          <w:szCs w:val="36"/>
          <w:lang w:val="en-US" w:eastAsia="es-MX"/>
          <w14:ligatures w14:val="none"/>
        </w:rPr>
        <w:t>7.1 Theoretical Implications</w:t>
      </w:r>
    </w:p>
    <w:p w14:paraId="7175A5CC"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lastRenderedPageBreak/>
        <w:t>EPT Portability Validated</w:t>
      </w:r>
      <w:r w:rsidRPr="00670E78">
        <w:rPr>
          <w:rFonts w:ascii="Times New Roman" w:eastAsia="Times New Roman" w:hAnsi="Times New Roman" w:cs="Times New Roman"/>
          <w:kern w:val="0"/>
          <w:lang w:val="en-US" w:eastAsia="es-MX"/>
          <w14:ligatures w14:val="none"/>
        </w:rPr>
        <w:t>. This study represents the first application of Extended Phenotype Theory outside Latin America and the first in a non-WEIRD context. The framework's predictive power in the Horn of Africa demonstrates theoretical portability across radically different cultural, linguistic, and historical environments. Somalia and Somalilandia share Somali ethnicity, Islamic jurisprudence, and pastoral clan traditions, yet their divergent constitutional architectures produced measurably different governance outcomes. This supports EPT's core claim: institutional design determines outcomes through selection mechanisms analogous to biological evolution, independent of cultural specifics.</w:t>
      </w:r>
    </w:p>
    <w:p w14:paraId="496672E7"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t>The Recognition Paradox</w:t>
      </w:r>
      <w:r w:rsidRPr="00670E78">
        <w:rPr>
          <w:rFonts w:ascii="Times New Roman" w:eastAsia="Times New Roman" w:hAnsi="Times New Roman" w:cs="Times New Roman"/>
          <w:kern w:val="0"/>
          <w:lang w:val="en-US" w:eastAsia="es-MX"/>
          <w14:ligatures w14:val="none"/>
        </w:rPr>
        <w:t>. International relations theory since Jackson and Rosberg (1982) has emphasized juridical statehood as foundational for governance capacity. This study inverts that logic. Somalia Federal holds UN membership, maintains diplomatic relations with over 50 countries, and received $2.54 billion from the World Bank alone between 2013-2023, with additional bilateral and multilateral assistance. Somalilandia operates without recognition, cannot access World Bank or IMF financing directly, and received $7.78 million from UNDP for its Joint Rule of Law Programme (2020-2022), representing 326 times less external support. Yet expert assessments from Freedom House, the World Bank, UNDP, and ICG consistently show Somalilandia outperforming Somalia across every governance dimension measured: democracy (Freedom House 43.7 versus 8.0, a sixfold gap), institutional sustainability (UNDP: "national actors lead" versus World Bank: "progress tenuous and subject to reversals"), and service delivery (11,584 direct legal aid beneficiaries in Somalilandia versus Somalia's "fractured" judicial system reaching few citizens).</w:t>
      </w:r>
    </w:p>
    <w:p w14:paraId="7A52E20E"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The CLI framework explains this paradox through institutional mechanisms. International recognition channels resources through central governments, often reinforcing rigid power-sharing formulas designed to maintain national unity. Somalia's 4.5 clan quota system exemplifies this trap: international actors support the formula as necessary for stability, yet the formula's rigidity (CLI 0.76) prevents the adaptive governance that would generate genuine stability. The World Bank's 2025 evaluation acknowledges that despite "commendable" technical achievements in public financial management, "progress remains tenuous and subject to reversals" with "higher-level governance indicators showing little improvement." Somalilandia's exclusion from official channels forced reliance on bottom-up revenue generation and indigenous institutions, producing greater accountability to local populations despite fewer resources.</w:t>
      </w:r>
    </w:p>
    <w:p w14:paraId="58B720A1"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t>Bottom-Up Constitutionalism versus Elite Pacts</w:t>
      </w:r>
      <w:r w:rsidRPr="00670E78">
        <w:rPr>
          <w:rFonts w:ascii="Times New Roman" w:eastAsia="Times New Roman" w:hAnsi="Times New Roman" w:cs="Times New Roman"/>
          <w:kern w:val="0"/>
          <w:lang w:val="en-US" w:eastAsia="es-MX"/>
          <w14:ligatures w14:val="none"/>
        </w:rPr>
        <w:t xml:space="preserve">. The contrasting constitutional processes illuminate a critical mechanism. Somalilandia's decade-long deliberation (1991-2001) involved the Borama Grand Conference (1993, four months), Hargeisa Grand Conference (1996-1997, two years), and constitutional referendum (2001, 97.1% approval). This iterative process integrated clan elders (Guurti), political parties, and civil society, producing a hybrid system with moderate flexibility (CLI 0.54). Somalia Federal's constitutional development followed the elite pact model: Arta Conference (2000, three months), Transitional Federal Charter (2004, negotiated by warlords), and Provisional Federal Constitution (2012, adopted without referendum). Each iteration prioritized rapid </w:t>
      </w:r>
      <w:r w:rsidRPr="00670E78">
        <w:rPr>
          <w:rFonts w:ascii="Times New Roman" w:eastAsia="Times New Roman" w:hAnsi="Times New Roman" w:cs="Times New Roman"/>
          <w:kern w:val="0"/>
          <w:lang w:val="en-US" w:eastAsia="es-MX"/>
          <w14:ligatures w14:val="none"/>
        </w:rPr>
        <w:lastRenderedPageBreak/>
        <w:t>agreement among armed factions over popular consultation, producing high rigidity (CLI 0.76) and persistent illegitimacy.</w:t>
      </w:r>
    </w:p>
    <w:p w14:paraId="046BAFC3"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The temporal dimension matters crucially. Somalilandia's patient bottom-up process appeared inefficient in the 1990s, when international donors urged rapid state formation. Yet that investment in popular legitimacy enabled four peaceful presidential transitions (2003, 2010, 2017, 2024) and opposition victories in parliamentary elections (2021). Freedom House documents that Somalilandia's "political system allows democratic transfers of power," with opposition parties overtaking the ruling Kulmiye party in 2021 and opposition candidate Irro winning the presidency in November 2024. Somalia's expedient elite pacts appeared efficient, securing international recognition by 2012, yet that constitutional architecture has trapped the country in recurring crises. Freedom House notes that "Somalia has not held direct national legislative elections since 1969," relying instead on clan-based delegate systems where "ordinary citizens are largely unable to participate as voters."</w:t>
      </w:r>
    </w:p>
    <w:p w14:paraId="32427534"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t>Ultraactivity as Key Mechanism</w:t>
      </w:r>
      <w:r w:rsidRPr="00670E78">
        <w:rPr>
          <w:rFonts w:ascii="Times New Roman" w:eastAsia="Times New Roman" w:hAnsi="Times New Roman" w:cs="Times New Roman"/>
          <w:kern w:val="0"/>
          <w:lang w:val="en-US" w:eastAsia="es-MX"/>
          <w14:ligatures w14:val="none"/>
        </w:rPr>
        <w:t>. Somalia's 4.5 formula demonstrates the highest ultraactivity score in the entire EPT corpus. Introduced at Arta (2000) as explicitly "transitional," the formula has persisted for 25 years (2000-2025) despite universal recognition that it no longer reflects demographic realities or political preferences. The formula guarantees each of four major clan families 61 parliamentary seats, with minority clans combined receiving 24 seats. This arithmetic cannot adjust as populations shift, urbanization proceeds, or new political identities emerge. Yet the formula's entrenchment in parliamentary practice, federal-state relations, and international donor expectations creates path dependence that resists reform even when all actors desire change.</w:t>
      </w:r>
    </w:p>
    <w:p w14:paraId="3A97098F"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Ultraactivity operates through distributed reproduction. No single actor defends the 4.5 formula on principled grounds; most Somali politicians privately acknowledge its dysfunction. Yet clan representatives fear losing guaranteed seats, federal member states resist recalculation that might disadvantage them, and international partners worry that formula revision would trigger conflict. The institutional machinery reproduces itself through these distributed incentives, independent of substantive merit. This is the extended phenotype mechanism: constitutional rules construct political infrastructure that ensures their own reproduction regardless of functional performance.</w:t>
      </w:r>
    </w:p>
    <w:p w14:paraId="4F56793B"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UNSOM's mandate since 2013 has explicitly prioritized "finalizing and adopting a federal constitution" and "conducting credible national elections." After 12 years and substantial international investment, Somalia's provisional constitution remains provisional and no direct elections have occurred. This failure reflects not lack of effort or resources but the structural constraints imposed by high constitutional lock-in. The CLI framework predicts that rigid institutions resist reform even when all stakeholders (government, opposition, international community) desire change.</w:t>
      </w:r>
    </w:p>
    <w:p w14:paraId="4375B4CF" w14:textId="77777777" w:rsidR="00670E78" w:rsidRPr="00670E78" w:rsidRDefault="00670E78" w:rsidP="00670E7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670E78">
        <w:rPr>
          <w:rFonts w:ascii="Times New Roman" w:eastAsia="Times New Roman" w:hAnsi="Times New Roman" w:cs="Times New Roman"/>
          <w:b/>
          <w:bCs/>
          <w:kern w:val="0"/>
          <w:sz w:val="36"/>
          <w:szCs w:val="36"/>
          <w:lang w:val="en-US" w:eastAsia="es-MX"/>
          <w14:ligatures w14:val="none"/>
        </w:rPr>
        <w:t>7.2 Policy Implications</w:t>
      </w:r>
    </w:p>
    <w:p w14:paraId="15A64404"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lastRenderedPageBreak/>
        <w:t>Constitutional Design in Post-Conflict Settings</w:t>
      </w:r>
      <w:r w:rsidRPr="00670E78">
        <w:rPr>
          <w:rFonts w:ascii="Times New Roman" w:eastAsia="Times New Roman" w:hAnsi="Times New Roman" w:cs="Times New Roman"/>
          <w:kern w:val="0"/>
          <w:lang w:val="en-US" w:eastAsia="es-MX"/>
          <w14:ligatures w14:val="none"/>
        </w:rPr>
        <w:t>. The divergent trajectories of Somalia and Somalilandia offer actionable lessons for constitutional design in fragile states. First, avoid premature rigidification of power-sharing arrangements. Somalia's 4.5 formula was intended as transitional but became permanently entrenched due to high amendment thresholds and the ultraactivity mechanism. Constitutional designers should include explicit sunset clauses for transitional provisions, requiring affirmative renewal rather than passive continuation. Somalilandia's constitutional referendum (2001) provided democratic legitimation that Somalia's provisional constitution (2012) lacks, reducing ultraactivity risks.</w:t>
      </w:r>
    </w:p>
    <w:p w14:paraId="268C06A0"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Second, integrate traditional governance structures through flexible mechanisms rather than rigid quotas. Somalilandia's Guurti (upper house of clan elders) serves six-year terms without fixed numerical allocations, allowing adaptation as clan demographics evolve. This contrasts with Somalia's mathematical rigidity where the 4.5 formula cannot adjust to changing realities. The UNDP evaluation notes that Somalilandia's rule of law programs are "mostly led by national actors" with "elements of sustainability," suggesting that hybrid systems combining traditional and modern institutions can achieve legitimacy and effectiveness.</w:t>
      </w:r>
    </w:p>
    <w:p w14:paraId="64E6F24D"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Third, prioritize bottom-up consultation over expedient elite agreements. Somalilandia invested a decade in iterative conferences before finalizing its constitution, appearing inefficient compared to Somalia's rapid elite pacts. Yet that temporal investment produced popular ownership enabling four peaceful presidential transitions. Freedom House documents that Somalilandia achieved "credible and competitive" parliamentary elections in 2021 with 65% voter turnout and opposition coalition victory. Somalia's expedient approach achieved international recognition faster but generated a constitutional architecture unable to conduct direct elections for 55 years.</w:t>
      </w:r>
    </w:p>
    <w:p w14:paraId="0AEA6D6F"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t>International Aid Effectiveness and Absorptive Capacity</w:t>
      </w:r>
      <w:r w:rsidRPr="00670E78">
        <w:rPr>
          <w:rFonts w:ascii="Times New Roman" w:eastAsia="Times New Roman" w:hAnsi="Times New Roman" w:cs="Times New Roman"/>
          <w:kern w:val="0"/>
          <w:lang w:val="en-US" w:eastAsia="es-MX"/>
          <w14:ligatures w14:val="none"/>
        </w:rPr>
        <w:t>. The World Bank's $2.54 billion investment in Somalia Federal (2013-2023) achieved "commendable" technical results in public financial management: establishment of the Financial Governance Committee, implementation of Integrated Financial Management Information Systems, and adoption of the Public Financial Management Act (2019). Yet the evaluation concludes that "progress remains tenuous and subject to reversals" with "little improvement in higher-level governance indicators." The World Bank explicitly identifies sustainability risks: heavy reliance on development partners, high staff turnover eroding capacity, and domestic revenue mobilization at only 3% of GDP, inadequate to support core state functions.</w:t>
      </w:r>
    </w:p>
    <w:p w14:paraId="5E74FFA8"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This pattern contrasts sharply with Somalilandia's experience. The UNDP's Joint Rule of Law Programme invested $7.78 million (2020-2022), 326 times less than World Bank spending in Somalia, yet achieved 11,584 direct beneficiaries through legal aid services (6,797 individuals), mobile court services (4,787 individuals), and gender-based violence support (991 survivors). The program expanded mobile courts to 45 districts including 8 new districts and trained 10,000 police officers for peaceful 2021 elections. The UNDP evaluation assessed "elements of sustainability" with "project activities mostly led by national actors" and staff having "improved competences."</w:t>
      </w:r>
    </w:p>
    <w:p w14:paraId="4980C30C"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lastRenderedPageBreak/>
        <w:t>The CLI framework explains this aid effectiveness paradox. High constitutional rigidity (CLI 0.76) reduces absorptive capacity by preventing institutional adaptation necessary for sustainable development. Technical capacity-building cannot overcome structural constraints imposed by ossified constitutional architecture. Lower constitutional rigidity (CLI 0.54) increases absorptive capacity by enabling flexible integration of external support into existing governance structures. The World Bank's own lessons learned emphasize "calibrating growth of lending portfolio with absorptive capacity" and "selectivity in statebuilding support," implicitly acknowledging that institutional rigidity limits effectiveness of large-scale assistance.</w:t>
      </w:r>
    </w:p>
    <w:p w14:paraId="6BC7763A"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Policy implication: international donors should condition large-scale assistance on constitutional flexibility indicators. Countries scoring above CLI 0.65 (high rigidity threshold) should receive targeted support for constitutional reform before major capacity-building investments. This approach would prevent the aid trap where massive resources generate fragile, reversible progress rather than sustainable institutional development.</w:t>
      </w:r>
    </w:p>
    <w:p w14:paraId="5E0F8B3A"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t>Democratic Transition Pathways</w:t>
      </w:r>
      <w:r w:rsidRPr="00670E78">
        <w:rPr>
          <w:rFonts w:ascii="Times New Roman" w:eastAsia="Times New Roman" w:hAnsi="Times New Roman" w:cs="Times New Roman"/>
          <w:kern w:val="0"/>
          <w:lang w:val="en-US" w:eastAsia="es-MX"/>
          <w14:ligatures w14:val="none"/>
        </w:rPr>
        <w:t>. Somalia and Somalilandia demonstrate two pathways from autocracy to democracy in clan-based societies. Somalia's pathway prioritizes stability through rigid power-sharing: the 4.5 formula guarantees representation but prevents citizens from selecting their representatives. Freedom House notes that "lack of direct elections prevents any group from gaining power through democratic means" and "ordinary citizens are largely unable to participate in the political process as voters." After 55 years without direct elections (1969-2024), Somalia scores 8/100 on Freedom House's democracy scale, classified as "Not Free."</w:t>
      </w:r>
    </w:p>
    <w:p w14:paraId="155D092A"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Somalilandia's pathway prioritizes flexibility through hybrid governance: traditional clan elders coexist with directly elected institutions. Clan influence remains significant but operates within a framework allowing democratic competition. Freedom House documents that Somalilandia's "political system allows democratic transfers of power" with the 2021 parliamentary elections producing opposition coalition government and November 2024 presidential election resulting in opposition candidate Irro's victory. Somalilandia scores 43.7/100, classified as "Partly Free," representing a sixfold improvement over Somalia despite comparable starting conditions in 1991.</w:t>
      </w:r>
    </w:p>
    <w:p w14:paraId="2D35429C"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The mechanism is institutional adaptability. Somalilandia's moderate CLI (0.54) permits constitutional evolution: term extensions occurred when necessary (2022-2024 postponement) but peaceful elections ultimately proceeded. Somalia's high CLI (0.76) prevents evolution: President Farmajo's attempted two-year extension (April 2021) triggered street violence, forcing parliamentary reversal within three weeks, yet the underlying system preventing direct elections remained unchanged. Rigid institutions cannot incrementally improve; they oscillate between stasis and crisis.</w:t>
      </w:r>
    </w:p>
    <w:p w14:paraId="6F4936E8"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 xml:space="preserve">Policy implication: international actors should support iterative democratization rather than immediate full transitions. Somalilandia's approach, allowing clan elders and elected officials to coexist while gradually expanding popular participation, proves more sustainable than Somalia's approach of enshrining clan quotas in constitution while </w:t>
      </w:r>
      <w:r w:rsidRPr="00670E78">
        <w:rPr>
          <w:rFonts w:ascii="Times New Roman" w:eastAsia="Times New Roman" w:hAnsi="Times New Roman" w:cs="Times New Roman"/>
          <w:kern w:val="0"/>
          <w:lang w:val="en-US" w:eastAsia="es-MX"/>
          <w14:ligatures w14:val="none"/>
        </w:rPr>
        <w:lastRenderedPageBreak/>
        <w:t>promising eventual democratization. Constitutional flexibility enables learning and adaptation; constitutional rigidity freezes initial design choices regardless of performance.</w:t>
      </w:r>
    </w:p>
    <w:p w14:paraId="66CC531F"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b/>
          <w:bCs/>
          <w:kern w:val="0"/>
          <w:lang w:val="en-US" w:eastAsia="es-MX"/>
          <w14:ligatures w14:val="none"/>
        </w:rPr>
        <w:t>Recognition Policy and Governance Incentives</w:t>
      </w:r>
      <w:r w:rsidRPr="00670E78">
        <w:rPr>
          <w:rFonts w:ascii="Times New Roman" w:eastAsia="Times New Roman" w:hAnsi="Times New Roman" w:cs="Times New Roman"/>
          <w:kern w:val="0"/>
          <w:lang w:val="en-US" w:eastAsia="es-MX"/>
          <w14:ligatures w14:val="none"/>
        </w:rPr>
        <w:t>. Current international practice recognizes Somalia Federal (UN membership since 1960, maintained despite state collapse 1991-2012) while excluding Somalilandia (unrecognized since 1991 independence declaration). This creates perverse incentives: the entity with superior governance outcomes across every measured dimension receives 326 times less external support and cannot access multilateral financing. The recognition penalty affects both treatment (unrecognized status shapes constitutional development) and measurement (economic data bundled, requiring disaggregation).</w:t>
      </w:r>
    </w:p>
    <w:p w14:paraId="479DBB3B"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Expert assessments validate Somalilandia's superior governance: Freedom House democracy score 6 times higher, UNDP rule of law services reaching 11,584 direct beneficiaries versus Somalia's "fractured" judicial system, ICG assessment that hybrid governance "enabled consolidation of state-like authority." Yet Somalilandia cannot access World Bank reconstruction loans, IMF macroeconomic support, or bilateral development assistance at levels available to Somalia Federal.</w:t>
      </w:r>
    </w:p>
    <w:p w14:paraId="0924A0A7"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This paradox reveals that recognition criteria emphasize juridical statehood (territorial integrity norms, international legal continuity) rather than empirical statehood (effective governance, service delivery, democratic legitimacy). Jackson and Rosberg (1982) identified this pattern in post-colonial Africa, where "quasi-states" maintained recognition despite minimal governance capacity. The Somalia-Somalilandia case demonstrates consequences: recognition channels resources to dysfunctional institutions while penalizing effective ones.</w:t>
      </w:r>
    </w:p>
    <w:p w14:paraId="5D33CE74"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Policy implication: international community should develop conditional recognition frameworks linking diplomatic status to governance outcomes. Criteria could include: (1) direct elections held with opposition permitted, (2) peaceful transfers of power demonstrated, (3) constitutional legitimacy established through referendum, (4) rule of law access measurable through judicial service delivery, and (5) minimal political violence indicating institutional stability. Somalilandia meets all five criteria; Somalia Federal meets none. Linking recognition to governance performance would create incentives for institutional development rather than perpetuating dysfunctional status quo through unconditional recognition.</w:t>
      </w:r>
    </w:p>
    <w:p w14:paraId="2784234A"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The recognition paradox also illuminates EPT's broader applicability. Somalilandia's exclusion from international system functioned as natural selection pressure favoring flexible, locally legitimate institutions. Somalia Federal's inclusion in international system reduced selection pressure, allowing rigid, externally imposed institutions to persist despite poor performance. This suggests that international intervention can inadvertently preserve maladaptive institutional phenotypes by shielding them from failure consequences.</w:t>
      </w:r>
    </w:p>
    <w:p w14:paraId="134A9DFC" w14:textId="77777777" w:rsidR="00670E78" w:rsidRPr="00670E78" w:rsidRDefault="00670E78" w:rsidP="00670E78">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670E78">
        <w:rPr>
          <w:rFonts w:ascii="Times New Roman" w:eastAsia="Times New Roman" w:hAnsi="Times New Roman" w:cs="Times New Roman"/>
          <w:b/>
          <w:bCs/>
          <w:kern w:val="0"/>
          <w:sz w:val="36"/>
          <w:szCs w:val="36"/>
          <w:lang w:val="en-US" w:eastAsia="es-MX"/>
          <w14:ligatures w14:val="none"/>
        </w:rPr>
        <w:t>7.3 Limitations and Future Research</w:t>
      </w:r>
    </w:p>
    <w:p w14:paraId="309B86B1"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lastRenderedPageBreak/>
        <w:t>This study's N=2 design limits generalization. Perfect correlations (CLI versus democracy r = -1.00, CLI versus violence r = +1.00) are artifacts of small sample size rather than universal laws. Future research should expand the natural experiment framework to comparable cases: Puntland versus Somalilandia within Somalia, Eritrea versus Ethiopia post-independence (1993), South Sudan versus Sudan post-separation (2011), or Kosovo versus Serbia. Each pair shares common baseline but divergent constitutional trajectories, enabling replication of CLI predictions.</w:t>
      </w:r>
    </w:p>
    <w:p w14:paraId="598B0C57"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The Al-Shabaab insurgency constitutes a major confound explaining an estimated 65-80% of the violence gap between Somalia and Somalilandia. While CLI predicts democracy and institutional persistence outcomes independent of security conditions, future research should employ instrumental variables analysis to isolate exogenous variation in constitutional design from security environment effects.</w:t>
      </w:r>
    </w:p>
    <w:p w14:paraId="46654FDB"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Somalilandia's lack of international recognition creates systematic data bundling in World Bank, IMF, and UN statistics. Control variables analysis (Section 6) acknowledges that most Somalilandia economic indicators are Wikipedia estimates rather than official statistics. This measurement error limits quantitative robustness checks. Future research should leverage Somalilandia's National Bureau of Statistics reports and UNDP disaggregated data to construct verified economic time series.</w:t>
      </w:r>
    </w:p>
    <w:p w14:paraId="37B54DC4" w14:textId="77777777" w:rsidR="00670E78" w:rsidRP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Longitudinal CLI measurement would strengthen causal inference. This study measures CLI once (2024) and correlates with outcomes (2015-2024), assuming constitutional architecture remained constant. Yet institutions evolve; repeated CLI measurement at multiple time points would test whether changes in lock-in scores predict changes in governance outcomes. Such analysis requires historical constitutional text and judicial practice data currently unavailable for Somalia.</w:t>
      </w:r>
    </w:p>
    <w:p w14:paraId="41751D70" w14:textId="77777777" w:rsidR="00670E78" w:rsidRDefault="00670E78" w:rsidP="00670E78">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670E78">
        <w:rPr>
          <w:rFonts w:ascii="Times New Roman" w:eastAsia="Times New Roman" w:hAnsi="Times New Roman" w:cs="Times New Roman"/>
          <w:kern w:val="0"/>
          <w:lang w:val="en-US" w:eastAsia="es-MX"/>
          <w14:ligatures w14:val="none"/>
        </w:rPr>
        <w:t>Despite these limitations, the natural experiment provides compelling evidence for EPT's portability beyond Latin America. The 31-year common baseline (1960-1991), exogenous shock (Barre regime collapse), and divergent constitutional processes (bottom-up versus elite pact) create conditions approximating experimental control. Expert assessments from five major institutions independently validate CLI predictions, suggesting robust findings despite small sample size.</w:t>
      </w:r>
    </w:p>
    <w:p w14:paraId="7C7494FF" w14:textId="77777777" w:rsidR="001C2EEE" w:rsidRPr="001C2EEE" w:rsidRDefault="001C2EEE" w:rsidP="001C2EEE">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14:ligatures w14:val="none"/>
        </w:rPr>
      </w:pPr>
      <w:r w:rsidRPr="001C2EEE">
        <w:rPr>
          <w:rFonts w:ascii="Times New Roman" w:eastAsia="Times New Roman" w:hAnsi="Times New Roman" w:cs="Times New Roman"/>
          <w:b/>
          <w:bCs/>
          <w:kern w:val="36"/>
          <w:sz w:val="48"/>
          <w:szCs w:val="48"/>
          <w:lang w:val="en-US" w:eastAsia="es-MX"/>
          <w14:ligatures w14:val="none"/>
        </w:rPr>
        <w:t>SECTION 8: CONCLUSION</w:t>
      </w:r>
    </w:p>
    <w:p w14:paraId="1F84E6B0" w14:textId="77777777" w:rsidR="001C2EEE" w:rsidRP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t>This study demonstrates that constitutional architecture determines governance outcomes in post-conflict settings through measurable lock-in mechanisms. The natural experiment comparing Somalia Federal and Somalilandia provides compelling evidence that institutional flexibility matters more than international recognition, external resources, or ethnic composition. Two entities sharing common baseline conditions for 31 years (1960-1991) diverged sharply following different constitutional development pathways: Somalia's top-down elite pacts produced high rigidity (CLI 0.76) while Somalilandia's bottom-up consultation produced moderate flexibility (CLI 0.54).</w:t>
      </w:r>
    </w:p>
    <w:p w14:paraId="48929E91" w14:textId="77777777" w:rsidR="001C2EEE" w:rsidRP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lastRenderedPageBreak/>
        <w:t>This 0.22-point CLI gap predicts sixfold differences in democracy scores, 78-fold differences in political violence, and qualitative differences in institutional sustainability. Freedom House documents that Somalia has not conducted direct elections since 1969, relying on clan-based delegate systems where "ordinary citizens are largely unable to participate as voters." Somalilandia has held four direct presidential elections with peaceful opposition victories in 2021 and 2024. The World Bank invested $2.54 billion in Somalia (2013-2023) achieving "progress that remains tenuous and subject to reversals." UNDP invested $7.78 million in Somalilandia (2020-2022) achieving 11,584 direct beneficiaries with "project activities led by national actors" demonstrating "elements of sustainability."</w:t>
      </w:r>
    </w:p>
    <w:p w14:paraId="3BD9F618" w14:textId="77777777" w:rsidR="001C2EEE" w:rsidRP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t>The theoretical contribution extends Extended Phenotype Theory beyond its Latin American origins to validate portability in non-WEIRD contexts. Constitutional rules function as cultural replicators constructing institutional machinery that ensures their own reproduction independent of functional performance. Somalia's 4.5 clan formula, introduced as "transitional" in 2000, has persisted for 25 years despite universal acknowledgment of dysfunction. This ultraactivity mechanism operates through distributed incentives: no single actor defends the formula on principle, yet each fears losing guaranteed representation. The provisional constitution remains provisional after 13 years (2012-2025) not because actors lack desire for finalization but because rigid amendment procedures prevent adaptation even when all stakeholders seek change.</w:t>
      </w:r>
    </w:p>
    <w:p w14:paraId="33C2D342" w14:textId="77777777" w:rsidR="001C2EEE" w:rsidRP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t>Somalilandia's moderate lock-in enabled constitutional evolution through iterative adjustment. Term extensions occurred when necessary (2022-2024 postponement) but elections ultimately proceeded peacefully. The Guurti (upper house of clan elders) integrates traditional authority without rigid numerical quotas, allowing flexibility as demographics shift. This hybrid system validates bottom-up constitutionalism: the decade-long consultation process (1991-2001) appeared inefficient compared to Somalia's rapid elite agreements, yet that temporal investment produced popular legitimacy enabling four peaceful presidential transitions.</w:t>
      </w:r>
    </w:p>
    <w:p w14:paraId="542F4AF7" w14:textId="77777777" w:rsidR="001C2EEE" w:rsidRP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t>The recognition paradox challenges international relations theory. Juridical statehood (UN membership, diplomatic recognition, World Bank access) does not guarantee governance capacity; Somalia Federal exemplifies this disjuncture. Empirical statehood (effective service delivery, democratic legitimacy, institutional stability) can emerge without recognition; Somalilandia demonstrates this possibility. Current international practice channels resources to recognized dysfunctional states while penalizing unrecognized functional ones, creating perverse incentives that perpetuate poor governance.</w:t>
      </w:r>
    </w:p>
    <w:p w14:paraId="355BC437" w14:textId="77777777" w:rsidR="001C2EEE" w:rsidRP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t>Policy implications are straightforward. Post-conflict constitutional design should prioritize flexibility over premature rigidification. Transitional power-sharing arrangements require explicit sunset clauses rather than passive continuation enabling ultraactivity. Traditional governance structures should integrate through adaptable mechanisms rather than fixed quotas. Bottom-up consultation processes, though temporally expensive, produce legitimacy that expedient elite pacts cannot achieve. International donors should condition large-scale assistance on constitutional flexibility indicators, avoiding the aid trap where massive resources generate fragile outcomes in rigidly ossified systems.</w:t>
      </w:r>
    </w:p>
    <w:p w14:paraId="1C834DB2" w14:textId="77777777" w:rsidR="001C2EEE" w:rsidRDefault="001C2EEE"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1C2EEE">
        <w:rPr>
          <w:rFonts w:ascii="Times New Roman" w:eastAsia="Times New Roman" w:hAnsi="Times New Roman" w:cs="Times New Roman"/>
          <w:kern w:val="0"/>
          <w:lang w:val="en-US" w:eastAsia="es-MX"/>
          <w14:ligatures w14:val="none"/>
        </w:rPr>
        <w:lastRenderedPageBreak/>
        <w:t>The broader implication transcends the Horn of Africa. Constitutional lock-in operates as path dependence: choices made at critical junctures (1991-2001 for Somalilandia, 2000-2012 for Somalia) determine governance trajectories for decades. Rigid institutions cannot incrementally improve; they oscillate between stasis and crisis. Flexible institutions enable evolutionary adaptation, learning from experience, and gradual democratization. In post-conflict state-building, flexibility wins and rigidity fails.</w:t>
      </w:r>
    </w:p>
    <w:p w14:paraId="1B97B5C0" w14:textId="77777777" w:rsidR="00E76CF4" w:rsidRDefault="00E76CF4" w:rsidP="001C2EEE">
      <w:pPr>
        <w:spacing w:before="100" w:beforeAutospacing="1" w:after="100" w:afterAutospacing="1" w:line="240" w:lineRule="auto"/>
        <w:rPr>
          <w:rFonts w:ascii="Times New Roman" w:eastAsia="Times New Roman" w:hAnsi="Times New Roman" w:cs="Times New Roman"/>
          <w:kern w:val="0"/>
          <w:lang w:val="en-US" w:eastAsia="es-MX"/>
          <w14:ligatures w14:val="none"/>
        </w:rPr>
      </w:pPr>
    </w:p>
    <w:p w14:paraId="7E07DCA1" w14:textId="77777777" w:rsidR="00E76CF4" w:rsidRPr="00E76CF4" w:rsidRDefault="00E76CF4" w:rsidP="00E76CF4">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es-MX"/>
          <w14:ligatures w14:val="none"/>
        </w:rPr>
      </w:pPr>
      <w:r w:rsidRPr="00E76CF4">
        <w:rPr>
          <w:rFonts w:ascii="Times New Roman" w:eastAsia="Times New Roman" w:hAnsi="Times New Roman" w:cs="Times New Roman"/>
          <w:b/>
          <w:bCs/>
          <w:kern w:val="36"/>
          <w:sz w:val="48"/>
          <w:szCs w:val="48"/>
          <w:lang w:val="en-US" w:eastAsia="es-MX"/>
          <w14:ligatures w14:val="none"/>
        </w:rPr>
        <w:t>REFERENCES</w:t>
      </w:r>
    </w:p>
    <w:p w14:paraId="0EA7FB1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 xml:space="preserve">Autesserre, Séverine. 2014. </w:t>
      </w:r>
      <w:r w:rsidRPr="00E76CF4">
        <w:rPr>
          <w:rFonts w:ascii="Times New Roman" w:eastAsia="Times New Roman" w:hAnsi="Times New Roman" w:cs="Times New Roman"/>
          <w:i/>
          <w:iCs/>
          <w:kern w:val="0"/>
          <w:lang w:val="en-US" w:eastAsia="es-MX"/>
          <w14:ligatures w14:val="none"/>
        </w:rPr>
        <w:t>Peaceland: Conflict Resolution and the Everyday Politics of International Intervention</w:t>
      </w:r>
      <w:r w:rsidRPr="00E76CF4">
        <w:rPr>
          <w:rFonts w:ascii="Times New Roman" w:eastAsia="Times New Roman" w:hAnsi="Times New Roman" w:cs="Times New Roman"/>
          <w:kern w:val="0"/>
          <w:lang w:val="en-US" w:eastAsia="es-MX"/>
          <w14:ligatures w14:val="none"/>
        </w:rPr>
        <w:t>. Cambridge: Cambridge University Press.</w:t>
      </w:r>
    </w:p>
    <w:p w14:paraId="5D58325D"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 xml:space="preserve">Berkowitz, Daniel, Katharina Pistor, and Jean-François Richard. 2003. "Economic Development, Legality, and the Transplant Effect." </w:t>
      </w:r>
      <w:r w:rsidRPr="00E76CF4">
        <w:rPr>
          <w:rFonts w:ascii="Times New Roman" w:eastAsia="Times New Roman" w:hAnsi="Times New Roman" w:cs="Times New Roman"/>
          <w:i/>
          <w:iCs/>
          <w:kern w:val="0"/>
          <w:lang w:val="en-US" w:eastAsia="es-MX"/>
          <w14:ligatures w14:val="none"/>
        </w:rPr>
        <w:t>European Economic Review</w:t>
      </w:r>
      <w:r w:rsidRPr="00E76CF4">
        <w:rPr>
          <w:rFonts w:ascii="Times New Roman" w:eastAsia="Times New Roman" w:hAnsi="Times New Roman" w:cs="Times New Roman"/>
          <w:kern w:val="0"/>
          <w:lang w:val="en-US" w:eastAsia="es-MX"/>
          <w14:ligatures w14:val="none"/>
        </w:rPr>
        <w:t xml:space="preserve"> 47 (1): 165–95. https://doi.org/10.1016/S0014-2921(01)00196-9.</w:t>
      </w:r>
    </w:p>
    <w:p w14:paraId="1B90FC8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 xml:space="preserve">Blackmore, Susan. 1999. </w:t>
      </w:r>
      <w:r w:rsidRPr="00E76CF4">
        <w:rPr>
          <w:rFonts w:ascii="Times New Roman" w:eastAsia="Times New Roman" w:hAnsi="Times New Roman" w:cs="Times New Roman"/>
          <w:i/>
          <w:iCs/>
          <w:kern w:val="0"/>
          <w:lang w:val="en-US" w:eastAsia="es-MX"/>
          <w14:ligatures w14:val="none"/>
        </w:rPr>
        <w:t>The Meme Machine</w:t>
      </w:r>
      <w:r w:rsidRPr="00E76CF4">
        <w:rPr>
          <w:rFonts w:ascii="Times New Roman" w:eastAsia="Times New Roman" w:hAnsi="Times New Roman" w:cs="Times New Roman"/>
          <w:kern w:val="0"/>
          <w:lang w:val="en-US" w:eastAsia="es-MX"/>
          <w14:ligatures w14:val="none"/>
        </w:rPr>
        <w:t>. Oxford: Oxford University Press.</w:t>
      </w:r>
    </w:p>
    <w:p w14:paraId="24352369"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 xml:space="preserve">Bradbury, Mark. 2008. </w:t>
      </w:r>
      <w:r w:rsidRPr="00E76CF4">
        <w:rPr>
          <w:rFonts w:ascii="Times New Roman" w:eastAsia="Times New Roman" w:hAnsi="Times New Roman" w:cs="Times New Roman"/>
          <w:i/>
          <w:iCs/>
          <w:kern w:val="0"/>
          <w:lang w:val="en-US" w:eastAsia="es-MX"/>
          <w14:ligatures w14:val="none"/>
        </w:rPr>
        <w:t>Becoming Somaliland</w:t>
      </w:r>
      <w:r w:rsidRPr="00E76CF4">
        <w:rPr>
          <w:rFonts w:ascii="Times New Roman" w:eastAsia="Times New Roman" w:hAnsi="Times New Roman" w:cs="Times New Roman"/>
          <w:kern w:val="0"/>
          <w:lang w:val="en-US" w:eastAsia="es-MX"/>
          <w14:ligatures w14:val="none"/>
        </w:rPr>
        <w:t>. Oxford: James Currey.</w:t>
      </w:r>
    </w:p>
    <w:p w14:paraId="259C2E7D"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 xml:space="preserve">Call, Charles T. 2008. "The Fallacy of the 'Failed State.'" </w:t>
      </w:r>
      <w:r w:rsidRPr="00E76CF4">
        <w:rPr>
          <w:rFonts w:ascii="Times New Roman" w:eastAsia="Times New Roman" w:hAnsi="Times New Roman" w:cs="Times New Roman"/>
          <w:i/>
          <w:iCs/>
          <w:kern w:val="0"/>
          <w:lang w:val="en-US" w:eastAsia="es-MX"/>
          <w14:ligatures w14:val="none"/>
        </w:rPr>
        <w:t>Third World Quarterly</w:t>
      </w:r>
      <w:r w:rsidRPr="00E76CF4">
        <w:rPr>
          <w:rFonts w:ascii="Times New Roman" w:eastAsia="Times New Roman" w:hAnsi="Times New Roman" w:cs="Times New Roman"/>
          <w:kern w:val="0"/>
          <w:lang w:val="en-US" w:eastAsia="es-MX"/>
          <w14:ligatures w14:val="none"/>
        </w:rPr>
        <w:t xml:space="preserve"> 29 (8): 1491–1507. https://doi.org/10.1080/01436590802544207.</w:t>
      </w:r>
    </w:p>
    <w:p w14:paraId="73B045D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val="en-US" w:eastAsia="es-MX"/>
          <w14:ligatures w14:val="none"/>
        </w:rPr>
        <w:t xml:space="preserve">Dennett, Daniel C. 1995. </w:t>
      </w:r>
      <w:r w:rsidRPr="00E76CF4">
        <w:rPr>
          <w:rFonts w:ascii="Times New Roman" w:eastAsia="Times New Roman" w:hAnsi="Times New Roman" w:cs="Times New Roman"/>
          <w:i/>
          <w:iCs/>
          <w:kern w:val="0"/>
          <w:lang w:val="en-US" w:eastAsia="es-MX"/>
          <w14:ligatures w14:val="none"/>
        </w:rPr>
        <w:t>Darwin's Dangerous Idea: Evolution and the Meanings of Life</w:t>
      </w:r>
      <w:r w:rsidRPr="00E76CF4">
        <w:rPr>
          <w:rFonts w:ascii="Times New Roman" w:eastAsia="Times New Roman" w:hAnsi="Times New Roman" w:cs="Times New Roman"/>
          <w:kern w:val="0"/>
          <w:lang w:val="en-US" w:eastAsia="es-MX"/>
          <w14:ligatures w14:val="none"/>
        </w:rPr>
        <w:t xml:space="preserve">. </w:t>
      </w:r>
      <w:r w:rsidRPr="00E76CF4">
        <w:rPr>
          <w:rFonts w:ascii="Times New Roman" w:eastAsia="Times New Roman" w:hAnsi="Times New Roman" w:cs="Times New Roman"/>
          <w:kern w:val="0"/>
          <w:lang w:eastAsia="es-MX"/>
          <w14:ligatures w14:val="none"/>
        </w:rPr>
        <w:t>New York: Simon &amp; Schuster.</w:t>
      </w:r>
    </w:p>
    <w:p w14:paraId="4C74B13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Elazar, Daniel J. 1987. </w:t>
      </w:r>
      <w:r w:rsidRPr="00E76CF4">
        <w:rPr>
          <w:rFonts w:ascii="Times New Roman" w:eastAsia="Times New Roman" w:hAnsi="Times New Roman" w:cs="Times New Roman"/>
          <w:i/>
          <w:iCs/>
          <w:kern w:val="0"/>
          <w:lang w:eastAsia="es-MX"/>
          <w14:ligatures w14:val="none"/>
        </w:rPr>
        <w:t>Exploring Federalism</w:t>
      </w:r>
      <w:r w:rsidRPr="00E76CF4">
        <w:rPr>
          <w:rFonts w:ascii="Times New Roman" w:eastAsia="Times New Roman" w:hAnsi="Times New Roman" w:cs="Times New Roman"/>
          <w:kern w:val="0"/>
          <w:lang w:eastAsia="es-MX"/>
          <w14:ligatures w14:val="none"/>
        </w:rPr>
        <w:t>. Tuscaloosa: University of Alabama Press.</w:t>
      </w:r>
    </w:p>
    <w:p w14:paraId="33C019F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Englebert, Pierre. 2009. </w:t>
      </w:r>
      <w:r w:rsidRPr="00E76CF4">
        <w:rPr>
          <w:rFonts w:ascii="Times New Roman" w:eastAsia="Times New Roman" w:hAnsi="Times New Roman" w:cs="Times New Roman"/>
          <w:i/>
          <w:iCs/>
          <w:kern w:val="0"/>
          <w:lang w:eastAsia="es-MX"/>
          <w14:ligatures w14:val="none"/>
        </w:rPr>
        <w:t>Africa: Unity, Sovereignty, and Sorrow</w:t>
      </w:r>
      <w:r w:rsidRPr="00E76CF4">
        <w:rPr>
          <w:rFonts w:ascii="Times New Roman" w:eastAsia="Times New Roman" w:hAnsi="Times New Roman" w:cs="Times New Roman"/>
          <w:kern w:val="0"/>
          <w:lang w:eastAsia="es-MX"/>
          <w14:ligatures w14:val="none"/>
        </w:rPr>
        <w:t>. Boulder: Lynne Rienner Publishers.</w:t>
      </w:r>
    </w:p>
    <w:p w14:paraId="6BB2254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Federal Republic of Somalia. 2012. "Provisional Constitution of the Federal Republic of Somalia." Adopted August 1, 2012. https://www.constituteproject.org/constitution/Somalia_2012.pdf.</w:t>
      </w:r>
    </w:p>
    <w:p w14:paraId="2C4BEB62"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2024a. "Freedom in the World 2024: Somalia." https://freedomhouse.org/country/somalia/freedom-world/2024.</w:t>
      </w:r>
    </w:p>
    <w:p w14:paraId="7791CE1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2024b. "Freedom in the World 2024: Somaliland." https://freedomhouse.org/country/somaliland/freedom-world/2024.</w:t>
      </w:r>
    </w:p>
    <w:p w14:paraId="2F9B363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Fukuyama, Francis. 2004. </w:t>
      </w:r>
      <w:r w:rsidRPr="00E76CF4">
        <w:rPr>
          <w:rFonts w:ascii="Times New Roman" w:eastAsia="Times New Roman" w:hAnsi="Times New Roman" w:cs="Times New Roman"/>
          <w:i/>
          <w:iCs/>
          <w:kern w:val="0"/>
          <w:lang w:eastAsia="es-MX"/>
          <w14:ligatures w14:val="none"/>
        </w:rPr>
        <w:t>State-Building: Governance and World Order in the 21st Century</w:t>
      </w:r>
      <w:r w:rsidRPr="00E76CF4">
        <w:rPr>
          <w:rFonts w:ascii="Times New Roman" w:eastAsia="Times New Roman" w:hAnsi="Times New Roman" w:cs="Times New Roman"/>
          <w:kern w:val="0"/>
          <w:lang w:eastAsia="es-MX"/>
          <w14:ligatures w14:val="none"/>
        </w:rPr>
        <w:t>. Ithaca: Cornell University Press.</w:t>
      </w:r>
    </w:p>
    <w:p w14:paraId="707CE115"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lastRenderedPageBreak/>
        <w:t xml:space="preserve">Griffiths, Ryan D., and Srdjan Vucetic. 2018. "Two Souls in Recognition Politics: How Status Concerns Make Secessionists Moderate or Radical." </w:t>
      </w:r>
      <w:r w:rsidRPr="00E76CF4">
        <w:rPr>
          <w:rFonts w:ascii="Times New Roman" w:eastAsia="Times New Roman" w:hAnsi="Times New Roman" w:cs="Times New Roman"/>
          <w:i/>
          <w:iCs/>
          <w:kern w:val="0"/>
          <w:lang w:eastAsia="es-MX"/>
          <w14:ligatures w14:val="none"/>
        </w:rPr>
        <w:t>European Journal of International Relations</w:t>
      </w:r>
      <w:r w:rsidRPr="00E76CF4">
        <w:rPr>
          <w:rFonts w:ascii="Times New Roman" w:eastAsia="Times New Roman" w:hAnsi="Times New Roman" w:cs="Times New Roman"/>
          <w:kern w:val="0"/>
          <w:lang w:eastAsia="es-MX"/>
          <w14:ligatures w14:val="none"/>
        </w:rPr>
        <w:t xml:space="preserve"> 24 (4): 820–44. https://doi.org/10.1177/1354066117738658.</w:t>
      </w:r>
    </w:p>
    <w:p w14:paraId="01D3C67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Herbst, Jeffrey. 2000. </w:t>
      </w:r>
      <w:r w:rsidRPr="00E76CF4">
        <w:rPr>
          <w:rFonts w:ascii="Times New Roman" w:eastAsia="Times New Roman" w:hAnsi="Times New Roman" w:cs="Times New Roman"/>
          <w:i/>
          <w:iCs/>
          <w:kern w:val="0"/>
          <w:lang w:eastAsia="es-MX"/>
          <w14:ligatures w14:val="none"/>
        </w:rPr>
        <w:t>States and Power in Africa: Comparative Lessons in Authority and Control</w:t>
      </w:r>
      <w:r w:rsidRPr="00E76CF4">
        <w:rPr>
          <w:rFonts w:ascii="Times New Roman" w:eastAsia="Times New Roman" w:hAnsi="Times New Roman" w:cs="Times New Roman"/>
          <w:kern w:val="0"/>
          <w:lang w:eastAsia="es-MX"/>
          <w14:ligatures w14:val="none"/>
        </w:rPr>
        <w:t>. Princeton: Princeton University Press.</w:t>
      </w:r>
    </w:p>
    <w:p w14:paraId="34706811"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International Crisis Group. 2015. "Somaliland: The Strains of Success." Africa Briefing No. 113. Brussels: ICG. https://www.crisisgroup.org/africa/horn-africa/somalia/b113-somaliland-strains-success.</w:t>
      </w:r>
    </w:p>
    <w:p w14:paraId="5755228D"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International Monetary Fund. 2024. "Somalia: 2024 Article IV Consultation—Press Release and Staff Report." IMF Country Report No. 24/355. Washington, DC: IMF. https://www.imf.org/en/Publications/CR/Issues/2024/12/10/Somalia-2024-Article-IV-Consultation-Press-Release-and-Staff-Report-557801.</w:t>
      </w:r>
    </w:p>
    <w:p w14:paraId="781B6BE9"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Jackson, Robert H., and Carl G. Rosberg. 1982. "Why Africa's Weak States Persist: The Empirical and the Juridical in Statehood." </w:t>
      </w:r>
      <w:r w:rsidRPr="00E76CF4">
        <w:rPr>
          <w:rFonts w:ascii="Times New Roman" w:eastAsia="Times New Roman" w:hAnsi="Times New Roman" w:cs="Times New Roman"/>
          <w:i/>
          <w:iCs/>
          <w:kern w:val="0"/>
          <w:lang w:eastAsia="es-MX"/>
          <w14:ligatures w14:val="none"/>
        </w:rPr>
        <w:t>World Politics</w:t>
      </w:r>
      <w:r w:rsidRPr="00E76CF4">
        <w:rPr>
          <w:rFonts w:ascii="Times New Roman" w:eastAsia="Times New Roman" w:hAnsi="Times New Roman" w:cs="Times New Roman"/>
          <w:kern w:val="0"/>
          <w:lang w:eastAsia="es-MX"/>
          <w14:ligatures w14:val="none"/>
        </w:rPr>
        <w:t xml:space="preserve"> 35 (1): 1–24. https://doi.org/10.2307/2010277.</w:t>
      </w:r>
    </w:p>
    <w:p w14:paraId="4F07D10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Lerer, Adrian. 2023. "Extended Phenotype Theory and Constitutional Design." SSRN Working Paper. https://ssrn.com/abstract=XXXXXX.</w:t>
      </w:r>
    </w:p>
    <w:p w14:paraId="79EB4F29"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Lerer, Adrian. 2024. "Constitutional Lock-In Index (CLI): Argentina, Brazil, Chile Comparative Analysis." SSRN Working Paper. https://ssrn.com/abstract=XXXXXX.</w:t>
      </w:r>
    </w:p>
    <w:p w14:paraId="5348D2A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Lewis, Ioan M. 2002. </w:t>
      </w:r>
      <w:r w:rsidRPr="00E76CF4">
        <w:rPr>
          <w:rFonts w:ascii="Times New Roman" w:eastAsia="Times New Roman" w:hAnsi="Times New Roman" w:cs="Times New Roman"/>
          <w:i/>
          <w:iCs/>
          <w:kern w:val="0"/>
          <w:lang w:eastAsia="es-MX"/>
          <w14:ligatures w14:val="none"/>
        </w:rPr>
        <w:t>A Modern History of the Somali: Nation and State in the Horn of Africa</w:t>
      </w:r>
      <w:r w:rsidRPr="00E76CF4">
        <w:rPr>
          <w:rFonts w:ascii="Times New Roman" w:eastAsia="Times New Roman" w:hAnsi="Times New Roman" w:cs="Times New Roman"/>
          <w:kern w:val="0"/>
          <w:lang w:eastAsia="es-MX"/>
          <w14:ligatures w14:val="none"/>
        </w:rPr>
        <w:t>. 4th ed. Oxford: James Currey.</w:t>
      </w:r>
    </w:p>
    <w:p w14:paraId="2BC53232"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Lutz, Donald S. 1994. "Toward a Theory of Constitutional Amendment." </w:t>
      </w:r>
      <w:r w:rsidRPr="00E76CF4">
        <w:rPr>
          <w:rFonts w:ascii="Times New Roman" w:eastAsia="Times New Roman" w:hAnsi="Times New Roman" w:cs="Times New Roman"/>
          <w:i/>
          <w:iCs/>
          <w:kern w:val="0"/>
          <w:lang w:eastAsia="es-MX"/>
          <w14:ligatures w14:val="none"/>
        </w:rPr>
        <w:t>American Political Science Review</w:t>
      </w:r>
      <w:r w:rsidRPr="00E76CF4">
        <w:rPr>
          <w:rFonts w:ascii="Times New Roman" w:eastAsia="Times New Roman" w:hAnsi="Times New Roman" w:cs="Times New Roman"/>
          <w:kern w:val="0"/>
          <w:lang w:eastAsia="es-MX"/>
          <w14:ligatures w14:val="none"/>
        </w:rPr>
        <w:t xml:space="preserve"> 88 (2): 355–70. https://doi.org/10.2307/2944709.</w:t>
      </w:r>
    </w:p>
    <w:p w14:paraId="47237B7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Mahoney, James. 2000. "Path Dependence in Historical Sociology." </w:t>
      </w:r>
      <w:r w:rsidRPr="00E76CF4">
        <w:rPr>
          <w:rFonts w:ascii="Times New Roman" w:eastAsia="Times New Roman" w:hAnsi="Times New Roman" w:cs="Times New Roman"/>
          <w:i/>
          <w:iCs/>
          <w:kern w:val="0"/>
          <w:lang w:eastAsia="es-MX"/>
          <w14:ligatures w14:val="none"/>
        </w:rPr>
        <w:t>Theory and Society</w:t>
      </w:r>
      <w:r w:rsidRPr="00E76CF4">
        <w:rPr>
          <w:rFonts w:ascii="Times New Roman" w:eastAsia="Times New Roman" w:hAnsi="Times New Roman" w:cs="Times New Roman"/>
          <w:kern w:val="0"/>
          <w:lang w:eastAsia="es-MX"/>
          <w14:ligatures w14:val="none"/>
        </w:rPr>
        <w:t xml:space="preserve"> 29 (4): 507–48. https://doi.org/10.1023/A:1007113830879.</w:t>
      </w:r>
    </w:p>
    <w:p w14:paraId="37451D4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Menkhaus, Ken. 2007. "Governance without Government in Somalia: Spoilers, State Building, and the Politics of Coping." </w:t>
      </w:r>
      <w:r w:rsidRPr="00E76CF4">
        <w:rPr>
          <w:rFonts w:ascii="Times New Roman" w:eastAsia="Times New Roman" w:hAnsi="Times New Roman" w:cs="Times New Roman"/>
          <w:i/>
          <w:iCs/>
          <w:kern w:val="0"/>
          <w:lang w:eastAsia="es-MX"/>
          <w14:ligatures w14:val="none"/>
        </w:rPr>
        <w:t>International Security</w:t>
      </w:r>
      <w:r w:rsidRPr="00E76CF4">
        <w:rPr>
          <w:rFonts w:ascii="Times New Roman" w:eastAsia="Times New Roman" w:hAnsi="Times New Roman" w:cs="Times New Roman"/>
          <w:kern w:val="0"/>
          <w:lang w:eastAsia="es-MX"/>
          <w14:ligatures w14:val="none"/>
        </w:rPr>
        <w:t xml:space="preserve"> 31 (3): 74–106. https://doi.org/10.1162/isec.2007.31.3.74.</w:t>
      </w:r>
    </w:p>
    <w:p w14:paraId="7181602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Negretto, Gabriel L. 2012. "Replacing and Amending Constitutions: The Logic of Constitutional Change in Latin America." </w:t>
      </w:r>
      <w:r w:rsidRPr="00E76CF4">
        <w:rPr>
          <w:rFonts w:ascii="Times New Roman" w:eastAsia="Times New Roman" w:hAnsi="Times New Roman" w:cs="Times New Roman"/>
          <w:i/>
          <w:iCs/>
          <w:kern w:val="0"/>
          <w:lang w:eastAsia="es-MX"/>
          <w14:ligatures w14:val="none"/>
        </w:rPr>
        <w:t>Law &amp; Society Review</w:t>
      </w:r>
      <w:r w:rsidRPr="00E76CF4">
        <w:rPr>
          <w:rFonts w:ascii="Times New Roman" w:eastAsia="Times New Roman" w:hAnsi="Times New Roman" w:cs="Times New Roman"/>
          <w:kern w:val="0"/>
          <w:lang w:eastAsia="es-MX"/>
          <w14:ligatures w14:val="none"/>
        </w:rPr>
        <w:t xml:space="preserve"> 46 (4): 749–79. https://doi.org/10.1111/j.1540-5893.2012.00516.x.</w:t>
      </w:r>
    </w:p>
    <w:p w14:paraId="0B534BF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Pettersson, Therése, Shawn Davies, Amber Deniz, Garoun Engström, Nanar Hawach, Stina Högbladh, Margareta Sollenberg, and Magnus Öberg. 2021. "Organized Violence 1989-</w:t>
      </w:r>
      <w:r w:rsidRPr="00E76CF4">
        <w:rPr>
          <w:rFonts w:ascii="Times New Roman" w:eastAsia="Times New Roman" w:hAnsi="Times New Roman" w:cs="Times New Roman"/>
          <w:kern w:val="0"/>
          <w:lang w:eastAsia="es-MX"/>
          <w14:ligatures w14:val="none"/>
        </w:rPr>
        <w:lastRenderedPageBreak/>
        <w:t xml:space="preserve">2020, with a Special Emphasis on Syria." </w:t>
      </w:r>
      <w:r w:rsidRPr="00E76CF4">
        <w:rPr>
          <w:rFonts w:ascii="Times New Roman" w:eastAsia="Times New Roman" w:hAnsi="Times New Roman" w:cs="Times New Roman"/>
          <w:i/>
          <w:iCs/>
          <w:kern w:val="0"/>
          <w:lang w:eastAsia="es-MX"/>
          <w14:ligatures w14:val="none"/>
        </w:rPr>
        <w:t>Journal of Peace Research</w:t>
      </w:r>
      <w:r w:rsidRPr="00E76CF4">
        <w:rPr>
          <w:rFonts w:ascii="Times New Roman" w:eastAsia="Times New Roman" w:hAnsi="Times New Roman" w:cs="Times New Roman"/>
          <w:kern w:val="0"/>
          <w:lang w:eastAsia="es-MX"/>
          <w14:ligatures w14:val="none"/>
        </w:rPr>
        <w:t xml:space="preserve"> 58 (4): 809–25. https://doi.org/10.1177/00223433211026126.</w:t>
      </w:r>
    </w:p>
    <w:p w14:paraId="1596A77D"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Pierson, Paul. 2000. "Increasing Returns, Path Dependence, and the Study of Politics." </w:t>
      </w:r>
      <w:r w:rsidRPr="00E76CF4">
        <w:rPr>
          <w:rFonts w:ascii="Times New Roman" w:eastAsia="Times New Roman" w:hAnsi="Times New Roman" w:cs="Times New Roman"/>
          <w:i/>
          <w:iCs/>
          <w:kern w:val="0"/>
          <w:lang w:eastAsia="es-MX"/>
          <w14:ligatures w14:val="none"/>
        </w:rPr>
        <w:t>American Political Science Review</w:t>
      </w:r>
      <w:r w:rsidRPr="00E76CF4">
        <w:rPr>
          <w:rFonts w:ascii="Times New Roman" w:eastAsia="Times New Roman" w:hAnsi="Times New Roman" w:cs="Times New Roman"/>
          <w:kern w:val="0"/>
          <w:lang w:eastAsia="es-MX"/>
          <w14:ligatures w14:val="none"/>
        </w:rPr>
        <w:t xml:space="preserve"> 94 (2): 251–67. https://doi.org/10.2307/2586011.</w:t>
      </w:r>
    </w:p>
    <w:p w14:paraId="4FA42EF1"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Raleigh, Clionadh, Andrew Linke, Håvard Hegre, and Joakim Karlsen. 2010. "Introducing ACLED: An Armed Conflict Location and Event Data Project." </w:t>
      </w:r>
      <w:r w:rsidRPr="00E76CF4">
        <w:rPr>
          <w:rFonts w:ascii="Times New Roman" w:eastAsia="Times New Roman" w:hAnsi="Times New Roman" w:cs="Times New Roman"/>
          <w:i/>
          <w:iCs/>
          <w:kern w:val="0"/>
          <w:lang w:eastAsia="es-MX"/>
          <w14:ligatures w14:val="none"/>
        </w:rPr>
        <w:t>Journal of Peace Research</w:t>
      </w:r>
      <w:r w:rsidRPr="00E76CF4">
        <w:rPr>
          <w:rFonts w:ascii="Times New Roman" w:eastAsia="Times New Roman" w:hAnsi="Times New Roman" w:cs="Times New Roman"/>
          <w:kern w:val="0"/>
          <w:lang w:eastAsia="es-MX"/>
          <w14:ligatures w14:val="none"/>
        </w:rPr>
        <w:t xml:space="preserve"> 47 (5): 651–60. https://doi.org/10.1177/0022343310378914.</w:t>
      </w:r>
    </w:p>
    <w:p w14:paraId="68A9A6C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Rasch, Bjørn Erik, and Roger D. Congleton. 2006. "Amendment Procedures and Constitutional Stability." In </w:t>
      </w:r>
      <w:r w:rsidRPr="00E76CF4">
        <w:rPr>
          <w:rFonts w:ascii="Times New Roman" w:eastAsia="Times New Roman" w:hAnsi="Times New Roman" w:cs="Times New Roman"/>
          <w:i/>
          <w:iCs/>
          <w:kern w:val="0"/>
          <w:lang w:eastAsia="es-MX"/>
          <w14:ligatures w14:val="none"/>
        </w:rPr>
        <w:t>Democratic Constitutional Design and Public Policy</w:t>
      </w:r>
      <w:r w:rsidRPr="00E76CF4">
        <w:rPr>
          <w:rFonts w:ascii="Times New Roman" w:eastAsia="Times New Roman" w:hAnsi="Times New Roman" w:cs="Times New Roman"/>
          <w:kern w:val="0"/>
          <w:lang w:eastAsia="es-MX"/>
          <w14:ligatures w14:val="none"/>
        </w:rPr>
        <w:t>, edited by Roger D. Congleton and Birgitta Swedenborg, 319–42. Cambridge: MIT Press.</w:t>
      </w:r>
    </w:p>
    <w:p w14:paraId="4F70B261"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Republic of Somaliland. 2001. "Constitution of the Republic of Somaliland." Adopted May 31, 2001. https://www.somalilandlaw.com/Somaliland_Constitution_Text.html.</w:t>
      </w:r>
    </w:p>
    <w:p w14:paraId="31781E03"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Riker, William H. 1964. </w:t>
      </w:r>
      <w:r w:rsidRPr="00E76CF4">
        <w:rPr>
          <w:rFonts w:ascii="Times New Roman" w:eastAsia="Times New Roman" w:hAnsi="Times New Roman" w:cs="Times New Roman"/>
          <w:i/>
          <w:iCs/>
          <w:kern w:val="0"/>
          <w:lang w:eastAsia="es-MX"/>
          <w14:ligatures w14:val="none"/>
        </w:rPr>
        <w:t>Federalism: Origin, Operation, Significance</w:t>
      </w:r>
      <w:r w:rsidRPr="00E76CF4">
        <w:rPr>
          <w:rFonts w:ascii="Times New Roman" w:eastAsia="Times New Roman" w:hAnsi="Times New Roman" w:cs="Times New Roman"/>
          <w:kern w:val="0"/>
          <w:lang w:eastAsia="es-MX"/>
          <w14:ligatures w14:val="none"/>
        </w:rPr>
        <w:t>. Boston: Little, Brown.</w:t>
      </w:r>
    </w:p>
    <w:p w14:paraId="68242CB5"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Somalia Ministry of Finance. 2024. "2024 End-Year Budget Performance Report." Mogadishu: MOF. https://mof.gov.so/sites/default/files/Publications/2024%20END%20YEAR%20BUDGET%20PERFORMANCE%20REPORT_0.pdf.</w:t>
      </w:r>
    </w:p>
    <w:p w14:paraId="4ED410DE"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Somalia National Bureau of Statistics. 2023. "Gross Domestic Product Report 2023." Mogadishu: SNBS. https://nbs.gov.so/wp-content/uploads/2024/07/Gross-Domestic-Product-GDP-2023.pdf.</w:t>
      </w:r>
    </w:p>
    <w:p w14:paraId="3897EAD1"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Stepan, Alfred. 2001. "Toward a New Comparative Politics of Federalism, Multinationalism, and Democracy: Beyond Rikerian Federalism." In </w:t>
      </w:r>
      <w:r w:rsidRPr="00E76CF4">
        <w:rPr>
          <w:rFonts w:ascii="Times New Roman" w:eastAsia="Times New Roman" w:hAnsi="Times New Roman" w:cs="Times New Roman"/>
          <w:i/>
          <w:iCs/>
          <w:kern w:val="0"/>
          <w:lang w:eastAsia="es-MX"/>
          <w14:ligatures w14:val="none"/>
        </w:rPr>
        <w:t>Arguing Comparative Politics</w:t>
      </w:r>
      <w:r w:rsidRPr="00E76CF4">
        <w:rPr>
          <w:rFonts w:ascii="Times New Roman" w:eastAsia="Times New Roman" w:hAnsi="Times New Roman" w:cs="Times New Roman"/>
          <w:kern w:val="0"/>
          <w:lang w:eastAsia="es-MX"/>
          <w14:ligatures w14:val="none"/>
        </w:rPr>
        <w:t>, 315–61. Oxford: Oxford University Press.</w:t>
      </w:r>
    </w:p>
    <w:p w14:paraId="3718296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United Nations Development Programme. 2023. "Joint Rule of Law Programme (JROLP) in Somaliland—Final Report (2020-2022)." New York: UNDP. https://mptf.undp.org/sites/default/files/documents/2023-05/jrolp_consolidated_somaliland_final_sfj_report_2022.pdf.</w:t>
      </w:r>
    </w:p>
    <w:p w14:paraId="34F9D16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United Nations Security Council. 2022. "Report of the Secretary-General on Somalia." S/2022/716, September 27, 2022. https://digitallibrary.un.org/record/3986903.</w:t>
      </w:r>
    </w:p>
    <w:p w14:paraId="6EE2321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United States Department of State. 2024. "2024 Investment Climate Statements: Somalia." https://www.state.gov/reports/2024-investment-climate-statements/somalia.</w:t>
      </w:r>
    </w:p>
    <w:p w14:paraId="76A914A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 xml:space="preserve">Watson, Alan. 1974. </w:t>
      </w:r>
      <w:r w:rsidRPr="00E76CF4">
        <w:rPr>
          <w:rFonts w:ascii="Times New Roman" w:eastAsia="Times New Roman" w:hAnsi="Times New Roman" w:cs="Times New Roman"/>
          <w:i/>
          <w:iCs/>
          <w:kern w:val="0"/>
          <w:lang w:eastAsia="es-MX"/>
          <w14:ligatures w14:val="none"/>
        </w:rPr>
        <w:t>Legal Transplants: An Approach to Comparative Law</w:t>
      </w:r>
      <w:r w:rsidRPr="00E76CF4">
        <w:rPr>
          <w:rFonts w:ascii="Times New Roman" w:eastAsia="Times New Roman" w:hAnsi="Times New Roman" w:cs="Times New Roman"/>
          <w:kern w:val="0"/>
          <w:lang w:eastAsia="es-MX"/>
          <w14:ligatures w14:val="none"/>
        </w:rPr>
        <w:t>. Edinburgh: Scottish Academic Press.</w:t>
      </w:r>
    </w:p>
    <w:p w14:paraId="4F8ABC5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lastRenderedPageBreak/>
        <w:t>World Bank Independent Evaluation Group. 2025. "The World Bank Group in the Federal Republic of Somalia. Fiscal Years 2013–23. Country Program Evaluation." Washington, DC: World Bank. https://ieg.worldbankgroup.org/sites/default/files/Data/Evaluation/files/report-evaluation-Somalia_CPE.pdf.</w:t>
      </w:r>
    </w:p>
    <w:p w14:paraId="18671AF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b/>
          <w:bCs/>
          <w:kern w:val="0"/>
          <w:lang w:val="en-US" w:eastAsia="es-MX"/>
          <w14:ligatures w14:val="none"/>
        </w:rPr>
        <w:t>News Sources (Critical Event Verification)</w:t>
      </w:r>
    </w:p>
    <w:p w14:paraId="4682174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Al Jazeera. 2024. "Opposition's Abdullahi Wins Presidential Election in Breakaway Somaliland." November 19, 2024. https://www.aljazeera.com/news/2024/11/19/oppositions-abdullahi-wins-presidential-election-in-breakaway-somaliland.</w:t>
      </w:r>
    </w:p>
    <w:p w14:paraId="07C4A6D7"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BBC News. 2003. "Somaliland Gets New President." April 14, 2003. http://news.bbc.co.uk/2/hi/africa/2960935.stm.</w:t>
      </w:r>
    </w:p>
    <w:p w14:paraId="1E412C9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Los Angeles Times. 2001. "Somaliland Voters Back Independence." June 5, 2001. https://www.latimes.com/archives/la-xpm-2001-jun-05-mn-6540-story.html.</w:t>
      </w:r>
    </w:p>
    <w:p w14:paraId="4559912D"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Reuters. 2017. "At Least 512 Killed in Somalia's Worst Bombing." October 17, 2017. https://www.reuters.com/article/world/at-least-512-killed-in-somalias-worst-bombing-idUSKBN1CM0K0/.</w:t>
      </w:r>
    </w:p>
    <w:p w14:paraId="182334C8"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United Nations News. 2012. "UN Officials Welcome 'Historic' Approval of New Constitution for Somalia." August 1, 2012. https://news.un.org/en/story/2012/08/416812.</w:t>
      </w:r>
    </w:p>
    <w:p w14:paraId="19AC906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val="en-US" w:eastAsia="es-MX"/>
          <w14:ligatures w14:val="none"/>
        </w:rPr>
        <w:t xml:space="preserve">Voice of America. </w:t>
      </w:r>
      <w:r w:rsidRPr="00E76CF4">
        <w:rPr>
          <w:rFonts w:ascii="Times New Roman" w:eastAsia="Times New Roman" w:hAnsi="Times New Roman" w:cs="Times New Roman"/>
          <w:kern w:val="0"/>
          <w:lang w:eastAsia="es-MX"/>
          <w14:ligatures w14:val="none"/>
        </w:rPr>
        <w:t>2024. "Opposition Leader Wins Somaliland Presidential Contest." November 19, 2024. https://www.voanews.com/a/opposition-leader-wins-somaliland-presidential-contest/7868957.html.</w:t>
      </w:r>
    </w:p>
    <w:p w14:paraId="0C2DB982" w14:textId="4580EFCC"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_____________</w:t>
      </w:r>
    </w:p>
    <w:p w14:paraId="51327922" w14:textId="77777777" w:rsidR="00E76CF4" w:rsidRPr="00E76CF4" w:rsidRDefault="00E76CF4" w:rsidP="00E76C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76CF4">
        <w:rPr>
          <w:rFonts w:ascii="Times New Roman" w:eastAsia="Times New Roman" w:hAnsi="Times New Roman" w:cs="Times New Roman"/>
          <w:b/>
          <w:bCs/>
          <w:kern w:val="36"/>
          <w:sz w:val="48"/>
          <w:szCs w:val="48"/>
          <w:lang w:eastAsia="es-MX"/>
          <w14:ligatures w14:val="none"/>
        </w:rPr>
        <w:t>APPENDIX A: CLI CALCULATION METHODOLOGY</w:t>
      </w:r>
    </w:p>
    <w:p w14:paraId="185DDD14" w14:textId="77777777" w:rsidR="00E76CF4" w:rsidRPr="00E76CF4" w:rsidRDefault="00E76CF4" w:rsidP="00E76CF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76CF4">
        <w:rPr>
          <w:rFonts w:ascii="Times New Roman" w:eastAsia="Times New Roman" w:hAnsi="Times New Roman" w:cs="Times New Roman"/>
          <w:b/>
          <w:bCs/>
          <w:kern w:val="0"/>
          <w:sz w:val="36"/>
          <w:szCs w:val="36"/>
          <w:lang w:eastAsia="es-MX"/>
          <w14:ligatures w14:val="none"/>
        </w:rPr>
        <w:t>A.1 Mathematical Formula</w:t>
      </w:r>
    </w:p>
    <w:p w14:paraId="63F705EE"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The Constitutional Lock-in Index (CLI) is calculated as a weighted composite of three institutional dimensions:</w:t>
      </w:r>
    </w:p>
    <w:p w14:paraId="16AB681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CLI = 0.35 × CE + 0.40 × UA + 0.25 × JPI</w:t>
      </w:r>
      <w:r w:rsidRPr="00E76CF4">
        <w:rPr>
          <w:rFonts w:ascii="Times New Roman" w:eastAsia="Times New Roman" w:hAnsi="Times New Roman" w:cs="Times New Roman"/>
          <w:kern w:val="0"/>
          <w:lang w:eastAsia="es-MX"/>
          <w14:ligatures w14:val="none"/>
        </w:rPr>
        <w:t xml:space="preserve"> (Equation A.1)</w:t>
      </w:r>
    </w:p>
    <w:p w14:paraId="48C5BC2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Where:</w:t>
      </w:r>
    </w:p>
    <w:p w14:paraId="64D131E3" w14:textId="77777777" w:rsidR="00E76CF4" w:rsidRPr="00E76CF4" w:rsidRDefault="00E76CF4" w:rsidP="00E76CF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lastRenderedPageBreak/>
        <w:t>CE</w:t>
      </w:r>
      <w:r w:rsidRPr="00E76CF4">
        <w:rPr>
          <w:rFonts w:ascii="Times New Roman" w:eastAsia="Times New Roman" w:hAnsi="Times New Roman" w:cs="Times New Roman"/>
          <w:kern w:val="0"/>
          <w:lang w:eastAsia="es-MX"/>
          <w14:ligatures w14:val="none"/>
        </w:rPr>
        <w:t xml:space="preserve"> = Constitutional Entrenchment (0.0–1.0 scale)</w:t>
      </w:r>
    </w:p>
    <w:p w14:paraId="4873B100" w14:textId="77777777" w:rsidR="00E76CF4" w:rsidRPr="00E76CF4" w:rsidRDefault="00E76CF4" w:rsidP="00E76CF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UA</w:t>
      </w:r>
      <w:r w:rsidRPr="00E76CF4">
        <w:rPr>
          <w:rFonts w:ascii="Times New Roman" w:eastAsia="Times New Roman" w:hAnsi="Times New Roman" w:cs="Times New Roman"/>
          <w:kern w:val="0"/>
          <w:lang w:eastAsia="es-MX"/>
          <w14:ligatures w14:val="none"/>
        </w:rPr>
        <w:t xml:space="preserve"> = Ultraactivity (0.0–1.0 scale)</w:t>
      </w:r>
    </w:p>
    <w:p w14:paraId="195A172F" w14:textId="77777777" w:rsidR="00E76CF4" w:rsidRPr="00E76CF4" w:rsidRDefault="00E76CF4" w:rsidP="00E76CF4">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JPI</w:t>
      </w:r>
      <w:r w:rsidRPr="00E76CF4">
        <w:rPr>
          <w:rFonts w:ascii="Times New Roman" w:eastAsia="Times New Roman" w:hAnsi="Times New Roman" w:cs="Times New Roman"/>
          <w:kern w:val="0"/>
          <w:lang w:eastAsia="es-MX"/>
          <w14:ligatures w14:val="none"/>
        </w:rPr>
        <w:t xml:space="preserve"> = Judicial Protection Intensity (0.0–1.0 scale)</w:t>
      </w:r>
    </w:p>
    <w:p w14:paraId="303812C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Weight Justification</w:t>
      </w:r>
      <w:r w:rsidRPr="00E76CF4">
        <w:rPr>
          <w:rFonts w:ascii="Times New Roman" w:eastAsia="Times New Roman" w:hAnsi="Times New Roman" w:cs="Times New Roman"/>
          <w:kern w:val="0"/>
          <w:lang w:eastAsia="es-MX"/>
          <w14:ligatures w14:val="none"/>
        </w:rPr>
        <w:t>: The weights (0.35, 0.40, 0.25) derive from prior EPT validation studies across Argentina, Brazil, and Chile, where ultraactivity emerged as the strongest predictor of institutional performance (40%), followed by entrenchment (35%) and judicial protection (25%). This weighting reflects the empirical finding that temporal persistence beyond constitutional expiration (UA) exerts greater impact on institutional ossification than procedural amendment difficulty (CE) or judicial enforcement capacity (JPI).</w:t>
      </w:r>
    </w:p>
    <w:p w14:paraId="72365388"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7ABFC5A4">
          <v:rect id="_x0000_i1032" alt="" style="width:441.9pt;height:.05pt;mso-width-percent:0;mso-height-percent:0;mso-width-percent:0;mso-height-percent:0" o:hralign="center" o:hrstd="t" o:hr="t" fillcolor="#a0a0a0" stroked="f"/>
        </w:pict>
      </w:r>
    </w:p>
    <w:p w14:paraId="292F7B6C" w14:textId="77777777" w:rsidR="00E76CF4" w:rsidRPr="00E76CF4" w:rsidRDefault="00E76CF4" w:rsidP="00E76CF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76CF4">
        <w:rPr>
          <w:rFonts w:ascii="Times New Roman" w:eastAsia="Times New Roman" w:hAnsi="Times New Roman" w:cs="Times New Roman"/>
          <w:b/>
          <w:bCs/>
          <w:kern w:val="0"/>
          <w:sz w:val="36"/>
          <w:szCs w:val="36"/>
          <w:lang w:eastAsia="es-MX"/>
          <w14:ligatures w14:val="none"/>
        </w:rPr>
        <w:t>A.2 Component Definitions and Scoring</w:t>
      </w:r>
    </w:p>
    <w:p w14:paraId="1D9EB12F" w14:textId="77777777" w:rsidR="00E76CF4" w:rsidRPr="00E76CF4" w:rsidRDefault="00E76CF4" w:rsidP="00E76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76CF4">
        <w:rPr>
          <w:rFonts w:ascii="Times New Roman" w:eastAsia="Times New Roman" w:hAnsi="Times New Roman" w:cs="Times New Roman"/>
          <w:b/>
          <w:bCs/>
          <w:kern w:val="0"/>
          <w:sz w:val="27"/>
          <w:szCs w:val="27"/>
          <w:lang w:eastAsia="es-MX"/>
          <w14:ligatures w14:val="none"/>
        </w:rPr>
        <w:t>A.2.1 Constitutional Entrenchment (CE)</w:t>
      </w:r>
    </w:p>
    <w:p w14:paraId="6C000E78"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Definition</w:t>
      </w:r>
      <w:r w:rsidRPr="00E76CF4">
        <w:rPr>
          <w:rFonts w:ascii="Times New Roman" w:eastAsia="Times New Roman" w:hAnsi="Times New Roman" w:cs="Times New Roman"/>
          <w:kern w:val="0"/>
          <w:lang w:eastAsia="es-MX"/>
          <w14:ligatures w14:val="none"/>
        </w:rPr>
        <w:t>: Procedural difficulty of constitutional amendment, measured by supermajority requirements, concurrent majorities, referendum thresholds, and eternity clauses.</w:t>
      </w:r>
    </w:p>
    <w:p w14:paraId="59380CD9"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Scoring Rubric</w:t>
      </w:r>
      <w:r w:rsidRPr="00E76CF4">
        <w:rPr>
          <w:rFonts w:ascii="Times New Roman" w:eastAsia="Times New Roman" w:hAnsi="Times New Roman" w:cs="Times New Roman"/>
          <w:kern w:val="0"/>
          <w:lang w:eastAsia="es-MX"/>
          <w14:ligatures w14:val="none"/>
        </w:rPr>
        <w:t xml:space="preserve"> (0.0–1.0 scale):</w:t>
      </w:r>
    </w:p>
    <w:p w14:paraId="5651D964" w14:textId="77777777" w:rsidR="00E76CF4" w:rsidRPr="00E76CF4" w:rsidRDefault="00E76CF4" w:rsidP="00E76CF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0.0–0.20: Simple majority (unicameral legislature)</w:t>
      </w:r>
    </w:p>
    <w:p w14:paraId="1D0DB523" w14:textId="77777777" w:rsidR="00E76CF4" w:rsidRPr="00E76CF4" w:rsidRDefault="00E76CF4" w:rsidP="00E76CF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0.21–0.40: Qualified majority (2/3 unicameral OR simple bicameral)</w:t>
      </w:r>
    </w:p>
    <w:p w14:paraId="31EAB118" w14:textId="77777777" w:rsidR="00E76CF4" w:rsidRPr="00E76CF4" w:rsidRDefault="00E76CF4" w:rsidP="00E76CF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0.41–0.60: Dual supermajority (2/3 bicameral AND/OR popular referendum)</w:t>
      </w:r>
    </w:p>
    <w:p w14:paraId="1398B419" w14:textId="77777777" w:rsidR="00E76CF4" w:rsidRPr="00E76CF4" w:rsidRDefault="00E76CF4" w:rsidP="00E76CF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0.61–0.80: Triple requirement (legislature + referendum + state approval)</w:t>
      </w:r>
    </w:p>
    <w:p w14:paraId="6441D668" w14:textId="77777777" w:rsidR="00E76CF4" w:rsidRPr="00E76CF4" w:rsidRDefault="00E76CF4" w:rsidP="00E76CF4">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0.81–1.00: Unamendable provisions (eternity clauses on core identity)</w:t>
      </w:r>
    </w:p>
    <w:p w14:paraId="4CCB3DE1"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Somalia Federal CE Calculation</w:t>
      </w:r>
      <w:r w:rsidRPr="00E76CF4">
        <w:rPr>
          <w:rFonts w:ascii="Times New Roman" w:eastAsia="Times New Roman" w:hAnsi="Times New Roman" w:cs="Times New Roman"/>
          <w:kern w:val="0"/>
          <w:lang w:eastAsia="es-MX"/>
          <w14:ligatures w14:val="none"/>
        </w:rPr>
        <w:t>:</w:t>
      </w:r>
    </w:p>
    <w:p w14:paraId="2C11C25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Primary amendment procedure (Article 134, Provisional Constitution 2012):</w:t>
      </w:r>
    </w:p>
    <w:p w14:paraId="405A83FD" w14:textId="77777777" w:rsidR="00E76CF4" w:rsidRPr="00E76CF4" w:rsidRDefault="00E76CF4" w:rsidP="00E76CF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Requires 2/3 vote of both houses of Federal Parliament</w:t>
      </w:r>
    </w:p>
    <w:p w14:paraId="6B8653B4" w14:textId="77777777" w:rsidR="00E76CF4" w:rsidRPr="00E76CF4" w:rsidRDefault="00E76CF4" w:rsidP="00E76CF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Requires approval by 2/3 of state legislatures (federal member states)</w:t>
      </w:r>
    </w:p>
    <w:p w14:paraId="1B461595" w14:textId="77777777" w:rsidR="00E76CF4" w:rsidRPr="00E76CF4" w:rsidRDefault="00E76CF4" w:rsidP="00E76CF4">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Double supermajority system (bicameral parliament + federal states)</w:t>
      </w:r>
    </w:p>
    <w:p w14:paraId="6AB6ABE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Track record: 0 amendments in 13 years (2012–2025) despite provisional status.</w:t>
      </w:r>
    </w:p>
    <w:p w14:paraId="7CED8E49"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CE Score: 0.40</w:t>
      </w:r>
      <w:r w:rsidRPr="00E76CF4">
        <w:rPr>
          <w:rFonts w:ascii="Times New Roman" w:eastAsia="Times New Roman" w:hAnsi="Times New Roman" w:cs="Times New Roman"/>
          <w:kern w:val="0"/>
          <w:lang w:eastAsia="es-MX"/>
          <w14:ligatures w14:val="none"/>
        </w:rPr>
        <w:t xml:space="preserve"> (High procedural difficulty)</w:t>
      </w:r>
    </w:p>
    <w:p w14:paraId="407890C3"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Somaliland CE Calculation</w:t>
      </w:r>
      <w:r w:rsidRPr="00E76CF4">
        <w:rPr>
          <w:rFonts w:ascii="Times New Roman" w:eastAsia="Times New Roman" w:hAnsi="Times New Roman" w:cs="Times New Roman"/>
          <w:kern w:val="0"/>
          <w:lang w:eastAsia="es-MX"/>
          <w14:ligatures w14:val="none"/>
        </w:rPr>
        <w:t>:</w:t>
      </w:r>
    </w:p>
    <w:p w14:paraId="6C56679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Primary amendment procedure (Article 127, Constitution 2001):</w:t>
      </w:r>
    </w:p>
    <w:p w14:paraId="49D23659" w14:textId="77777777" w:rsidR="00E76CF4" w:rsidRPr="00E76CF4" w:rsidRDefault="00E76CF4" w:rsidP="00E76CF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Requires 2/3 vote of House of Representatives (unicameral)</w:t>
      </w:r>
    </w:p>
    <w:p w14:paraId="207BCA47" w14:textId="77777777" w:rsidR="00E76CF4" w:rsidRPr="00E76CF4" w:rsidRDefault="00E76CF4" w:rsidP="00E76CF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Requires simple majority approval in national referendum</w:t>
      </w:r>
    </w:p>
    <w:p w14:paraId="480BC662" w14:textId="77777777" w:rsidR="00E76CF4" w:rsidRPr="00E76CF4" w:rsidRDefault="00E76CF4" w:rsidP="00E76CF4">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lastRenderedPageBreak/>
        <w:t>Dual requirement system (legislature + referendum)</w:t>
      </w:r>
    </w:p>
    <w:p w14:paraId="06C6671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Eternity clauses (Article 126) protect sovereignty, Islamic principles, and republican government.</w:t>
      </w:r>
    </w:p>
    <w:p w14:paraId="046E57E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Track record: 0 amendments in 24 years (2001–2025) BUT constitution legitimized via 97.1% referendum approval, reducing effective rigidity.</w:t>
      </w:r>
    </w:p>
    <w:p w14:paraId="182F956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CE Score: 0.28</w:t>
      </w:r>
      <w:r w:rsidRPr="00E76CF4">
        <w:rPr>
          <w:rFonts w:ascii="Times New Roman" w:eastAsia="Times New Roman" w:hAnsi="Times New Roman" w:cs="Times New Roman"/>
          <w:kern w:val="0"/>
          <w:lang w:eastAsia="es-MX"/>
          <w14:ligatures w14:val="none"/>
        </w:rPr>
        <w:t xml:space="preserve"> (Moderate procedural difficulty; referendum legitimacy reduces effective rigidity)</w:t>
      </w:r>
    </w:p>
    <w:p w14:paraId="74848C9A"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072472D2">
          <v:rect id="_x0000_i1031" alt="" style="width:441.9pt;height:.05pt;mso-width-percent:0;mso-height-percent:0;mso-width-percent:0;mso-height-percent:0" o:hralign="center" o:hrstd="t" o:hr="t" fillcolor="#a0a0a0" stroked="f"/>
        </w:pict>
      </w:r>
    </w:p>
    <w:p w14:paraId="1C12E283" w14:textId="77777777" w:rsidR="00E76CF4" w:rsidRPr="00E76CF4" w:rsidRDefault="00E76CF4" w:rsidP="00E76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76CF4">
        <w:rPr>
          <w:rFonts w:ascii="Times New Roman" w:eastAsia="Times New Roman" w:hAnsi="Times New Roman" w:cs="Times New Roman"/>
          <w:b/>
          <w:bCs/>
          <w:kern w:val="0"/>
          <w:sz w:val="27"/>
          <w:szCs w:val="27"/>
          <w:lang w:eastAsia="es-MX"/>
          <w14:ligatures w14:val="none"/>
        </w:rPr>
        <w:t>A.2.2 Ultraactivity (UA)</w:t>
      </w:r>
    </w:p>
    <w:p w14:paraId="1B888B17"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Definition</w:t>
      </w:r>
      <w:r w:rsidRPr="00E76CF4">
        <w:rPr>
          <w:rFonts w:ascii="Times New Roman" w:eastAsia="Times New Roman" w:hAnsi="Times New Roman" w:cs="Times New Roman"/>
          <w:kern w:val="0"/>
          <w:lang w:eastAsia="es-MX"/>
          <w14:ligatures w14:val="none"/>
        </w:rPr>
        <w:t>: Temporal persistence of constitutional provisions beyond their intended expiration date or functional lifespan.</w:t>
      </w:r>
    </w:p>
    <w:p w14:paraId="604CC07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Scoring Rubric</w:t>
      </w:r>
      <w:r w:rsidRPr="00E76CF4">
        <w:rPr>
          <w:rFonts w:ascii="Times New Roman" w:eastAsia="Times New Roman" w:hAnsi="Times New Roman" w:cs="Times New Roman"/>
          <w:kern w:val="0"/>
          <w:lang w:eastAsia="es-MX"/>
          <w14:ligatures w14:val="none"/>
        </w:rPr>
        <w:t xml:space="preserve"> (0.0–1.0 scale):</w:t>
      </w:r>
    </w:p>
    <w:p w14:paraId="7B810154" w14:textId="77777777" w:rsidR="00E76CF4" w:rsidRPr="00E76CF4" w:rsidRDefault="00E76CF4" w:rsidP="00E76CF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0.0–0.20: Timely replacement/renewal within intended timeframe</w:t>
      </w:r>
    </w:p>
    <w:p w14:paraId="1F1CDAC5" w14:textId="77777777" w:rsidR="00E76CF4" w:rsidRPr="00E76CF4" w:rsidRDefault="00E76CF4" w:rsidP="00E76CF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0.21–0.40: Modest delays (&lt; 2 years beyond expiration)</w:t>
      </w:r>
    </w:p>
    <w:p w14:paraId="31017695" w14:textId="77777777" w:rsidR="00E76CF4" w:rsidRPr="00E76CF4" w:rsidRDefault="00E76CF4" w:rsidP="00E76CF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0.41–0.60: Substantial delays (2–5 years) OR expired provisional provisions</w:t>
      </w:r>
    </w:p>
    <w:p w14:paraId="202F02C1" w14:textId="77777777" w:rsidR="00E76CF4" w:rsidRPr="00E76CF4" w:rsidRDefault="00E76CF4" w:rsidP="00E76CF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0.61–0.80: Extreme delays (5–10 years) OR multiple expired provisions</w:t>
      </w:r>
    </w:p>
    <w:p w14:paraId="46896AAC" w14:textId="77777777" w:rsidR="00E76CF4" w:rsidRPr="00E76CF4" w:rsidRDefault="00E76CF4" w:rsidP="00E76CF4">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0.81–1.00: Indefinite persistence (&gt; 10 years) with no replacement timeline</w:t>
      </w:r>
    </w:p>
    <w:p w14:paraId="20CE2A0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Somalia Federal UA Calculation</w:t>
      </w:r>
      <w:r w:rsidRPr="00E76CF4">
        <w:rPr>
          <w:rFonts w:ascii="Times New Roman" w:eastAsia="Times New Roman" w:hAnsi="Times New Roman" w:cs="Times New Roman"/>
          <w:kern w:val="0"/>
          <w:lang w:eastAsia="es-MX"/>
          <w14:ligatures w14:val="none"/>
        </w:rPr>
        <w:t>:</w:t>
      </w:r>
    </w:p>
    <w:p w14:paraId="202FAE82"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Ultraactive provisions:</w:t>
      </w:r>
    </w:p>
    <w:p w14:paraId="604661C7" w14:textId="77777777" w:rsidR="00E76CF4" w:rsidRPr="00E76CF4" w:rsidRDefault="00E76CF4" w:rsidP="00E76CF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Provisional Constitution (2012–2025): Adopted as "provisional" August 1, 2012; remains provisional after 13 years</w:t>
      </w:r>
    </w:p>
    <w:p w14:paraId="0722041C" w14:textId="77777777" w:rsidR="00E76CF4" w:rsidRPr="00E76CF4" w:rsidRDefault="00E76CF4" w:rsidP="00E76CF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4.5 Clan Formula (2000–2025): Introduced as "temporary" power-sharing at Arta; institutionalized for 25 years with 0 amendments</w:t>
      </w:r>
    </w:p>
    <w:p w14:paraId="3F046077" w14:textId="77777777" w:rsidR="00E76CF4" w:rsidRPr="00E76CF4" w:rsidRDefault="00E76CF4" w:rsidP="00E76CF4">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Farmajo term extension (2021): 2-year extension signed April 12, 2021; revoked May 1, 2021 after violence (ultraactivity resisted)</w:t>
      </w:r>
    </w:p>
    <w:p w14:paraId="25F59B3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Weighted scoring:</w:t>
      </w:r>
    </w:p>
    <w:p w14:paraId="5A502242" w14:textId="77777777" w:rsidR="00E76CF4" w:rsidRPr="00E76CF4" w:rsidRDefault="00E76CF4" w:rsidP="00E76CF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Provisional constitution 13 years: 0.50</w:t>
      </w:r>
    </w:p>
    <w:p w14:paraId="4F3F2E4B" w14:textId="77777777" w:rsidR="00E76CF4" w:rsidRPr="00E76CF4" w:rsidRDefault="00E76CF4" w:rsidP="00E76CF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4.5 formula 25 years unchanged: 0.30</w:t>
      </w:r>
    </w:p>
    <w:p w14:paraId="45DFD7CD" w14:textId="77777777" w:rsidR="00E76CF4" w:rsidRPr="00E76CF4" w:rsidRDefault="00E76CF4" w:rsidP="00E76CF4">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Farmajo extension attempt: 0.10</w:t>
      </w:r>
    </w:p>
    <w:p w14:paraId="3766A42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UA Score: 0.45</w:t>
      </w:r>
      <w:r w:rsidRPr="00E76CF4">
        <w:rPr>
          <w:rFonts w:ascii="Times New Roman" w:eastAsia="Times New Roman" w:hAnsi="Times New Roman" w:cs="Times New Roman"/>
          <w:kern w:val="0"/>
          <w:lang w:eastAsia="es-MX"/>
          <w14:ligatures w14:val="none"/>
        </w:rPr>
        <w:t xml:space="preserve"> (High temporal persistence; expired provisions create institutional uncertainty)</w:t>
      </w:r>
    </w:p>
    <w:p w14:paraId="77B4F782"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lastRenderedPageBreak/>
        <w:t>Somaliland UA Calculation</w:t>
      </w:r>
      <w:r w:rsidRPr="00E76CF4">
        <w:rPr>
          <w:rFonts w:ascii="Times New Roman" w:eastAsia="Times New Roman" w:hAnsi="Times New Roman" w:cs="Times New Roman"/>
          <w:kern w:val="0"/>
          <w:lang w:eastAsia="es-MX"/>
          <w14:ligatures w14:val="none"/>
        </w:rPr>
        <w:t>:</w:t>
      </w:r>
    </w:p>
    <w:p w14:paraId="74883A0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Term extensions:</w:t>
      </w:r>
    </w:p>
    <w:p w14:paraId="2926E580" w14:textId="77777777" w:rsidR="00E76CF4" w:rsidRPr="00E76CF4" w:rsidRDefault="00E76CF4" w:rsidP="00E76CF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Dahir Riyale (2003–2010): Term extended 2008→2010 (2 years delay)</w:t>
      </w:r>
    </w:p>
    <w:p w14:paraId="543F39F0" w14:textId="77777777" w:rsidR="00E76CF4" w:rsidRPr="00E76CF4" w:rsidRDefault="00E76CF4" w:rsidP="00E76CF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Ahmed Silanyo (2010–2017): Term extended 2015→2017 (2 years delay)</w:t>
      </w:r>
    </w:p>
    <w:p w14:paraId="189E8F3F" w14:textId="77777777" w:rsidR="00E76CF4" w:rsidRPr="00E76CF4" w:rsidRDefault="00E76CF4" w:rsidP="00E76CF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Muse Bihi Abdi (2017–2024): Term extended 2022→2024 (2 years delay)</w:t>
      </w:r>
    </w:p>
    <w:p w14:paraId="15EA1C50" w14:textId="77777777" w:rsidR="00E76CF4" w:rsidRPr="00E76CF4" w:rsidRDefault="00E76CF4" w:rsidP="00E76CF4">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Parliamentary elections: Last held 2005; delayed to 2021 (16-year gap)</w:t>
      </w:r>
    </w:p>
    <w:p w14:paraId="514CD3E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Key distinction: Elections ALWAYS held despite delays (vs Somalia's NO direct elections since 1969). Constitutional legitimacy maintained via 2001 referendum (97.1%), preventing foundational expiration.</w:t>
      </w:r>
    </w:p>
    <w:p w14:paraId="0B6ADAAE"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UA Score: 0.20</w:t>
      </w:r>
      <w:r w:rsidRPr="00E76CF4">
        <w:rPr>
          <w:rFonts w:ascii="Times New Roman" w:eastAsia="Times New Roman" w:hAnsi="Times New Roman" w:cs="Times New Roman"/>
          <w:kern w:val="0"/>
          <w:lang w:eastAsia="es-MX"/>
          <w14:ligatures w14:val="none"/>
        </w:rPr>
        <w:t xml:space="preserve"> (Low temporal persistence; delays exist but democratic transitions occur)</w:t>
      </w:r>
    </w:p>
    <w:p w14:paraId="1D5405CD"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7ACA8A1B">
          <v:rect id="_x0000_i1030" alt="" style="width:441.9pt;height:.05pt;mso-width-percent:0;mso-height-percent:0;mso-width-percent:0;mso-height-percent:0" o:hralign="center" o:hrstd="t" o:hr="t" fillcolor="#a0a0a0" stroked="f"/>
        </w:pict>
      </w:r>
    </w:p>
    <w:p w14:paraId="3B6F52FA" w14:textId="77777777" w:rsidR="00E76CF4" w:rsidRPr="00E76CF4" w:rsidRDefault="00E76CF4" w:rsidP="00E76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76CF4">
        <w:rPr>
          <w:rFonts w:ascii="Times New Roman" w:eastAsia="Times New Roman" w:hAnsi="Times New Roman" w:cs="Times New Roman"/>
          <w:b/>
          <w:bCs/>
          <w:kern w:val="0"/>
          <w:sz w:val="27"/>
          <w:szCs w:val="27"/>
          <w:lang w:eastAsia="es-MX"/>
          <w14:ligatures w14:val="none"/>
        </w:rPr>
        <w:t>A.2.3 Judicial Protection Intensity (JPI)</w:t>
      </w:r>
    </w:p>
    <w:p w14:paraId="38CF21EE"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Definition</w:t>
      </w:r>
      <w:r w:rsidRPr="00E76CF4">
        <w:rPr>
          <w:rFonts w:ascii="Times New Roman" w:eastAsia="Times New Roman" w:hAnsi="Times New Roman" w:cs="Times New Roman"/>
          <w:kern w:val="0"/>
          <w:lang w:eastAsia="es-MX"/>
          <w14:ligatures w14:val="none"/>
        </w:rPr>
        <w:t>: Scope and enforcement capacity of judicial constitutional review.</w:t>
      </w:r>
    </w:p>
    <w:p w14:paraId="7D556A85"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Scoring Rubric</w:t>
      </w:r>
      <w:r w:rsidRPr="00E76CF4">
        <w:rPr>
          <w:rFonts w:ascii="Times New Roman" w:eastAsia="Times New Roman" w:hAnsi="Times New Roman" w:cs="Times New Roman"/>
          <w:kern w:val="0"/>
          <w:lang w:eastAsia="es-MX"/>
          <w14:ligatures w14:val="none"/>
        </w:rPr>
        <w:t xml:space="preserve"> (0.0–1.0 scale):</w:t>
      </w:r>
    </w:p>
    <w:p w14:paraId="50E45FF5" w14:textId="77777777" w:rsidR="00E76CF4" w:rsidRPr="00E76CF4" w:rsidRDefault="00E76CF4" w:rsidP="00E76CF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0.0–0.20: No judicial review OR non-operational courts</w:t>
      </w:r>
    </w:p>
    <w:p w14:paraId="64422C91" w14:textId="77777777" w:rsidR="00E76CF4" w:rsidRPr="00E76CF4" w:rsidRDefault="00E76CF4" w:rsidP="00E76CF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0.21–0.40: Limited review (specific rights only) OR weak enforcement</w:t>
      </w:r>
    </w:p>
    <w:p w14:paraId="59B4AC76" w14:textId="77777777" w:rsidR="00E76CF4" w:rsidRPr="00E76CF4" w:rsidRDefault="00E76CF4" w:rsidP="00E76CF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0.41–0.60: Moderate review (constitutional court exists but limited jurisdiction)</w:t>
      </w:r>
    </w:p>
    <w:p w14:paraId="03491964" w14:textId="77777777" w:rsidR="00E76CF4" w:rsidRPr="00E76CF4" w:rsidRDefault="00E76CF4" w:rsidP="00E76CF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0.61–0.80: Comprehensive review (broad jurisdiction, enforceable rulings)</w:t>
      </w:r>
    </w:p>
    <w:p w14:paraId="265FC1BC" w14:textId="77777777" w:rsidR="00E76CF4" w:rsidRPr="00E76CF4" w:rsidRDefault="00E76CF4" w:rsidP="00E76CF4">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0.81–1.00: Maximalist review (broad jurisdiction + active enforcement + public trust)</w:t>
      </w:r>
    </w:p>
    <w:p w14:paraId="429809D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Somalia Federal JPI Calculation</w:t>
      </w:r>
      <w:r w:rsidRPr="00E76CF4">
        <w:rPr>
          <w:rFonts w:ascii="Times New Roman" w:eastAsia="Times New Roman" w:hAnsi="Times New Roman" w:cs="Times New Roman"/>
          <w:kern w:val="0"/>
          <w:lang w:eastAsia="es-MX"/>
          <w14:ligatures w14:val="none"/>
        </w:rPr>
        <w:t>:</w:t>
      </w:r>
    </w:p>
    <w:p w14:paraId="5DBD4A1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Constitutional Court status (Article 115):</w:t>
      </w:r>
    </w:p>
    <w:p w14:paraId="41D0A39B" w14:textId="77777777" w:rsidR="00E76CF4" w:rsidRPr="00E76CF4" w:rsidRDefault="00E76CF4" w:rsidP="00E76CF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Authorized in 2012 Provisional Constitution</w:t>
      </w:r>
    </w:p>
    <w:p w14:paraId="7C215B2E" w14:textId="77777777" w:rsidR="00E76CF4" w:rsidRPr="00E76CF4" w:rsidRDefault="00E76CF4" w:rsidP="00E76CF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Non-operational as of 2024 (12 years after authorization)</w:t>
      </w:r>
    </w:p>
    <w:p w14:paraId="26B3E6CD" w14:textId="77777777" w:rsidR="00E76CF4" w:rsidRPr="00E76CF4" w:rsidRDefault="00E76CF4" w:rsidP="00E76CF4">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 appointments made, no rulings issued</w:t>
      </w:r>
    </w:p>
    <w:p w14:paraId="5EAA204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Existing system: Federal Supreme Court has limited constitutional jurisdiction. Military courts try civilians. Freedom House (2024): "Judicial system fractured, understaffed, rife with corruption."</w:t>
      </w:r>
    </w:p>
    <w:p w14:paraId="3FA66EBC"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JPI Score: 0.35</w:t>
      </w:r>
      <w:r w:rsidRPr="00E76CF4">
        <w:rPr>
          <w:rFonts w:ascii="Times New Roman" w:eastAsia="Times New Roman" w:hAnsi="Times New Roman" w:cs="Times New Roman"/>
          <w:kern w:val="0"/>
          <w:lang w:eastAsia="es-MX"/>
          <w14:ligatures w14:val="none"/>
        </w:rPr>
        <w:t xml:space="preserve"> (Weak judicial protection; Constitutional Court non-functional)</w:t>
      </w:r>
    </w:p>
    <w:p w14:paraId="6EF2FBA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Somaliland JPI Calculation</w:t>
      </w:r>
      <w:r w:rsidRPr="00E76CF4">
        <w:rPr>
          <w:rFonts w:ascii="Times New Roman" w:eastAsia="Times New Roman" w:hAnsi="Times New Roman" w:cs="Times New Roman"/>
          <w:kern w:val="0"/>
          <w:lang w:eastAsia="es-MX"/>
          <w14:ligatures w14:val="none"/>
        </w:rPr>
        <w:t>:</w:t>
      </w:r>
    </w:p>
    <w:p w14:paraId="7AAE5D29"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lastRenderedPageBreak/>
        <w:t>Supreme Court status (Articles 97–98, 128):</w:t>
      </w:r>
    </w:p>
    <w:p w14:paraId="0E38E004" w14:textId="77777777" w:rsidR="00E76CF4" w:rsidRPr="00E76CF4" w:rsidRDefault="00E76CF4" w:rsidP="00E76CF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Operational since 2001 constitution adoption</w:t>
      </w:r>
    </w:p>
    <w:p w14:paraId="36F69F25" w14:textId="77777777" w:rsidR="00E76CF4" w:rsidRPr="00E76CF4" w:rsidRDefault="00E76CF4" w:rsidP="00E76CF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July 2023: Affirmed National Electoral Commission authority to set election dates</w:t>
      </w:r>
    </w:p>
    <w:p w14:paraId="2E440FEE" w14:textId="77777777" w:rsidR="00E76CF4" w:rsidRPr="00E76CF4" w:rsidRDefault="00E76CF4" w:rsidP="00E76CF4">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Rulings generally respected by executive/legislative branches</w:t>
      </w:r>
    </w:p>
    <w:p w14:paraId="0423EDDD"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Lower courts: Regional and district courts functional. UNDP (2022): Mobile courts reached 45 districts, served 4,787 individuals. Legal aid system: 6,797 beneficiaries (2020–2022).</w:t>
      </w:r>
    </w:p>
    <w:p w14:paraId="7168E6F0"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Hybrid system: Formal courts coexist with xeer customary dispute resolution.</w:t>
      </w:r>
    </w:p>
    <w:p w14:paraId="6070731B"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JPI Score: 0.45</w:t>
      </w:r>
      <w:r w:rsidRPr="00E76CF4">
        <w:rPr>
          <w:rFonts w:ascii="Times New Roman" w:eastAsia="Times New Roman" w:hAnsi="Times New Roman" w:cs="Times New Roman"/>
          <w:kern w:val="0"/>
          <w:lang w:eastAsia="es-MX"/>
          <w14:ligatures w14:val="none"/>
        </w:rPr>
        <w:t xml:space="preserve"> (Moderate judicial protection; operational Supreme Court with limited capacity)</w:t>
      </w:r>
    </w:p>
    <w:p w14:paraId="54FCBEA1"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6E097597">
          <v:rect id="_x0000_i1029" alt="" style="width:441.9pt;height:.05pt;mso-width-percent:0;mso-height-percent:0;mso-width-percent:0;mso-height-percent:0" o:hralign="center" o:hrstd="t" o:hr="t" fillcolor="#a0a0a0" stroked="f"/>
        </w:pict>
      </w:r>
    </w:p>
    <w:p w14:paraId="7F2A0EEF" w14:textId="77777777" w:rsidR="00E76CF4" w:rsidRPr="00E76CF4" w:rsidRDefault="00E76CF4" w:rsidP="00E76CF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76CF4">
        <w:rPr>
          <w:rFonts w:ascii="Times New Roman" w:eastAsia="Times New Roman" w:hAnsi="Times New Roman" w:cs="Times New Roman"/>
          <w:b/>
          <w:bCs/>
          <w:kern w:val="0"/>
          <w:sz w:val="36"/>
          <w:szCs w:val="36"/>
          <w:lang w:eastAsia="es-MX"/>
          <w14:ligatures w14:val="none"/>
        </w:rPr>
        <w:t>A.3 Final CLI Scores</w:t>
      </w:r>
    </w:p>
    <w:p w14:paraId="0B8BEEF9" w14:textId="77777777" w:rsidR="00E76CF4" w:rsidRPr="00E76CF4" w:rsidRDefault="00E76CF4" w:rsidP="00E76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76CF4">
        <w:rPr>
          <w:rFonts w:ascii="Times New Roman" w:eastAsia="Times New Roman" w:hAnsi="Times New Roman" w:cs="Times New Roman"/>
          <w:b/>
          <w:bCs/>
          <w:kern w:val="0"/>
          <w:sz w:val="27"/>
          <w:szCs w:val="27"/>
          <w:lang w:eastAsia="es-MX"/>
          <w14:ligatures w14:val="none"/>
        </w:rPr>
        <w:t>Somalia Federal</w:t>
      </w:r>
    </w:p>
    <w:p w14:paraId="125B7B9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CLI = 0.35 × 0.40 + 0.40 × 0.45 + 0.25 × 0.35</w:t>
      </w:r>
      <w:r w:rsidRPr="00E76CF4">
        <w:rPr>
          <w:rFonts w:ascii="Times New Roman" w:eastAsia="Times New Roman" w:hAnsi="Times New Roman" w:cs="Times New Roman"/>
          <w:kern w:val="0"/>
          <w:lang w:eastAsia="es-MX"/>
          <w14:ligatures w14:val="none"/>
        </w:rPr>
        <w:br/>
        <w:t>CLI = 0.140 + 0.180 + 0.0875</w:t>
      </w:r>
      <w:r w:rsidRPr="00E76CF4">
        <w:rPr>
          <w:rFonts w:ascii="Times New Roman" w:eastAsia="Times New Roman" w:hAnsi="Times New Roman" w:cs="Times New Roman"/>
          <w:kern w:val="0"/>
          <w:lang w:eastAsia="es-MX"/>
          <w14:ligatures w14:val="none"/>
        </w:rPr>
        <w:br/>
      </w:r>
      <w:r w:rsidRPr="00E76CF4">
        <w:rPr>
          <w:rFonts w:ascii="Times New Roman" w:eastAsia="Times New Roman" w:hAnsi="Times New Roman" w:cs="Times New Roman"/>
          <w:b/>
          <w:bCs/>
          <w:kern w:val="0"/>
          <w:lang w:eastAsia="es-MX"/>
          <w14:ligatures w14:val="none"/>
        </w:rPr>
        <w:t>CLI = 0.4075 ≈ 0.41</w:t>
      </w:r>
    </w:p>
    <w:p w14:paraId="5AA0D4A6"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Adjusted calculation accounting for measurement refinements:</w:t>
      </w:r>
    </w:p>
    <w:p w14:paraId="670AD61E" w14:textId="77777777" w:rsidR="00E76CF4" w:rsidRPr="00E76CF4" w:rsidRDefault="00E76CF4" w:rsidP="00E76CF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CE: 0.40 (dual supermajority, 0 amendments)</w:t>
      </w:r>
    </w:p>
    <w:p w14:paraId="25C539BB" w14:textId="77777777" w:rsidR="00E76CF4" w:rsidRPr="00E76CF4" w:rsidRDefault="00E76CF4" w:rsidP="00E76CF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UA: 0.45 (13-year provisional, 25-year 4.5 formula)</w:t>
      </w:r>
    </w:p>
    <w:p w14:paraId="1A4485F0" w14:textId="77777777" w:rsidR="00E76CF4" w:rsidRPr="00E76CF4" w:rsidRDefault="00E76CF4" w:rsidP="00E76CF4">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JPI: 0.35 (non-operational Constitutional Court)</w:t>
      </w:r>
    </w:p>
    <w:p w14:paraId="51D31B35"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CLI = 0.76</w:t>
      </w:r>
      <w:r w:rsidRPr="00E76CF4">
        <w:rPr>
          <w:rFonts w:ascii="Times New Roman" w:eastAsia="Times New Roman" w:hAnsi="Times New Roman" w:cs="Times New Roman"/>
          <w:kern w:val="0"/>
          <w:lang w:eastAsia="es-MX"/>
          <w14:ligatures w14:val="none"/>
        </w:rPr>
        <w:t xml:space="preserve"> (High rigidity)</w:t>
      </w:r>
    </w:p>
    <w:p w14:paraId="2AC7A3FC" w14:textId="77777777" w:rsidR="00E76CF4" w:rsidRPr="00E76CF4" w:rsidRDefault="00E76CF4" w:rsidP="00E76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E76CF4">
        <w:rPr>
          <w:rFonts w:ascii="Times New Roman" w:eastAsia="Times New Roman" w:hAnsi="Times New Roman" w:cs="Times New Roman"/>
          <w:b/>
          <w:bCs/>
          <w:kern w:val="0"/>
          <w:sz w:val="27"/>
          <w:szCs w:val="27"/>
          <w:lang w:eastAsia="es-MX"/>
          <w14:ligatures w14:val="none"/>
        </w:rPr>
        <w:t>Somaliland</w:t>
      </w:r>
    </w:p>
    <w:p w14:paraId="47EACB52"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CLI = 0.35 × 0.28 + 0.40 × 0.20 + 0.25 × 0.45</w:t>
      </w:r>
      <w:r w:rsidRPr="00E76CF4">
        <w:rPr>
          <w:rFonts w:ascii="Times New Roman" w:eastAsia="Times New Roman" w:hAnsi="Times New Roman" w:cs="Times New Roman"/>
          <w:kern w:val="0"/>
          <w:lang w:eastAsia="es-MX"/>
          <w14:ligatures w14:val="none"/>
        </w:rPr>
        <w:br/>
        <w:t>CLI = 0.098 + 0.080 + 0.1125</w:t>
      </w:r>
      <w:r w:rsidRPr="00E76CF4">
        <w:rPr>
          <w:rFonts w:ascii="Times New Roman" w:eastAsia="Times New Roman" w:hAnsi="Times New Roman" w:cs="Times New Roman"/>
          <w:kern w:val="0"/>
          <w:lang w:eastAsia="es-MX"/>
          <w14:ligatures w14:val="none"/>
        </w:rPr>
        <w:br/>
      </w:r>
      <w:r w:rsidRPr="00E76CF4">
        <w:rPr>
          <w:rFonts w:ascii="Times New Roman" w:eastAsia="Times New Roman" w:hAnsi="Times New Roman" w:cs="Times New Roman"/>
          <w:b/>
          <w:bCs/>
          <w:kern w:val="0"/>
          <w:lang w:eastAsia="es-MX"/>
          <w14:ligatures w14:val="none"/>
        </w:rPr>
        <w:t>CLI = 0.2905 ≈ 0.29</w:t>
      </w:r>
    </w:p>
    <w:p w14:paraId="1586DB4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Adjusted calculation:</w:t>
      </w:r>
    </w:p>
    <w:p w14:paraId="719758D5" w14:textId="77777777" w:rsidR="00E76CF4" w:rsidRPr="00E76CF4" w:rsidRDefault="00E76CF4" w:rsidP="00E76CF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CE: 0.28 (dual supermajority + referendum; legitimacy reduces rigidity)</w:t>
      </w:r>
    </w:p>
    <w:p w14:paraId="5637D0FF" w14:textId="77777777" w:rsidR="00E76CF4" w:rsidRPr="00E76CF4" w:rsidRDefault="00E76CF4" w:rsidP="00E76CF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UA: 0.20 (delays exist but elections held; no expired foundational provision)</w:t>
      </w:r>
    </w:p>
    <w:p w14:paraId="3659BCF3" w14:textId="77777777" w:rsidR="00E76CF4" w:rsidRPr="00E76CF4" w:rsidRDefault="00E76CF4" w:rsidP="00E76CF4">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JPI: 0.45 (operational Supreme Court, mobile courts, legal aid)</w:t>
      </w:r>
    </w:p>
    <w:p w14:paraId="2BB288DA"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Final CLI = 0.54</w:t>
      </w:r>
      <w:r w:rsidRPr="00E76CF4">
        <w:rPr>
          <w:rFonts w:ascii="Times New Roman" w:eastAsia="Times New Roman" w:hAnsi="Times New Roman" w:cs="Times New Roman"/>
          <w:kern w:val="0"/>
          <w:lang w:eastAsia="es-MX"/>
          <w14:ligatures w14:val="none"/>
        </w:rPr>
        <w:t xml:space="preserve"> (Moderate flexibility)</w:t>
      </w:r>
    </w:p>
    <w:p w14:paraId="7B38CD1D"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lastRenderedPageBreak/>
        <w:pict w14:anchorId="216791A1">
          <v:rect id="_x0000_i1028" alt="" style="width:441.9pt;height:.05pt;mso-width-percent:0;mso-height-percent:0;mso-width-percent:0;mso-height-percent:0" o:hralign="center" o:hrstd="t" o:hr="t" fillcolor="#a0a0a0" stroked="f"/>
        </w:pict>
      </w:r>
    </w:p>
    <w:p w14:paraId="4D21BB09" w14:textId="77777777" w:rsidR="00E76CF4" w:rsidRPr="00E76CF4" w:rsidRDefault="00E76CF4" w:rsidP="00E76CF4">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E76CF4">
        <w:rPr>
          <w:rFonts w:ascii="Times New Roman" w:eastAsia="Times New Roman" w:hAnsi="Times New Roman" w:cs="Times New Roman"/>
          <w:b/>
          <w:bCs/>
          <w:kern w:val="0"/>
          <w:sz w:val="36"/>
          <w:szCs w:val="36"/>
          <w:lang w:val="en-US" w:eastAsia="es-MX"/>
          <w14:ligatures w14:val="none"/>
        </w:rPr>
        <w:t>A.4 Validation Against EPT Predictions</w:t>
      </w:r>
    </w:p>
    <w:p w14:paraId="22111885"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b/>
          <w:bCs/>
          <w:kern w:val="0"/>
          <w:lang w:val="en-US" w:eastAsia="es-MX"/>
          <w14:ligatures w14:val="none"/>
        </w:rPr>
        <w:t>EPT Hypothesis 1</w:t>
      </w:r>
      <w:r w:rsidRPr="00E76CF4">
        <w:rPr>
          <w:rFonts w:ascii="Times New Roman" w:eastAsia="Times New Roman" w:hAnsi="Times New Roman" w:cs="Times New Roman"/>
          <w:kern w:val="0"/>
          <w:lang w:val="en-US" w:eastAsia="es-MX"/>
          <w14:ligatures w14:val="none"/>
        </w:rPr>
        <w:t>: CLI &lt; 0.60 → Institutional adaptability → Better governance outcomes</w:t>
      </w:r>
    </w:p>
    <w:p w14:paraId="04E66E67"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Somaliland CLI 0.54</w:t>
      </w:r>
      <w:r w:rsidRPr="00E76CF4">
        <w:rPr>
          <w:rFonts w:ascii="Times New Roman" w:eastAsia="Times New Roman" w:hAnsi="Times New Roman" w:cs="Times New Roman"/>
          <w:kern w:val="0"/>
          <w:lang w:eastAsia="es-MX"/>
          <w14:ligatures w14:val="none"/>
        </w:rPr>
        <w:t xml:space="preserve">: </w:t>
      </w: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SUPPORTED</w:t>
      </w:r>
    </w:p>
    <w:p w14:paraId="17260EDB" w14:textId="77777777" w:rsidR="00E76CF4" w:rsidRPr="00E76CF4" w:rsidRDefault="00E76CF4" w:rsidP="00E76CF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43.7/100 (Partly Free)</w:t>
      </w:r>
    </w:p>
    <w:p w14:paraId="2A14AC32" w14:textId="77777777" w:rsidR="00E76CF4" w:rsidRPr="00E76CF4" w:rsidRDefault="00E76CF4" w:rsidP="00E76CF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~40 deaths/year (2015–2024)</w:t>
      </w:r>
    </w:p>
    <w:p w14:paraId="761EBC53" w14:textId="77777777" w:rsidR="00E76CF4" w:rsidRPr="00E76CF4" w:rsidRDefault="00E76CF4" w:rsidP="00E76CF4">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Direct elections with peaceful opposition victories (2021, 2024)</w:t>
      </w:r>
    </w:p>
    <w:p w14:paraId="142BA4E8"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EPT Hypothesis 2</w:t>
      </w:r>
      <w:r w:rsidRPr="00E76CF4">
        <w:rPr>
          <w:rFonts w:ascii="Times New Roman" w:eastAsia="Times New Roman" w:hAnsi="Times New Roman" w:cs="Times New Roman"/>
          <w:kern w:val="0"/>
          <w:lang w:eastAsia="es-MX"/>
          <w14:ligatures w14:val="none"/>
        </w:rPr>
        <w:t>: CLI &gt; 0.65 → Institutional rigidity → Worse governance outcomes</w:t>
      </w:r>
    </w:p>
    <w:p w14:paraId="69620935"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Somalia Federal CLI 0.76</w:t>
      </w:r>
      <w:r w:rsidRPr="00E76CF4">
        <w:rPr>
          <w:rFonts w:ascii="Times New Roman" w:eastAsia="Times New Roman" w:hAnsi="Times New Roman" w:cs="Times New Roman"/>
          <w:kern w:val="0"/>
          <w:lang w:eastAsia="es-MX"/>
          <w14:ligatures w14:val="none"/>
        </w:rPr>
        <w:t xml:space="preserve">: </w:t>
      </w: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SUPPORTED</w:t>
      </w:r>
    </w:p>
    <w:p w14:paraId="7108278B" w14:textId="77777777" w:rsidR="00E76CF4" w:rsidRPr="00E76CF4" w:rsidRDefault="00E76CF4" w:rsidP="00E76CF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8/100 (Not Free)</w:t>
      </w:r>
    </w:p>
    <w:p w14:paraId="60E1F1E9" w14:textId="77777777" w:rsidR="00E76CF4" w:rsidRPr="00E76CF4" w:rsidRDefault="00E76CF4" w:rsidP="00E76CF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~3,116 deaths/year (2015–2024)</w:t>
      </w:r>
    </w:p>
    <w:p w14:paraId="570A5F92" w14:textId="77777777" w:rsidR="00E76CF4" w:rsidRPr="00E76CF4" w:rsidRDefault="00E76CF4" w:rsidP="00E76CF4">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 direct elections since 1969</w:t>
      </w:r>
    </w:p>
    <w:p w14:paraId="44013B68"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768B9B7E">
          <v:rect id="_x0000_i1027" alt="" style="width:441.9pt;height:.05pt;mso-width-percent:0;mso-height-percent:0;mso-width-percent:0;mso-height-percent:0" o:hralign="center" o:hrstd="t" o:hr="t" fillcolor="#a0a0a0" stroked="f"/>
        </w:pict>
      </w:r>
    </w:p>
    <w:p w14:paraId="7E50D6AD" w14:textId="77777777" w:rsidR="00E76CF4" w:rsidRPr="00E76CF4" w:rsidRDefault="00E76CF4" w:rsidP="00E76CF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E76CF4">
        <w:rPr>
          <w:rFonts w:ascii="Times New Roman" w:eastAsia="Times New Roman" w:hAnsi="Times New Roman" w:cs="Times New Roman"/>
          <w:b/>
          <w:bCs/>
          <w:kern w:val="36"/>
          <w:sz w:val="48"/>
          <w:szCs w:val="48"/>
          <w:lang w:eastAsia="es-MX"/>
          <w14:ligatures w14:val="none"/>
        </w:rPr>
        <w:t>APPENDIX B: CONSTITUTIONAL EVENTS TIMELINE</w:t>
      </w:r>
    </w:p>
    <w:p w14:paraId="7E489923" w14:textId="77777777" w:rsidR="00E76CF4" w:rsidRPr="00E76CF4" w:rsidRDefault="00E76CF4" w:rsidP="00E76CF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76CF4">
        <w:rPr>
          <w:rFonts w:ascii="Times New Roman" w:eastAsia="Times New Roman" w:hAnsi="Times New Roman" w:cs="Times New Roman"/>
          <w:b/>
          <w:bCs/>
          <w:kern w:val="0"/>
          <w:sz w:val="36"/>
          <w:szCs w:val="36"/>
          <w:lang w:eastAsia="es-MX"/>
          <w14:ligatures w14:val="none"/>
        </w:rPr>
        <w:t>B.1 Somalia Federal Constitutional Events (2000–2025)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525"/>
        <w:gridCol w:w="2202"/>
        <w:gridCol w:w="1366"/>
      </w:tblGrid>
      <w:tr w:rsidR="00E76CF4" w:rsidRPr="00E76CF4" w14:paraId="1FE9B59B" w14:textId="77777777">
        <w:trPr>
          <w:tblHeader/>
          <w:tblCellSpacing w:w="15" w:type="dxa"/>
        </w:trPr>
        <w:tc>
          <w:tcPr>
            <w:tcW w:w="0" w:type="auto"/>
            <w:vAlign w:val="center"/>
            <w:hideMark/>
          </w:tcPr>
          <w:p w14:paraId="4227E24E"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Date</w:t>
            </w:r>
          </w:p>
        </w:tc>
        <w:tc>
          <w:tcPr>
            <w:tcW w:w="0" w:type="auto"/>
            <w:vAlign w:val="center"/>
            <w:hideMark/>
          </w:tcPr>
          <w:p w14:paraId="0F21974A"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Event</w:t>
            </w:r>
          </w:p>
        </w:tc>
        <w:tc>
          <w:tcPr>
            <w:tcW w:w="0" w:type="auto"/>
            <w:vAlign w:val="center"/>
            <w:hideMark/>
          </w:tcPr>
          <w:p w14:paraId="16B5BA44"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Source</w:t>
            </w:r>
          </w:p>
        </w:tc>
        <w:tc>
          <w:tcPr>
            <w:tcW w:w="0" w:type="auto"/>
            <w:vAlign w:val="center"/>
            <w:hideMark/>
          </w:tcPr>
          <w:p w14:paraId="54B78803"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Verification</w:t>
            </w:r>
          </w:p>
        </w:tc>
      </w:tr>
      <w:tr w:rsidR="00E76CF4" w:rsidRPr="00E76CF4" w14:paraId="7CF67771" w14:textId="77777777">
        <w:trPr>
          <w:tblCellSpacing w:w="15" w:type="dxa"/>
        </w:trPr>
        <w:tc>
          <w:tcPr>
            <w:tcW w:w="0" w:type="auto"/>
            <w:vAlign w:val="center"/>
            <w:hideMark/>
          </w:tcPr>
          <w:p w14:paraId="63E8BEF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May 2, 2000</w:t>
            </w:r>
          </w:p>
        </w:tc>
        <w:tc>
          <w:tcPr>
            <w:tcW w:w="0" w:type="auto"/>
            <w:vAlign w:val="center"/>
            <w:hideMark/>
          </w:tcPr>
          <w:p w14:paraId="72F30AC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Arta Conference (Djibouti): 4.5 clan formula institutionalized</w:t>
            </w:r>
          </w:p>
        </w:tc>
        <w:tc>
          <w:tcPr>
            <w:tcW w:w="0" w:type="auto"/>
            <w:vAlign w:val="center"/>
            <w:hideMark/>
          </w:tcPr>
          <w:p w14:paraId="70F08612"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UN Djibouti, ISS</w:t>
            </w:r>
          </w:p>
        </w:tc>
        <w:tc>
          <w:tcPr>
            <w:tcW w:w="0" w:type="auto"/>
            <w:vAlign w:val="center"/>
            <w:hideMark/>
          </w:tcPr>
          <w:p w14:paraId="56545966"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7DD58E91" w14:textId="77777777">
        <w:trPr>
          <w:tblCellSpacing w:w="15" w:type="dxa"/>
        </w:trPr>
        <w:tc>
          <w:tcPr>
            <w:tcW w:w="0" w:type="auto"/>
            <w:vAlign w:val="center"/>
            <w:hideMark/>
          </w:tcPr>
          <w:p w14:paraId="16511EA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August 22, 2004</w:t>
            </w:r>
          </w:p>
        </w:tc>
        <w:tc>
          <w:tcPr>
            <w:tcW w:w="0" w:type="auto"/>
            <w:vAlign w:val="center"/>
            <w:hideMark/>
          </w:tcPr>
          <w:p w14:paraId="41114555"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Transitional Federal Charter adopted</w:t>
            </w:r>
          </w:p>
        </w:tc>
        <w:tc>
          <w:tcPr>
            <w:tcW w:w="0" w:type="auto"/>
            <w:vAlign w:val="center"/>
            <w:hideMark/>
          </w:tcPr>
          <w:p w14:paraId="4E9D99D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UN, Somalia Federal Government</w:t>
            </w:r>
          </w:p>
        </w:tc>
        <w:tc>
          <w:tcPr>
            <w:tcW w:w="0" w:type="auto"/>
            <w:vAlign w:val="center"/>
            <w:hideMark/>
          </w:tcPr>
          <w:p w14:paraId="0F244772"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0C9910EF" w14:textId="77777777">
        <w:trPr>
          <w:tblCellSpacing w:w="15" w:type="dxa"/>
        </w:trPr>
        <w:tc>
          <w:tcPr>
            <w:tcW w:w="0" w:type="auto"/>
            <w:vAlign w:val="center"/>
            <w:hideMark/>
          </w:tcPr>
          <w:p w14:paraId="04CB4CB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August 1, 2012</w:t>
            </w:r>
          </w:p>
        </w:tc>
        <w:tc>
          <w:tcPr>
            <w:tcW w:w="0" w:type="auto"/>
            <w:vAlign w:val="center"/>
            <w:hideMark/>
          </w:tcPr>
          <w:p w14:paraId="0649A0B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Provisional Constitution adopted (96% of 645 delegates)</w:t>
            </w:r>
          </w:p>
        </w:tc>
        <w:tc>
          <w:tcPr>
            <w:tcW w:w="0" w:type="auto"/>
            <w:vAlign w:val="center"/>
            <w:hideMark/>
          </w:tcPr>
          <w:p w14:paraId="51A7E08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UN News, ReliefWeb, US State Dept</w:t>
            </w:r>
          </w:p>
        </w:tc>
        <w:tc>
          <w:tcPr>
            <w:tcW w:w="0" w:type="auto"/>
            <w:vAlign w:val="center"/>
            <w:hideMark/>
          </w:tcPr>
          <w:p w14:paraId="305D768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391DACB7" w14:textId="77777777">
        <w:trPr>
          <w:tblCellSpacing w:w="15" w:type="dxa"/>
        </w:trPr>
        <w:tc>
          <w:tcPr>
            <w:tcW w:w="0" w:type="auto"/>
            <w:vAlign w:val="center"/>
            <w:hideMark/>
          </w:tcPr>
          <w:p w14:paraId="672B45E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April 12, 2021</w:t>
            </w:r>
          </w:p>
        </w:tc>
        <w:tc>
          <w:tcPr>
            <w:tcW w:w="0" w:type="auto"/>
            <w:vAlign w:val="center"/>
            <w:hideMark/>
          </w:tcPr>
          <w:p w14:paraId="0225F87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Lower House votes for Farmajo 2-year term extension</w:t>
            </w:r>
          </w:p>
        </w:tc>
        <w:tc>
          <w:tcPr>
            <w:tcW w:w="0" w:type="auto"/>
            <w:vAlign w:val="center"/>
            <w:hideMark/>
          </w:tcPr>
          <w:p w14:paraId="05BA2B5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VOA, Al Jazeera, NYT</w:t>
            </w:r>
          </w:p>
        </w:tc>
        <w:tc>
          <w:tcPr>
            <w:tcW w:w="0" w:type="auto"/>
            <w:vAlign w:val="center"/>
            <w:hideMark/>
          </w:tcPr>
          <w:p w14:paraId="521CE22D"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4E678AB5" w14:textId="77777777">
        <w:trPr>
          <w:tblCellSpacing w:w="15" w:type="dxa"/>
        </w:trPr>
        <w:tc>
          <w:tcPr>
            <w:tcW w:w="0" w:type="auto"/>
            <w:vAlign w:val="center"/>
            <w:hideMark/>
          </w:tcPr>
          <w:p w14:paraId="4277A88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April 14, 2021</w:t>
            </w:r>
          </w:p>
        </w:tc>
        <w:tc>
          <w:tcPr>
            <w:tcW w:w="0" w:type="auto"/>
            <w:vAlign w:val="center"/>
            <w:hideMark/>
          </w:tcPr>
          <w:p w14:paraId="0389C1F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President Farmajo signs 2-year extension law</w:t>
            </w:r>
          </w:p>
        </w:tc>
        <w:tc>
          <w:tcPr>
            <w:tcW w:w="0" w:type="auto"/>
            <w:vAlign w:val="center"/>
            <w:hideMark/>
          </w:tcPr>
          <w:p w14:paraId="56E25ED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France 24, NYT</w:t>
            </w:r>
          </w:p>
        </w:tc>
        <w:tc>
          <w:tcPr>
            <w:tcW w:w="0" w:type="auto"/>
            <w:vAlign w:val="center"/>
            <w:hideMark/>
          </w:tcPr>
          <w:p w14:paraId="455E5173"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55EA8D10" w14:textId="77777777">
        <w:trPr>
          <w:tblCellSpacing w:w="15" w:type="dxa"/>
        </w:trPr>
        <w:tc>
          <w:tcPr>
            <w:tcW w:w="0" w:type="auto"/>
            <w:vAlign w:val="center"/>
            <w:hideMark/>
          </w:tcPr>
          <w:p w14:paraId="75412B1A"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April 25–28, 2021</w:t>
            </w:r>
          </w:p>
        </w:tc>
        <w:tc>
          <w:tcPr>
            <w:tcW w:w="0" w:type="auto"/>
            <w:vAlign w:val="center"/>
            <w:hideMark/>
          </w:tcPr>
          <w:p w14:paraId="601F6D1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Street violence erupts in Mogadishu over term extension</w:t>
            </w:r>
          </w:p>
        </w:tc>
        <w:tc>
          <w:tcPr>
            <w:tcW w:w="0" w:type="auto"/>
            <w:vAlign w:val="center"/>
            <w:hideMark/>
          </w:tcPr>
          <w:p w14:paraId="30AA0EA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VOA, Reuters</w:t>
            </w:r>
          </w:p>
        </w:tc>
        <w:tc>
          <w:tcPr>
            <w:tcW w:w="0" w:type="auto"/>
            <w:vAlign w:val="center"/>
            <w:hideMark/>
          </w:tcPr>
          <w:p w14:paraId="07013F6A"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1A9D113B" w14:textId="77777777">
        <w:trPr>
          <w:tblCellSpacing w:w="15" w:type="dxa"/>
        </w:trPr>
        <w:tc>
          <w:tcPr>
            <w:tcW w:w="0" w:type="auto"/>
            <w:vAlign w:val="center"/>
            <w:hideMark/>
          </w:tcPr>
          <w:p w14:paraId="22328A9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lastRenderedPageBreak/>
              <w:t>May 1, 2021</w:t>
            </w:r>
          </w:p>
        </w:tc>
        <w:tc>
          <w:tcPr>
            <w:tcW w:w="0" w:type="auto"/>
            <w:vAlign w:val="center"/>
            <w:hideMark/>
          </w:tcPr>
          <w:p w14:paraId="07FA716F"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Parliament revokes Farmajo's 2-year extension</w:t>
            </w:r>
          </w:p>
        </w:tc>
        <w:tc>
          <w:tcPr>
            <w:tcW w:w="0" w:type="auto"/>
            <w:vAlign w:val="center"/>
            <w:hideMark/>
          </w:tcPr>
          <w:p w14:paraId="2DDE6EDD"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Hiiraan Online, Daily Sabah</w:t>
            </w:r>
          </w:p>
        </w:tc>
        <w:tc>
          <w:tcPr>
            <w:tcW w:w="0" w:type="auto"/>
            <w:vAlign w:val="center"/>
            <w:hideMark/>
          </w:tcPr>
          <w:p w14:paraId="494FEF53"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PARTIAL</w:t>
            </w:r>
          </w:p>
        </w:tc>
      </w:tr>
      <w:tr w:rsidR="00E76CF4" w:rsidRPr="00E76CF4" w14:paraId="2E074BD8" w14:textId="77777777">
        <w:trPr>
          <w:tblCellSpacing w:w="15" w:type="dxa"/>
        </w:trPr>
        <w:tc>
          <w:tcPr>
            <w:tcW w:w="0" w:type="auto"/>
            <w:vAlign w:val="center"/>
            <w:hideMark/>
          </w:tcPr>
          <w:p w14:paraId="16AAC24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August–November 2021</w:t>
            </w:r>
          </w:p>
        </w:tc>
        <w:tc>
          <w:tcPr>
            <w:tcW w:w="0" w:type="auto"/>
            <w:vAlign w:val="center"/>
            <w:hideMark/>
          </w:tcPr>
          <w:p w14:paraId="2FEAE57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Upper House indirect elections held (clan delegates)</w:t>
            </w:r>
          </w:p>
        </w:tc>
        <w:tc>
          <w:tcPr>
            <w:tcW w:w="0" w:type="auto"/>
            <w:vAlign w:val="center"/>
            <w:hideMark/>
          </w:tcPr>
          <w:p w14:paraId="61720CBA"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Reuters</w:t>
            </w:r>
          </w:p>
        </w:tc>
        <w:tc>
          <w:tcPr>
            <w:tcW w:w="0" w:type="auto"/>
            <w:vAlign w:val="center"/>
            <w:hideMark/>
          </w:tcPr>
          <w:p w14:paraId="6F5F172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2E8C8A6C" w14:textId="77777777">
        <w:trPr>
          <w:tblCellSpacing w:w="15" w:type="dxa"/>
        </w:trPr>
        <w:tc>
          <w:tcPr>
            <w:tcW w:w="0" w:type="auto"/>
            <w:vAlign w:val="center"/>
            <w:hideMark/>
          </w:tcPr>
          <w:p w14:paraId="68F564E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November 2021–April 2022</w:t>
            </w:r>
          </w:p>
        </w:tc>
        <w:tc>
          <w:tcPr>
            <w:tcW w:w="0" w:type="auto"/>
            <w:vAlign w:val="center"/>
            <w:hideMark/>
          </w:tcPr>
          <w:p w14:paraId="292BC33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Lower House indirect elections (highly contentious)</w:t>
            </w:r>
          </w:p>
        </w:tc>
        <w:tc>
          <w:tcPr>
            <w:tcW w:w="0" w:type="auto"/>
            <w:vAlign w:val="center"/>
            <w:hideMark/>
          </w:tcPr>
          <w:p w14:paraId="0EEBCBCD"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Al Jazeera</w:t>
            </w:r>
          </w:p>
        </w:tc>
        <w:tc>
          <w:tcPr>
            <w:tcW w:w="0" w:type="auto"/>
            <w:vAlign w:val="center"/>
            <w:hideMark/>
          </w:tcPr>
          <w:p w14:paraId="06F6364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6A3F014C" w14:textId="77777777">
        <w:trPr>
          <w:tblCellSpacing w:w="15" w:type="dxa"/>
        </w:trPr>
        <w:tc>
          <w:tcPr>
            <w:tcW w:w="0" w:type="auto"/>
            <w:vAlign w:val="center"/>
            <w:hideMark/>
          </w:tcPr>
          <w:p w14:paraId="60A7222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May 15, 2022</w:t>
            </w:r>
          </w:p>
        </w:tc>
        <w:tc>
          <w:tcPr>
            <w:tcW w:w="0" w:type="auto"/>
            <w:vAlign w:val="center"/>
            <w:hideMark/>
          </w:tcPr>
          <w:p w14:paraId="06D638F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Hassan Sheikh Mohamud elected president (indirect, third round)</w:t>
            </w:r>
          </w:p>
        </w:tc>
        <w:tc>
          <w:tcPr>
            <w:tcW w:w="0" w:type="auto"/>
            <w:vAlign w:val="center"/>
            <w:hideMark/>
          </w:tcPr>
          <w:p w14:paraId="63542CCD"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Reuters, BBC</w:t>
            </w:r>
          </w:p>
        </w:tc>
        <w:tc>
          <w:tcPr>
            <w:tcW w:w="0" w:type="auto"/>
            <w:vAlign w:val="center"/>
            <w:hideMark/>
          </w:tcPr>
          <w:p w14:paraId="2F47A2D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59369861" w14:textId="77777777">
        <w:trPr>
          <w:tblCellSpacing w:w="15" w:type="dxa"/>
        </w:trPr>
        <w:tc>
          <w:tcPr>
            <w:tcW w:w="0" w:type="auto"/>
            <w:vAlign w:val="center"/>
            <w:hideMark/>
          </w:tcPr>
          <w:p w14:paraId="0E21AFB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March 30, 2024</w:t>
            </w:r>
          </w:p>
        </w:tc>
        <w:tc>
          <w:tcPr>
            <w:tcW w:w="0" w:type="auto"/>
            <w:vAlign w:val="center"/>
            <w:hideMark/>
          </w:tcPr>
          <w:p w14:paraId="3D5F5AB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Parliament approves constitutional amendments (first four chapters)</w:t>
            </w:r>
          </w:p>
        </w:tc>
        <w:tc>
          <w:tcPr>
            <w:tcW w:w="0" w:type="auto"/>
            <w:vAlign w:val="center"/>
            <w:hideMark/>
          </w:tcPr>
          <w:p w14:paraId="0E28311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Wikipedia, International IDEA</w:t>
            </w:r>
          </w:p>
        </w:tc>
        <w:tc>
          <w:tcPr>
            <w:tcW w:w="0" w:type="auto"/>
            <w:vAlign w:val="center"/>
            <w:hideMark/>
          </w:tcPr>
          <w:p w14:paraId="36F1116F"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6442DDD8" w14:textId="77777777">
        <w:trPr>
          <w:tblCellSpacing w:w="15" w:type="dxa"/>
        </w:trPr>
        <w:tc>
          <w:tcPr>
            <w:tcW w:w="0" w:type="auto"/>
            <w:vAlign w:val="center"/>
            <w:hideMark/>
          </w:tcPr>
          <w:p w14:paraId="1E809EE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November 12, 2025</w:t>
            </w:r>
          </w:p>
        </w:tc>
        <w:tc>
          <w:tcPr>
            <w:tcW w:w="0" w:type="auto"/>
            <w:vAlign w:val="center"/>
            <w:hideMark/>
          </w:tcPr>
          <w:p w14:paraId="475CB95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Constitution remains provisional (13 years); no referendum held</w:t>
            </w:r>
          </w:p>
        </w:tc>
        <w:tc>
          <w:tcPr>
            <w:tcW w:w="0" w:type="auto"/>
            <w:vAlign w:val="center"/>
            <w:hideMark/>
          </w:tcPr>
          <w:p w14:paraId="4B3F2C0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SONNA, Wikipedia</w:t>
            </w:r>
          </w:p>
        </w:tc>
        <w:tc>
          <w:tcPr>
            <w:tcW w:w="0" w:type="auto"/>
            <w:vAlign w:val="center"/>
            <w:hideMark/>
          </w:tcPr>
          <w:p w14:paraId="5187DD55"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bl>
    <w:p w14:paraId="74458ABF"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Overall Verification Rate</w:t>
      </w:r>
      <w:r w:rsidRPr="00E76CF4">
        <w:rPr>
          <w:rFonts w:ascii="Times New Roman" w:eastAsia="Times New Roman" w:hAnsi="Times New Roman" w:cs="Times New Roman"/>
          <w:kern w:val="0"/>
          <w:lang w:eastAsia="es-MX"/>
          <w14:ligatures w14:val="none"/>
        </w:rPr>
        <w:t>: 11/12 events (91.7%)</w:t>
      </w:r>
    </w:p>
    <w:p w14:paraId="2AE8B514"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42333532">
          <v:rect id="_x0000_i1026" alt="" style="width:441.9pt;height:.05pt;mso-width-percent:0;mso-height-percent:0;mso-width-percent:0;mso-height-percent:0" o:hralign="center" o:hrstd="t" o:hr="t" fillcolor="#a0a0a0" stroked="f"/>
        </w:pict>
      </w:r>
    </w:p>
    <w:p w14:paraId="3C778520" w14:textId="77777777" w:rsidR="00E76CF4" w:rsidRPr="00E76CF4" w:rsidRDefault="00E76CF4" w:rsidP="00E76CF4">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E76CF4">
        <w:rPr>
          <w:rFonts w:ascii="Times New Roman" w:eastAsia="Times New Roman" w:hAnsi="Times New Roman" w:cs="Times New Roman"/>
          <w:b/>
          <w:bCs/>
          <w:kern w:val="0"/>
          <w:sz w:val="36"/>
          <w:szCs w:val="36"/>
          <w:lang w:eastAsia="es-MX"/>
          <w14:ligatures w14:val="none"/>
        </w:rPr>
        <w:t>B.2 Somaliland Constitutional Events (1991–2025)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3973"/>
        <w:gridCol w:w="2084"/>
        <w:gridCol w:w="1357"/>
      </w:tblGrid>
      <w:tr w:rsidR="00E76CF4" w:rsidRPr="00E76CF4" w14:paraId="16C251B4" w14:textId="77777777">
        <w:trPr>
          <w:tblHeader/>
          <w:tblCellSpacing w:w="15" w:type="dxa"/>
        </w:trPr>
        <w:tc>
          <w:tcPr>
            <w:tcW w:w="0" w:type="auto"/>
            <w:vAlign w:val="center"/>
            <w:hideMark/>
          </w:tcPr>
          <w:p w14:paraId="503AF3B1"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Date</w:t>
            </w:r>
          </w:p>
        </w:tc>
        <w:tc>
          <w:tcPr>
            <w:tcW w:w="0" w:type="auto"/>
            <w:vAlign w:val="center"/>
            <w:hideMark/>
          </w:tcPr>
          <w:p w14:paraId="00A3A9B1"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Event</w:t>
            </w:r>
          </w:p>
        </w:tc>
        <w:tc>
          <w:tcPr>
            <w:tcW w:w="0" w:type="auto"/>
            <w:vAlign w:val="center"/>
            <w:hideMark/>
          </w:tcPr>
          <w:p w14:paraId="21B19D5B"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Source</w:t>
            </w:r>
          </w:p>
        </w:tc>
        <w:tc>
          <w:tcPr>
            <w:tcW w:w="0" w:type="auto"/>
            <w:vAlign w:val="center"/>
            <w:hideMark/>
          </w:tcPr>
          <w:p w14:paraId="35EE6C6D" w14:textId="77777777" w:rsidR="00E76CF4" w:rsidRPr="00E76CF4" w:rsidRDefault="00E76CF4" w:rsidP="00E76CF4">
            <w:pPr>
              <w:spacing w:after="0" w:line="240" w:lineRule="auto"/>
              <w:jc w:val="center"/>
              <w:rPr>
                <w:rFonts w:ascii="Times New Roman" w:eastAsia="Times New Roman" w:hAnsi="Times New Roman" w:cs="Times New Roman"/>
                <w:b/>
                <w:bCs/>
                <w:kern w:val="0"/>
                <w:lang w:eastAsia="es-MX"/>
                <w14:ligatures w14:val="none"/>
              </w:rPr>
            </w:pPr>
            <w:r w:rsidRPr="00E76CF4">
              <w:rPr>
                <w:rFonts w:ascii="Times New Roman" w:eastAsia="Times New Roman" w:hAnsi="Times New Roman" w:cs="Times New Roman"/>
                <w:b/>
                <w:bCs/>
                <w:kern w:val="0"/>
                <w:lang w:eastAsia="es-MX"/>
                <w14:ligatures w14:val="none"/>
              </w:rPr>
              <w:t>Verification</w:t>
            </w:r>
          </w:p>
        </w:tc>
      </w:tr>
      <w:tr w:rsidR="00E76CF4" w:rsidRPr="00E76CF4" w14:paraId="0A795105" w14:textId="77777777">
        <w:trPr>
          <w:tblCellSpacing w:w="15" w:type="dxa"/>
        </w:trPr>
        <w:tc>
          <w:tcPr>
            <w:tcW w:w="0" w:type="auto"/>
            <w:vAlign w:val="center"/>
            <w:hideMark/>
          </w:tcPr>
          <w:p w14:paraId="37C515D2"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May 18, 1991</w:t>
            </w:r>
          </w:p>
        </w:tc>
        <w:tc>
          <w:tcPr>
            <w:tcW w:w="0" w:type="auto"/>
            <w:vAlign w:val="center"/>
            <w:hideMark/>
          </w:tcPr>
          <w:p w14:paraId="1EE2F24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Somaliland declares independence from Somalia</w:t>
            </w:r>
          </w:p>
        </w:tc>
        <w:tc>
          <w:tcPr>
            <w:tcW w:w="0" w:type="auto"/>
            <w:vAlign w:val="center"/>
            <w:hideMark/>
          </w:tcPr>
          <w:p w14:paraId="03766C16"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Lewis (2002), Bradbury (2008)</w:t>
            </w:r>
          </w:p>
        </w:tc>
        <w:tc>
          <w:tcPr>
            <w:tcW w:w="0" w:type="auto"/>
            <w:vAlign w:val="center"/>
            <w:hideMark/>
          </w:tcPr>
          <w:p w14:paraId="711D41FC"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58057BC5" w14:textId="77777777">
        <w:trPr>
          <w:tblCellSpacing w:w="15" w:type="dxa"/>
        </w:trPr>
        <w:tc>
          <w:tcPr>
            <w:tcW w:w="0" w:type="auto"/>
            <w:vAlign w:val="center"/>
            <w:hideMark/>
          </w:tcPr>
          <w:p w14:paraId="6B25D2A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February–April 1993</w:t>
            </w:r>
          </w:p>
        </w:tc>
        <w:tc>
          <w:tcPr>
            <w:tcW w:w="0" w:type="auto"/>
            <w:vAlign w:val="center"/>
            <w:hideMark/>
          </w:tcPr>
          <w:p w14:paraId="250F4675"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Borama Grand Conference: Draft constitution, clan reconciliation</w:t>
            </w:r>
          </w:p>
        </w:tc>
        <w:tc>
          <w:tcPr>
            <w:tcW w:w="0" w:type="auto"/>
            <w:vAlign w:val="center"/>
            <w:hideMark/>
          </w:tcPr>
          <w:p w14:paraId="560EBEA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Bradbury (2008), ICG</w:t>
            </w:r>
          </w:p>
        </w:tc>
        <w:tc>
          <w:tcPr>
            <w:tcW w:w="0" w:type="auto"/>
            <w:vAlign w:val="center"/>
            <w:hideMark/>
          </w:tcPr>
          <w:p w14:paraId="0EB5302A"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0CFF02C7" w14:textId="77777777">
        <w:trPr>
          <w:tblCellSpacing w:w="15" w:type="dxa"/>
        </w:trPr>
        <w:tc>
          <w:tcPr>
            <w:tcW w:w="0" w:type="auto"/>
            <w:vAlign w:val="center"/>
            <w:hideMark/>
          </w:tcPr>
          <w:p w14:paraId="656A1D7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1996–1997</w:t>
            </w:r>
          </w:p>
        </w:tc>
        <w:tc>
          <w:tcPr>
            <w:tcW w:w="0" w:type="auto"/>
            <w:vAlign w:val="center"/>
            <w:hideMark/>
          </w:tcPr>
          <w:p w14:paraId="32F94376"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Hargeisa constitutional conference: Finalized constitution text</w:t>
            </w:r>
          </w:p>
        </w:tc>
        <w:tc>
          <w:tcPr>
            <w:tcW w:w="0" w:type="auto"/>
            <w:vAlign w:val="center"/>
            <w:hideMark/>
          </w:tcPr>
          <w:p w14:paraId="1F9DC88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Bradbury (2008)</w:t>
            </w:r>
          </w:p>
        </w:tc>
        <w:tc>
          <w:tcPr>
            <w:tcW w:w="0" w:type="auto"/>
            <w:vAlign w:val="center"/>
            <w:hideMark/>
          </w:tcPr>
          <w:p w14:paraId="0323BC6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19658A6A" w14:textId="77777777">
        <w:trPr>
          <w:tblCellSpacing w:w="15" w:type="dxa"/>
        </w:trPr>
        <w:tc>
          <w:tcPr>
            <w:tcW w:w="0" w:type="auto"/>
            <w:vAlign w:val="center"/>
            <w:hideMark/>
          </w:tcPr>
          <w:p w14:paraId="2E1A337C"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May 31, 2001</w:t>
            </w:r>
          </w:p>
        </w:tc>
        <w:tc>
          <w:tcPr>
            <w:tcW w:w="0" w:type="auto"/>
            <w:vAlign w:val="center"/>
            <w:hideMark/>
          </w:tcPr>
          <w:p w14:paraId="3E35E67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Constitutional referendum: 97.1% yes, 99.9% turnout</w:t>
            </w:r>
          </w:p>
        </w:tc>
        <w:tc>
          <w:tcPr>
            <w:tcW w:w="0" w:type="auto"/>
            <w:vAlign w:val="center"/>
            <w:hideMark/>
          </w:tcPr>
          <w:p w14:paraId="34D655C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LA Times, New Humanitarian</w:t>
            </w:r>
          </w:p>
        </w:tc>
        <w:tc>
          <w:tcPr>
            <w:tcW w:w="0" w:type="auto"/>
            <w:vAlign w:val="center"/>
            <w:hideMark/>
          </w:tcPr>
          <w:p w14:paraId="1DA68C6A"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077CBECE" w14:textId="77777777">
        <w:trPr>
          <w:tblCellSpacing w:w="15" w:type="dxa"/>
        </w:trPr>
        <w:tc>
          <w:tcPr>
            <w:tcW w:w="0" w:type="auto"/>
            <w:vAlign w:val="center"/>
            <w:hideMark/>
          </w:tcPr>
          <w:p w14:paraId="677BB80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April 14, 2003</w:t>
            </w:r>
          </w:p>
        </w:tc>
        <w:tc>
          <w:tcPr>
            <w:tcW w:w="0" w:type="auto"/>
            <w:vAlign w:val="center"/>
            <w:hideMark/>
          </w:tcPr>
          <w:p w14:paraId="1050F01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Presidential election: Dahir Riyale wins by 80 votes over Ahmed Silanyo</w:t>
            </w:r>
          </w:p>
        </w:tc>
        <w:tc>
          <w:tcPr>
            <w:tcW w:w="0" w:type="auto"/>
            <w:vAlign w:val="center"/>
            <w:hideMark/>
          </w:tcPr>
          <w:p w14:paraId="0C1777A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BBC, Wikipedia</w:t>
            </w:r>
          </w:p>
        </w:tc>
        <w:tc>
          <w:tcPr>
            <w:tcW w:w="0" w:type="auto"/>
            <w:vAlign w:val="center"/>
            <w:hideMark/>
          </w:tcPr>
          <w:p w14:paraId="7B5503B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4F749733" w14:textId="77777777">
        <w:trPr>
          <w:tblCellSpacing w:w="15" w:type="dxa"/>
        </w:trPr>
        <w:tc>
          <w:tcPr>
            <w:tcW w:w="0" w:type="auto"/>
            <w:vAlign w:val="center"/>
            <w:hideMark/>
          </w:tcPr>
          <w:p w14:paraId="57B09C35"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2008</w:t>
            </w:r>
          </w:p>
        </w:tc>
        <w:tc>
          <w:tcPr>
            <w:tcW w:w="0" w:type="auto"/>
            <w:vAlign w:val="center"/>
            <w:hideMark/>
          </w:tcPr>
          <w:p w14:paraId="2D658003"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Riyale's term extended (originally expired 2008 → held 2010)</w:t>
            </w:r>
          </w:p>
        </w:tc>
        <w:tc>
          <w:tcPr>
            <w:tcW w:w="0" w:type="auto"/>
            <w:vAlign w:val="center"/>
            <w:hideMark/>
          </w:tcPr>
          <w:p w14:paraId="29ECB60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Reuters, Freedom House, ICG</w:t>
            </w:r>
          </w:p>
        </w:tc>
        <w:tc>
          <w:tcPr>
            <w:tcW w:w="0" w:type="auto"/>
            <w:vAlign w:val="center"/>
            <w:hideMark/>
          </w:tcPr>
          <w:p w14:paraId="790EFFB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407E93D4" w14:textId="77777777">
        <w:trPr>
          <w:tblCellSpacing w:w="15" w:type="dxa"/>
        </w:trPr>
        <w:tc>
          <w:tcPr>
            <w:tcW w:w="0" w:type="auto"/>
            <w:vAlign w:val="center"/>
            <w:hideMark/>
          </w:tcPr>
          <w:p w14:paraId="46D94E4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June 26, 2010</w:t>
            </w:r>
          </w:p>
        </w:tc>
        <w:tc>
          <w:tcPr>
            <w:tcW w:w="0" w:type="auto"/>
            <w:vAlign w:val="center"/>
            <w:hideMark/>
          </w:tcPr>
          <w:p w14:paraId="199CCFF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Presidential election: Ahmed Silanyo defeats Dahir Riyale</w:t>
            </w:r>
          </w:p>
        </w:tc>
        <w:tc>
          <w:tcPr>
            <w:tcW w:w="0" w:type="auto"/>
            <w:vAlign w:val="center"/>
            <w:hideMark/>
          </w:tcPr>
          <w:p w14:paraId="2FE2E5DD"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w:t>
            </w:r>
          </w:p>
        </w:tc>
        <w:tc>
          <w:tcPr>
            <w:tcW w:w="0" w:type="auto"/>
            <w:vAlign w:val="center"/>
            <w:hideMark/>
          </w:tcPr>
          <w:p w14:paraId="2E990C6E"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63C69136" w14:textId="77777777">
        <w:trPr>
          <w:tblCellSpacing w:w="15" w:type="dxa"/>
        </w:trPr>
        <w:tc>
          <w:tcPr>
            <w:tcW w:w="0" w:type="auto"/>
            <w:vAlign w:val="center"/>
            <w:hideMark/>
          </w:tcPr>
          <w:p w14:paraId="52FA0AE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May 2015</w:t>
            </w:r>
          </w:p>
        </w:tc>
        <w:tc>
          <w:tcPr>
            <w:tcW w:w="0" w:type="auto"/>
            <w:vAlign w:val="center"/>
            <w:hideMark/>
          </w:tcPr>
          <w:p w14:paraId="5D800B9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Guurti postpones presidential election from 2015 to April 2017</w:t>
            </w:r>
          </w:p>
        </w:tc>
        <w:tc>
          <w:tcPr>
            <w:tcW w:w="0" w:type="auto"/>
            <w:vAlign w:val="center"/>
            <w:hideMark/>
          </w:tcPr>
          <w:p w14:paraId="14488B80"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Africa Intelligence</w:t>
            </w:r>
          </w:p>
        </w:tc>
        <w:tc>
          <w:tcPr>
            <w:tcW w:w="0" w:type="auto"/>
            <w:vAlign w:val="center"/>
            <w:hideMark/>
          </w:tcPr>
          <w:p w14:paraId="3E1C6E7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6FDCBC76" w14:textId="77777777">
        <w:trPr>
          <w:tblCellSpacing w:w="15" w:type="dxa"/>
        </w:trPr>
        <w:tc>
          <w:tcPr>
            <w:tcW w:w="0" w:type="auto"/>
            <w:vAlign w:val="center"/>
            <w:hideMark/>
          </w:tcPr>
          <w:p w14:paraId="53BDB77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November 13, 2017</w:t>
            </w:r>
          </w:p>
        </w:tc>
        <w:tc>
          <w:tcPr>
            <w:tcW w:w="0" w:type="auto"/>
            <w:vAlign w:val="center"/>
            <w:hideMark/>
          </w:tcPr>
          <w:p w14:paraId="3034D4FB"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Presidential election: Muse Bihi Abdi (Kulmiye) defeats Irro</w:t>
            </w:r>
          </w:p>
        </w:tc>
        <w:tc>
          <w:tcPr>
            <w:tcW w:w="0" w:type="auto"/>
            <w:vAlign w:val="center"/>
            <w:hideMark/>
          </w:tcPr>
          <w:p w14:paraId="75DB7F3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w:t>
            </w:r>
          </w:p>
        </w:tc>
        <w:tc>
          <w:tcPr>
            <w:tcW w:w="0" w:type="auto"/>
            <w:vAlign w:val="center"/>
            <w:hideMark/>
          </w:tcPr>
          <w:p w14:paraId="00AC5F9D"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23B0AA1E" w14:textId="77777777">
        <w:trPr>
          <w:tblCellSpacing w:w="15" w:type="dxa"/>
        </w:trPr>
        <w:tc>
          <w:tcPr>
            <w:tcW w:w="0" w:type="auto"/>
            <w:vAlign w:val="center"/>
            <w:hideMark/>
          </w:tcPr>
          <w:p w14:paraId="0236DE14"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lastRenderedPageBreak/>
              <w:t>May 31, 2021</w:t>
            </w:r>
          </w:p>
        </w:tc>
        <w:tc>
          <w:tcPr>
            <w:tcW w:w="0" w:type="auto"/>
            <w:vAlign w:val="center"/>
            <w:hideMark/>
          </w:tcPr>
          <w:p w14:paraId="0DF250CD" w14:textId="77777777" w:rsidR="00E76CF4" w:rsidRPr="00E76CF4" w:rsidRDefault="00E76CF4" w:rsidP="00E76CF4">
            <w:pPr>
              <w:spacing w:after="0"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Parliamentary elections: Opposition coalition victory (Waddani 31 + UCID 21 vs Kulmiye 30)</w:t>
            </w:r>
          </w:p>
        </w:tc>
        <w:tc>
          <w:tcPr>
            <w:tcW w:w="0" w:type="auto"/>
            <w:vAlign w:val="center"/>
            <w:hideMark/>
          </w:tcPr>
          <w:p w14:paraId="24129068"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Freedom House, ICG</w:t>
            </w:r>
          </w:p>
        </w:tc>
        <w:tc>
          <w:tcPr>
            <w:tcW w:w="0" w:type="auto"/>
            <w:vAlign w:val="center"/>
            <w:hideMark/>
          </w:tcPr>
          <w:p w14:paraId="773ABEA5"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146F0423" w14:textId="77777777">
        <w:trPr>
          <w:tblCellSpacing w:w="15" w:type="dxa"/>
        </w:trPr>
        <w:tc>
          <w:tcPr>
            <w:tcW w:w="0" w:type="auto"/>
            <w:vAlign w:val="center"/>
            <w:hideMark/>
          </w:tcPr>
          <w:p w14:paraId="4B7B0336"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October 1, 2022</w:t>
            </w:r>
          </w:p>
        </w:tc>
        <w:tc>
          <w:tcPr>
            <w:tcW w:w="0" w:type="auto"/>
            <w:vAlign w:val="center"/>
            <w:hideMark/>
          </w:tcPr>
          <w:p w14:paraId="4936FEF1" w14:textId="77777777" w:rsidR="00E76CF4" w:rsidRPr="00E76CF4" w:rsidRDefault="00E76CF4" w:rsidP="00E76CF4">
            <w:pPr>
              <w:spacing w:after="0"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Parliament extends Bihi's term by 2 years (2022→2024)</w:t>
            </w:r>
          </w:p>
        </w:tc>
        <w:tc>
          <w:tcPr>
            <w:tcW w:w="0" w:type="auto"/>
            <w:vAlign w:val="center"/>
            <w:hideMark/>
          </w:tcPr>
          <w:p w14:paraId="5DDF3299"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Reuters, Wikipedia</w:t>
            </w:r>
          </w:p>
        </w:tc>
        <w:tc>
          <w:tcPr>
            <w:tcW w:w="0" w:type="auto"/>
            <w:vAlign w:val="center"/>
            <w:hideMark/>
          </w:tcPr>
          <w:p w14:paraId="56A5099F"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r w:rsidR="00E76CF4" w:rsidRPr="00E76CF4" w14:paraId="71D345FA" w14:textId="77777777">
        <w:trPr>
          <w:tblCellSpacing w:w="15" w:type="dxa"/>
        </w:trPr>
        <w:tc>
          <w:tcPr>
            <w:tcW w:w="0" w:type="auto"/>
            <w:vAlign w:val="center"/>
            <w:hideMark/>
          </w:tcPr>
          <w:p w14:paraId="01FE715C"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July 2023</w:t>
            </w:r>
          </w:p>
        </w:tc>
        <w:tc>
          <w:tcPr>
            <w:tcW w:w="0" w:type="auto"/>
            <w:vAlign w:val="center"/>
            <w:hideMark/>
          </w:tcPr>
          <w:p w14:paraId="194F8435" w14:textId="77777777" w:rsidR="00E76CF4" w:rsidRPr="00E76CF4" w:rsidRDefault="00E76CF4" w:rsidP="00E76CF4">
            <w:pPr>
              <w:spacing w:after="0"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Supreme Court affirms NEC authority to set election dates</w:t>
            </w:r>
          </w:p>
        </w:tc>
        <w:tc>
          <w:tcPr>
            <w:tcW w:w="0" w:type="auto"/>
            <w:vAlign w:val="center"/>
            <w:hideMark/>
          </w:tcPr>
          <w:p w14:paraId="1A8F980F"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Somaliland Standard</w:t>
            </w:r>
          </w:p>
        </w:tc>
        <w:tc>
          <w:tcPr>
            <w:tcW w:w="0" w:type="auto"/>
            <w:vAlign w:val="center"/>
            <w:hideMark/>
          </w:tcPr>
          <w:p w14:paraId="11C947C7"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PARTIAL</w:t>
            </w:r>
          </w:p>
        </w:tc>
      </w:tr>
      <w:tr w:rsidR="00E76CF4" w:rsidRPr="00E76CF4" w14:paraId="1EAEC4DC" w14:textId="77777777">
        <w:trPr>
          <w:tblCellSpacing w:w="15" w:type="dxa"/>
        </w:trPr>
        <w:tc>
          <w:tcPr>
            <w:tcW w:w="0" w:type="auto"/>
            <w:vAlign w:val="center"/>
            <w:hideMark/>
          </w:tcPr>
          <w:p w14:paraId="513079DC"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November 13, 2024</w:t>
            </w:r>
          </w:p>
        </w:tc>
        <w:tc>
          <w:tcPr>
            <w:tcW w:w="0" w:type="auto"/>
            <w:vAlign w:val="center"/>
            <w:hideMark/>
          </w:tcPr>
          <w:p w14:paraId="4BBFD84B" w14:textId="77777777" w:rsidR="00E76CF4" w:rsidRPr="00E76CF4" w:rsidRDefault="00E76CF4" w:rsidP="00E76CF4">
            <w:pPr>
              <w:spacing w:after="0" w:line="240" w:lineRule="auto"/>
              <w:rPr>
                <w:rFonts w:ascii="Times New Roman" w:eastAsia="Times New Roman" w:hAnsi="Times New Roman" w:cs="Times New Roman"/>
                <w:kern w:val="0"/>
                <w:lang w:val="en-US" w:eastAsia="es-MX"/>
                <w14:ligatures w14:val="none"/>
              </w:rPr>
            </w:pPr>
            <w:r w:rsidRPr="00E76CF4">
              <w:rPr>
                <w:rFonts w:ascii="Times New Roman" w:eastAsia="Times New Roman" w:hAnsi="Times New Roman" w:cs="Times New Roman"/>
                <w:kern w:val="0"/>
                <w:lang w:val="en-US" w:eastAsia="es-MX"/>
                <w14:ligatures w14:val="none"/>
              </w:rPr>
              <w:t>Presidential election: Abdirahman Irro (Waddani) defeats Muse Bihi Abdi</w:t>
            </w:r>
          </w:p>
        </w:tc>
        <w:tc>
          <w:tcPr>
            <w:tcW w:w="0" w:type="auto"/>
            <w:vAlign w:val="center"/>
            <w:hideMark/>
          </w:tcPr>
          <w:p w14:paraId="19D99A41"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kern w:val="0"/>
                <w:lang w:eastAsia="es-MX"/>
                <w14:ligatures w14:val="none"/>
              </w:rPr>
              <w:t>Al Jazeera, VOA, BBC, Reuters</w:t>
            </w:r>
          </w:p>
        </w:tc>
        <w:tc>
          <w:tcPr>
            <w:tcW w:w="0" w:type="auto"/>
            <w:vAlign w:val="center"/>
            <w:hideMark/>
          </w:tcPr>
          <w:p w14:paraId="4BFF5D65" w14:textId="77777777" w:rsidR="00E76CF4" w:rsidRPr="00E76CF4" w:rsidRDefault="00E76CF4" w:rsidP="00E76CF4">
            <w:pPr>
              <w:spacing w:after="0" w:line="240" w:lineRule="auto"/>
              <w:rPr>
                <w:rFonts w:ascii="Times New Roman" w:eastAsia="Times New Roman" w:hAnsi="Times New Roman" w:cs="Times New Roman"/>
                <w:kern w:val="0"/>
                <w:lang w:eastAsia="es-MX"/>
                <w14:ligatures w14:val="none"/>
              </w:rPr>
            </w:pPr>
            <w:r w:rsidRPr="00E76CF4">
              <w:rPr>
                <w:rFonts w:ascii="Apple Color Emoji" w:eastAsia="Times New Roman" w:hAnsi="Apple Color Emoji" w:cs="Apple Color Emoji"/>
                <w:kern w:val="0"/>
                <w:lang w:eastAsia="es-MX"/>
                <w14:ligatures w14:val="none"/>
              </w:rPr>
              <w:t>✅</w:t>
            </w:r>
            <w:r w:rsidRPr="00E76CF4">
              <w:rPr>
                <w:rFonts w:ascii="Times New Roman" w:eastAsia="Times New Roman" w:hAnsi="Times New Roman" w:cs="Times New Roman"/>
                <w:kern w:val="0"/>
                <w:lang w:eastAsia="es-MX"/>
                <w14:ligatures w14:val="none"/>
              </w:rPr>
              <w:t xml:space="preserve"> VERIFIED</w:t>
            </w:r>
          </w:p>
        </w:tc>
      </w:tr>
    </w:tbl>
    <w:p w14:paraId="31C2E53E" w14:textId="77777777" w:rsidR="00E76CF4" w:rsidRPr="00E76CF4" w:rsidRDefault="00E76CF4" w:rsidP="00E76CF4">
      <w:pPr>
        <w:spacing w:before="100" w:beforeAutospacing="1" w:after="100" w:afterAutospacing="1" w:line="240" w:lineRule="auto"/>
        <w:rPr>
          <w:rFonts w:ascii="Times New Roman" w:eastAsia="Times New Roman" w:hAnsi="Times New Roman" w:cs="Times New Roman"/>
          <w:kern w:val="0"/>
          <w:lang w:eastAsia="es-MX"/>
          <w14:ligatures w14:val="none"/>
        </w:rPr>
      </w:pPr>
      <w:r w:rsidRPr="00E76CF4">
        <w:rPr>
          <w:rFonts w:ascii="Times New Roman" w:eastAsia="Times New Roman" w:hAnsi="Times New Roman" w:cs="Times New Roman"/>
          <w:b/>
          <w:bCs/>
          <w:kern w:val="0"/>
          <w:lang w:eastAsia="es-MX"/>
          <w14:ligatures w14:val="none"/>
        </w:rPr>
        <w:t>Overall Verification Rate</w:t>
      </w:r>
      <w:r w:rsidRPr="00E76CF4">
        <w:rPr>
          <w:rFonts w:ascii="Times New Roman" w:eastAsia="Times New Roman" w:hAnsi="Times New Roman" w:cs="Times New Roman"/>
          <w:kern w:val="0"/>
          <w:lang w:eastAsia="es-MX"/>
          <w14:ligatures w14:val="none"/>
        </w:rPr>
        <w:t>: 12/13 events (92.3%)</w:t>
      </w:r>
    </w:p>
    <w:p w14:paraId="1CE153A4" w14:textId="77777777" w:rsidR="00E76CF4" w:rsidRPr="00E76CF4" w:rsidRDefault="004352F2" w:rsidP="00E76CF4">
      <w:pPr>
        <w:spacing w:after="0" w:line="240" w:lineRule="auto"/>
        <w:rPr>
          <w:rFonts w:ascii="Times New Roman" w:eastAsia="Times New Roman" w:hAnsi="Times New Roman" w:cs="Times New Roman"/>
          <w:kern w:val="0"/>
          <w:lang w:eastAsia="es-MX"/>
          <w14:ligatures w14:val="none"/>
        </w:rPr>
      </w:pPr>
      <w:r w:rsidRPr="004352F2">
        <w:rPr>
          <w:rFonts w:ascii="Times New Roman" w:eastAsia="Times New Roman" w:hAnsi="Times New Roman" w:cs="Times New Roman"/>
          <w:noProof/>
          <w:kern w:val="0"/>
          <w:lang w:eastAsia="es-MX"/>
        </w:rPr>
        <w:pict w14:anchorId="5E5EE621">
          <v:rect id="_x0000_i1025" alt="" style="width:441.9pt;height:.05pt;mso-width-percent:0;mso-height-percent:0;mso-width-percent:0;mso-height-percent:0" o:hralign="center" o:hrstd="t" o:hr="t" fillcolor="#a0a0a0" stroked="f"/>
        </w:pict>
      </w:r>
    </w:p>
    <w:p w14:paraId="593359B6" w14:textId="77777777" w:rsidR="00E76CF4" w:rsidRPr="001C2EEE" w:rsidRDefault="00E76CF4" w:rsidP="001C2EEE">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7F79203" w14:textId="77777777" w:rsidR="00394F00" w:rsidRPr="00E76CF4" w:rsidRDefault="00394F00" w:rsidP="00670E78">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1619FA8" w14:textId="77777777" w:rsidR="00FB61BE" w:rsidRPr="00670E78" w:rsidRDefault="00FB61BE" w:rsidP="00670E78">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B2EE8E9" w14:textId="77777777" w:rsidR="00670E78" w:rsidRPr="00E76CF4" w:rsidRDefault="00670E78" w:rsidP="00F74497">
      <w:pPr>
        <w:spacing w:before="100" w:beforeAutospacing="1" w:after="100" w:afterAutospacing="1" w:line="240" w:lineRule="auto"/>
        <w:rPr>
          <w:rFonts w:ascii="Times New Roman" w:eastAsia="Times New Roman" w:hAnsi="Times New Roman" w:cs="Times New Roman"/>
          <w:kern w:val="0"/>
          <w:lang w:eastAsia="es-MX"/>
          <w14:ligatures w14:val="none"/>
        </w:rPr>
      </w:pPr>
    </w:p>
    <w:p>
      <w:pPr>
        <w:jc w:val="center"/>
      </w:pPr>
      <w:r>
        <w:rPr>
          <w:b/>
          <w:sz w:val="24"/>
        </w:rPr>
        <w:t>Table 4: Dual-Index Framework - CLI × CLI_cultural Interaction Analysis</w:t>
      </w:r>
    </w:p>
    <w:tbl>
      <w:tblPr>
        <w:tblW w:type="auto" w:w="0"/>
        <w:tblLook w:firstColumn="1" w:firstRow="1" w:lastColumn="0" w:lastRow="0" w:noHBand="0" w:noVBand="1" w:val="04A0"/>
      </w:tblPr>
      <w:tblGrid>
        <w:gridCol w:w="736"/>
        <w:gridCol w:w="736"/>
        <w:gridCol w:w="736"/>
        <w:gridCol w:w="736"/>
        <w:gridCol w:w="736"/>
        <w:gridCol w:w="736"/>
        <w:gridCol w:w="736"/>
        <w:gridCol w:w="736"/>
        <w:gridCol w:w="736"/>
        <w:gridCol w:w="736"/>
        <w:gridCol w:w="736"/>
        <w:gridCol w:w="736"/>
      </w:tblGrid>
      <w:tr>
        <w:tc>
          <w:tcPr>
            <w:tcW w:type="dxa" w:w="736"/>
          </w:tcPr>
          <w:p>
            <w:r>
              <w:rPr>
                <w:b/>
                <w:sz w:val="18"/>
              </w:rPr>
              <w:t>Entity</w:t>
            </w:r>
          </w:p>
        </w:tc>
        <w:tc>
          <w:tcPr>
            <w:tcW w:type="dxa" w:w="736"/>
          </w:tcPr>
          <w:p>
            <w:r>
              <w:rPr>
                <w:b/>
                <w:sz w:val="18"/>
              </w:rPr>
              <w:t>CLI</w:t>
            </w:r>
          </w:p>
        </w:tc>
        <w:tc>
          <w:tcPr>
            <w:tcW w:type="dxa" w:w="736"/>
          </w:tcPr>
          <w:p>
            <w:r>
              <w:rPr>
                <w:b/>
                <w:sz w:val="18"/>
              </w:rPr>
              <w:t>CE</w:t>
            </w:r>
          </w:p>
        </w:tc>
        <w:tc>
          <w:tcPr>
            <w:tcW w:type="dxa" w:w="736"/>
          </w:tcPr>
          <w:p>
            <w:r>
              <w:rPr>
                <w:b/>
                <w:sz w:val="18"/>
              </w:rPr>
              <w:t>UA</w:t>
            </w:r>
          </w:p>
        </w:tc>
        <w:tc>
          <w:tcPr>
            <w:tcW w:type="dxa" w:w="736"/>
          </w:tcPr>
          <w:p>
            <w:r>
              <w:rPr>
                <w:b/>
                <w:sz w:val="18"/>
              </w:rPr>
              <w:t>JPI</w:t>
            </w:r>
          </w:p>
        </w:tc>
        <w:tc>
          <w:tcPr>
            <w:tcW w:type="dxa" w:w="736"/>
          </w:tcPr>
          <w:p>
            <w:r>
              <w:rPr>
                <w:b/>
                <w:sz w:val="18"/>
              </w:rPr>
              <w:t>CLI_cultural</w:t>
            </w:r>
          </w:p>
        </w:tc>
        <w:tc>
          <w:tcPr>
            <w:tcW w:type="dxa" w:w="736"/>
          </w:tcPr>
          <w:p>
            <w:r>
              <w:rPr>
                <w:b/>
                <w:sz w:val="18"/>
              </w:rPr>
              <w:t>CT1</w:t>
            </w:r>
          </w:p>
        </w:tc>
        <w:tc>
          <w:tcPr>
            <w:tcW w:type="dxa" w:w="736"/>
          </w:tcPr>
          <w:p>
            <w:r>
              <w:rPr>
                <w:b/>
                <w:sz w:val="18"/>
              </w:rPr>
              <w:t>CT2</w:t>
            </w:r>
          </w:p>
        </w:tc>
        <w:tc>
          <w:tcPr>
            <w:tcW w:type="dxa" w:w="736"/>
          </w:tcPr>
          <w:p>
            <w:r>
              <w:rPr>
                <w:b/>
                <w:sz w:val="18"/>
              </w:rPr>
              <w:t>CT3</w:t>
            </w:r>
          </w:p>
        </w:tc>
        <w:tc>
          <w:tcPr>
            <w:tcW w:type="dxa" w:w="736"/>
          </w:tcPr>
          <w:p>
            <w:r>
              <w:rPr>
                <w:b/>
                <w:sz w:val="18"/>
              </w:rPr>
              <w:t>Profile</w:t>
            </w:r>
          </w:p>
        </w:tc>
        <w:tc>
          <w:tcPr>
            <w:tcW w:type="dxa" w:w="736"/>
          </w:tcPr>
          <w:p>
            <w:r>
              <w:rPr>
                <w:b/>
                <w:sz w:val="18"/>
              </w:rPr>
              <w:t>Interaction</w:t>
            </w:r>
          </w:p>
        </w:tc>
        <w:tc>
          <w:tcPr>
            <w:tcW w:type="dxa" w:w="736"/>
          </w:tcPr>
          <w:p>
            <w:r>
              <w:rPr>
                <w:b/>
                <w:sz w:val="18"/>
              </w:rPr>
              <w:t>Risk</w:t>
            </w:r>
          </w:p>
        </w:tc>
      </w:tr>
      <w:tr>
        <w:tc>
          <w:tcPr>
            <w:tcW w:type="dxa" w:w="736"/>
          </w:tcPr>
          <w:p>
            <w:r>
              <w:t>Somalia Federal</w:t>
            </w:r>
          </w:p>
        </w:tc>
        <w:tc>
          <w:tcPr>
            <w:tcW w:type="dxa" w:w="736"/>
          </w:tcPr>
          <w:p>
            <w:r>
              <w:t>0.76</w:t>
            </w:r>
          </w:p>
        </w:tc>
        <w:tc>
          <w:tcPr>
            <w:tcW w:type="dxa" w:w="736"/>
          </w:tcPr>
          <w:p>
            <w:r>
              <w:t>0.80</w:t>
            </w:r>
          </w:p>
        </w:tc>
        <w:tc>
          <w:tcPr>
            <w:tcW w:type="dxa" w:w="736"/>
          </w:tcPr>
          <w:p>
            <w:r>
              <w:t>0.85</w:t>
            </w:r>
          </w:p>
        </w:tc>
        <w:tc>
          <w:tcPr>
            <w:tcW w:type="dxa" w:w="736"/>
          </w:tcPr>
          <w:p>
            <w:r>
              <w:t>0.55</w:t>
            </w:r>
          </w:p>
        </w:tc>
        <w:tc>
          <w:tcPr>
            <w:tcW w:type="dxa" w:w="736"/>
          </w:tcPr>
          <w:p>
            <w:r>
              <w:t>0.34</w:t>
            </w:r>
          </w:p>
        </w:tc>
        <w:tc>
          <w:tcPr>
            <w:tcW w:type="dxa" w:w="736"/>
          </w:tcPr>
          <w:p>
            <w:r>
              <w:t>0.40</w:t>
            </w:r>
          </w:p>
        </w:tc>
        <w:tc>
          <w:tcPr>
            <w:tcW w:type="dxa" w:w="736"/>
          </w:tcPr>
          <w:p>
            <w:r>
              <w:t>0.25</w:t>
            </w:r>
          </w:p>
        </w:tc>
        <w:tc>
          <w:tcPr>
            <w:tcW w:type="dxa" w:w="736"/>
          </w:tcPr>
          <w:p>
            <w:r>
              <w:t>0.35</w:t>
            </w:r>
          </w:p>
        </w:tc>
        <w:tc>
          <w:tcPr>
            <w:tcW w:type="dxa" w:w="736"/>
          </w:tcPr>
          <w:p>
            <w:r>
              <w:t>Brittle Rigidity</w:t>
            </w:r>
          </w:p>
        </w:tc>
        <w:tc>
          <w:tcPr>
            <w:tcW w:type="dxa" w:w="736"/>
          </w:tcPr>
          <w:p>
            <w:r>
              <w:t>0.26</w:t>
            </w:r>
          </w:p>
        </w:tc>
        <w:tc>
          <w:tcPr>
            <w:tcW w:type="dxa" w:w="736"/>
          </w:tcPr>
          <w:p>
            <w:r>
              <w:t>HIGH</w:t>
            </w:r>
          </w:p>
        </w:tc>
      </w:tr>
      <w:tr>
        <w:tc>
          <w:tcPr>
            <w:tcW w:type="dxa" w:w="736"/>
          </w:tcPr>
          <w:p>
            <w:r>
              <w:t>Somalilandia</w:t>
            </w:r>
          </w:p>
        </w:tc>
        <w:tc>
          <w:tcPr>
            <w:tcW w:type="dxa" w:w="736"/>
          </w:tcPr>
          <w:p>
            <w:r>
              <w:t>0.54</w:t>
            </w:r>
          </w:p>
        </w:tc>
        <w:tc>
          <w:tcPr>
            <w:tcW w:type="dxa" w:w="736"/>
          </w:tcPr>
          <w:p>
            <w:r>
              <w:t>0.65</w:t>
            </w:r>
          </w:p>
        </w:tc>
        <w:tc>
          <w:tcPr>
            <w:tcW w:type="dxa" w:w="736"/>
          </w:tcPr>
          <w:p>
            <w:r>
              <w:t>0.35</w:t>
            </w:r>
          </w:p>
        </w:tc>
        <w:tc>
          <w:tcPr>
            <w:tcW w:type="dxa" w:w="736"/>
          </w:tcPr>
          <w:p>
            <w:r>
              <w:t>0.70</w:t>
            </w:r>
          </w:p>
        </w:tc>
        <w:tc>
          <w:tcPr>
            <w:tcW w:type="dxa" w:w="736"/>
          </w:tcPr>
          <w:p>
            <w:r>
              <w:t>0.70</w:t>
            </w:r>
          </w:p>
        </w:tc>
        <w:tc>
          <w:tcPr>
            <w:tcW w:type="dxa" w:w="736"/>
          </w:tcPr>
          <w:p>
            <w:r>
              <w:t>0.70</w:t>
            </w:r>
          </w:p>
        </w:tc>
        <w:tc>
          <w:tcPr>
            <w:tcW w:type="dxa" w:w="736"/>
          </w:tcPr>
          <w:p>
            <w:r>
              <w:t>0.65</w:t>
            </w:r>
          </w:p>
        </w:tc>
        <w:tc>
          <w:tcPr>
            <w:tcW w:type="dxa" w:w="736"/>
          </w:tcPr>
          <w:p>
            <w:r>
              <w:t>0.75</w:t>
            </w:r>
          </w:p>
        </w:tc>
        <w:tc>
          <w:tcPr>
            <w:tcW w:type="dxa" w:w="736"/>
          </w:tcPr>
          <w:p>
            <w:r>
              <w:t>Adaptive Stability</w:t>
            </w:r>
          </w:p>
        </w:tc>
        <w:tc>
          <w:tcPr>
            <w:tcW w:type="dxa" w:w="736"/>
          </w:tcPr>
          <w:p>
            <w:r>
              <w:t>0.38</w:t>
            </w:r>
          </w:p>
        </w:tc>
        <w:tc>
          <w:tcPr>
            <w:tcW w:type="dxa" w:w="736"/>
          </w:tcPr>
          <w:p>
            <w:r>
              <w:t>LOW</w:t>
            </w:r>
          </w:p>
        </w:tc>
      </w:tr>
    </w:tbl>
    <w:p>
      <w:r>
        <w:rPr>
          <w:b/>
          <w:sz w:val="18"/>
        </w:rPr>
        <w:t xml:space="preserve">Notes: </w:t>
      </w:r>
      <w:r>
        <w:rPr>
          <w:sz w:val="18"/>
        </w:rPr>
        <w:t>CLI = 0.35×CE + 0.40×UA + 0.25×JPI. CLI_cultural = 0.40×CT1 + 0.30×CT2 + 0.30×CT3. Interaction = CLI × CLI_cultural. Collapse Risk Threshold: &lt; 0.30 = HIGH RISK.</w:t>
      </w:r>
    </w:p>
    <w:p>
      <w:r>
        <w:br w:type="page"/>
      </w:r>
    </w:p>
    <w:p>
      <w:pPr>
        <w:pStyle w:val="Ttulo2"/>
      </w:pPr>
      <w:r>
        <w:t>6.X THE BRITTLE RIGIDITY PARADOX</w:t>
      </w:r>
    </w:p>
    <w:p>
      <w:r>
        <w:t>This natural experiment reveals a counterintuitive finding: Somalia Federal's high constitutional rigidity (CLI 0.76) produces WORSE governance outcomes than Somalilandia's moderate constitutional rigidity (CLI 0.54). This contradicts conventional wisdom that rigid constitutions provide stability.</w:t>
      </w:r>
    </w:p>
    <w:p>
      <w:r>
        <w:t>The answer lies in the CLI-CLI_cultural interaction: Constitutional rigidity (CLI) only produces stable institutions when accompanied by cultural stability (CLI_cultural). Somalia Federal demonstrates "Brittle Rigidity" - high formal rigidity WITHOUT cultural foundations - producing fragile institutions. Somalilandia demonstrates "Adaptive Stability" - moderate flexibility WITH strong cultural foundations - producing resilient institutions.</w:t>
      </w:r>
    </w:p>
    <w:p>
      <w:pPr>
        <w:pStyle w:val="Ttulo3"/>
      </w:pPr>
      <w:r>
        <w:t>6.X.1 The "Scaffold vs Foundation" Metaphor</w:t>
      </w:r>
    </w:p>
    <w:p>
      <w:r>
        <w:rPr>
          <w:b/>
        </w:rPr>
        <w:t>Somalia Federal = Rigid Scaffold on Weak Foundation:</w:t>
      </w:r>
    </w:p>
    <w:p>
      <w:r>
        <w:t>• CLI 0.76 (HIGH): Complex dual supermajority, extreme ultraactivity, moderate judicial protection = rigid scaffold</w:t>
      </w:r>
    </w:p>
    <w:p>
      <w:r>
        <w:t>• CLI_cultural 0.34 (LOW): Narrative discontinuity, shock fragility, implementation failure = weak foundation</w:t>
      </w:r>
    </w:p>
    <w:p>
      <w:r>
        <w:t>• Result: System APPEARS rigid but IS fragile (Farmajo 2021 crisis)</w:t>
      </w:r>
    </w:p>
    <w:p>
      <w:r>
        <w:rPr>
          <w:b/>
        </w:rPr>
        <w:t>Somalilandia = Flexible Scaffold on Strong Foundation:</w:t>
      </w:r>
    </w:p>
    <w:p>
      <w:r>
        <w:t>• CLI 0.54 (MODERATE): High entrenchment balanced by moderate ultraactivity and operational judicial review = flexible scaffold</w:t>
      </w:r>
    </w:p>
    <w:p>
      <w:r>
        <w:t>• CLI_cultural 0.70 (HIGH): Narrative continuity, shock resilience, policy sustainability = strong foundation</w:t>
      </w:r>
    </w:p>
    <w:p>
      <w:r>
        <w:t>• Result: System flexible yet robust (Las Anod 2023 absorbed, peaceful transitions)</w:t>
      </w:r>
    </w:p>
    <w:p>
      <w:pPr>
        <w:pStyle w:val="Ttulo3"/>
      </w:pPr>
      <w:r>
        <w:t>6.X.2 Four Institutional Configurations</w:t>
      </w:r>
    </w:p>
    <w:p>
      <w:r>
        <w:t>Figure 3 visualizes the CLI × CLI_cultural interaction matrix:</w:t>
      </w:r>
    </w:p>
    <w:p>
      <w:r>
        <w:rPr>
          <w:b/>
        </w:rPr>
        <w:t>Quadrant I - Stable Rigidity:</w:t>
      </w:r>
    </w:p>
    <w:p>
      <w:r>
        <w:t>Example: Uruguay (CLI ~0.75, CLI_cultural 0.77) → FH 96/100. Rigid rules LOCKED IN by cultural consensus.</w:t>
      </w:r>
    </w:p>
    <w:p>
      <w:r>
        <w:rPr>
          <w:b/>
          <w:color w:val="C00000"/>
        </w:rPr>
        <w:t>Quadrant II - BRITTLE RIGIDITY ⚠️:</w:t>
      </w:r>
    </w:p>
    <w:p>
      <w:r>
        <w:t>Example: Somalia Federal (CLI 0.76, CLI_cultural 0.34) → FH 8/100. HIGHEST COLLAPSE RISK (Interaction 0.26 &lt; 0.30). Rigid rules IMPOSED without cultural legitimacy.</w:t>
      </w:r>
    </w:p>
    <w:p>
      <w:r>
        <w:rPr>
          <w:b/>
        </w:rPr>
        <w:t>Quadrant III - Chaotic Fragility:</w:t>
      </w:r>
    </w:p>
    <w:p>
      <w:r>
        <w:t>No case in dataset. Flexible rules WITHOUT cultural stability → serial constitutional replacement.</w:t>
      </w:r>
    </w:p>
    <w:p>
      <w:r>
        <w:rPr>
          <w:b/>
          <w:color w:val="008000"/>
        </w:rPr>
        <w:t>Quadrant IV - ADAPTIVE STABILITY ✅:</w:t>
      </w:r>
    </w:p>
    <w:p>
      <w:r>
        <w:t>Example: Somalilandia (CLI 0.54, CLI_cultural 0.70) → FH 43.7/100. LOW COLLAPSE RISK (Interaction 0.38 &gt; 0.30). Flexible rules ENABLED by cultural consensus.</w:t>
      </w:r>
    </w:p>
    <w:p>
      <w:pPr>
        <w:pStyle w:val="Ttulo3"/>
      </w:pPr>
      <w:r>
        <w:t>6.X.3 Policy Sequencing: Foundation-First vs Scaffold-First</w:t>
      </w:r>
    </w:p>
    <w:p>
      <w:r>
        <w:rPr>
          <w:b/>
        </w:rPr>
        <w:t>Scenario A: Scaffold-First (Current Approach)</w:t>
      </w:r>
    </w:p>
    <w:p>
      <w:r>
        <w:t>Finalize constitution NOW → CLI 0.76→0.65, CLI_cultural unchanged 0.34. New Interaction: 0.65 × 0.34 = 0.22 (WORSE!). OUTCOME: INCREASED COLLAPSE RISK.</w:t>
      </w:r>
    </w:p>
    <w:p>
      <w:r>
        <w:rPr>
          <w:b/>
        </w:rPr>
        <w:t>Scenario B: Foundation-First (Recommended)</w:t>
      </w:r>
    </w:p>
    <w:p>
      <w:r>
        <w:t>Build CLI_cultural FIRST (0.34→0.50+) via national dialogues (5-7 years), THEN finalize. New Interaction: 0.65 × 0.50 = 0.33 (crosses 0.30 threshold). OUTCOME: REDUCED COLLAPSE RISK.</w:t>
      </w:r>
    </w:p>
    <w:p>
      <w:r>
        <w:rPr>
          <w:b/>
        </w:rPr>
        <w:t xml:space="preserve">International Donor Implication: </w:t>
      </w:r>
      <w:r>
        <w:t>World Bank/UNDP/UN currently prioritize constitutional finalization. Foundation-First requires patience - accepting 5-7 more years provisional to build cultural capacity. Short-term "failure" enables long-term success.</w:t>
      </w:r>
    </w:p>
    <w:p>
      <w:r>
        <w:br w:type="page"/>
      </w:r>
    </w:p>
    <w:p>
      <w:pPr>
        <w:pStyle w:val="Ttulo1"/>
      </w:pPr>
      <w:r>
        <w:t>APPENDIX D: CULTURAL LOCK-IN INDEX (CLI_CULTURAL) METHODOLOGY</w:t>
      </w:r>
    </w:p>
    <w:p>
      <w:pPr>
        <w:pStyle w:val="Ttulo2"/>
      </w:pPr>
      <w:r>
        <w:t>D.1 Mathematical Formula</w:t>
      </w:r>
    </w:p>
    <w:p>
      <w:pPr>
        <w:jc w:val="center"/>
      </w:pPr>
      <w:r>
        <w:rPr>
          <w:b/>
          <w:sz w:val="24"/>
        </w:rPr>
        <w:t>CLI_cultural = 0.40 × CT1 + 0.30 × CT2 + 0.30 × CT3</w:t>
      </w:r>
    </w:p>
    <w:p>
      <w:r>
        <w:t>Where:</w:t>
      </w:r>
    </w:p>
    <w:p>
      <w:r>
        <w:t>• CT1 = Cultural Transmission - Narrative Stability (0.0-1.0)</w:t>
      </w:r>
    </w:p>
    <w:p>
      <w:r>
        <w:t>• CT2 = Cultural Transmission - Shock Resistance (0.0-1.0)</w:t>
      </w:r>
    </w:p>
    <w:p>
      <w:r>
        <w:t>• CT3 = Cultural Transmission - Policy Continuity (0.0-1.0)</w:t>
      </w:r>
    </w:p>
    <w:p>
      <w:r>
        <w:rPr>
          <w:b/>
        </w:rPr>
        <w:t xml:space="preserve">Weight Justification: </w:t>
      </w:r>
      <w:r>
        <w:t>Weights derived from "Beyond Stated Preferences" validation studies (Argentina, Chile, Uruguay) where narrative stability (CT1) emerged as strongest predictor of institutional resilience (40%).</w:t>
      </w:r>
    </w:p>
    <w:p>
      <w:pPr>
        <w:pStyle w:val="Ttulo2"/>
      </w:pPr>
      <w:r>
        <w:t>D.2 Component Definitions</w:t>
      </w:r>
    </w:p>
    <w:p>
      <w:pPr>
        <w:pStyle w:val="Ttulo3"/>
      </w:pPr>
      <w:r>
        <w:t>D.2.1 CT1 - Narrative Stability</w:t>
      </w:r>
    </w:p>
    <w:p>
      <w:r>
        <w:rPr>
          <w:b/>
        </w:rPr>
        <w:t xml:space="preserve">Definition: </w:t>
      </w:r>
      <w:r>
        <w:t>Consistency of constitutional narrative across time, measured by Jaccard similarity.</w:t>
      </w:r>
    </w:p>
    <w:p>
      <w:r>
        <w:rPr>
          <w:b/>
        </w:rPr>
        <w:t>Somalia Federal CT1 = 0.40 (LOW)</w:t>
      </w:r>
    </w:p>
    <w:p>
      <w:r>
        <w:t>Arta (2000) → TFC (2004) → Provisional (2012). Pairwise similarities: 0.35, 0.43, 0.30. Key discontinuities: 4.5 Formula, federal structure, Islamic law emphasis shifts.</w:t>
      </w:r>
    </w:p>
    <w:p>
      <w:r>
        <w:rPr>
          <w:b/>
        </w:rPr>
        <w:t>Somalilandia CT1 = 0.70 (HIGH)</w:t>
      </w:r>
    </w:p>
    <w:p>
      <w:r>
        <w:t>Independence (1991) → Borama (1993) → Hargeisa (1997) → Constitution (2001). Pairwise similarities: 0.60, 0.72, 0.81. Key continuities: sovereignty, Islamic identity, Guurti evolution.</w:t>
      </w:r>
    </w:p>
    <w:p>
      <w:pPr>
        <w:pStyle w:val="Ttulo3"/>
      </w:pPr>
      <w:r>
        <w:t>D.2.2 CT2 - Shock Resistance</w:t>
      </w:r>
    </w:p>
    <w:p>
      <w:r>
        <w:rPr>
          <w:b/>
        </w:rPr>
        <w:t xml:space="preserve">Definition: </w:t>
      </w:r>
      <w:r>
        <w:t>Degree to which constitutional order persists despite major shocks.</w:t>
      </w:r>
    </w:p>
    <w:p>
      <w:r>
        <w:rPr>
          <w:b/>
          <w:color w:val="C00000"/>
        </w:rPr>
        <w:t xml:space="preserve">CRITICAL DISTINCTION: </w:t>
      </w:r>
      <w:r>
        <w:t>High non-response can indicate EITHER (1) Resilient stability - POSITIVE, OR (2) Institutional paralysis - NEGATIVE.</w:t>
      </w:r>
    </w:p>
    <w:p>
      <w:r>
        <w:rPr>
          <w:b/>
        </w:rPr>
        <w:t>Somalia Federal CT2 = 0.25 (LOW - paralysis)</w:t>
      </w:r>
    </w:p>
    <w:p>
      <w:r>
        <w:t>13 major shocks 2000-2025. Base non-response 0.77 but reinterpreted as PARALYSIS: provisional 13 years, 0 amendments despite crises, Farmajo 2021 fragility.</w:t>
      </w:r>
    </w:p>
    <w:p>
      <w:r>
        <w:rPr>
          <w:b/>
        </w:rPr>
        <w:t>Somalilandia CT2 = 0.65 (HIGH - resilience)</w:t>
      </w:r>
    </w:p>
    <w:p>
      <w:r>
        <w:t>15 major shocks 1991-2025. Non-response 0.87 indicates TRUE RESISTANCE: 2001 Constitution unchanged despite terrorist attacks, Las Anod territorial loss, opposition victories. Elections serve as pressure valve.</w:t>
      </w:r>
    </w:p>
    <w:p>
      <w:pPr>
        <w:pStyle w:val="Ttulo3"/>
      </w:pPr>
      <w:r>
        <w:t>D.2.3 CT3 - Policy Continuity</w:t>
      </w:r>
    </w:p>
    <w:p>
      <w:r>
        <w:rPr>
          <w:b/>
        </w:rPr>
        <w:t xml:space="preserve">Definition: </w:t>
      </w:r>
      <w:r>
        <w:t>Stability of policy implementation across government transitions. CT3 = 1 - Coefficient of Variation across policy domains.</w:t>
      </w:r>
    </w:p>
    <w:p>
      <w:r>
        <w:rPr>
          <w:b/>
        </w:rPr>
        <w:t>Somalia Federal CT3 = 0.35 (LOW)</w:t>
      </w:r>
    </w:p>
    <w:p>
      <w:r>
        <w:t>World Bank 2025: "Progress tenuous" - $2.54B investment but institutional capability NOT built. High CV ~0.65. CT3 = 1 - 0.65 = 0.35.</w:t>
      </w:r>
    </w:p>
    <w:p>
      <w:r>
        <w:rPr>
          <w:b/>
        </w:rPr>
        <w:t>Somalilandia CT3 = 0.75 (HIGH)</w:t>
      </w:r>
    </w:p>
    <w:p>
      <w:r>
        <w:t>UNDP 2023 JROLP: "National actors lead" - DP World Berbera survives transitions, shilling stable, education reforms sustained. Low CV ~0.25. CT3 = 1 - 0.25 = 0.75.</w:t>
      </w:r>
    </w:p>
    <w:p>
      <w:pPr>
        <w:pStyle w:val="Ttulo2"/>
      </w:pPr>
      <w:r>
        <w:t>D.3 Final CLI_cultural Scores</w:t>
      </w:r>
    </w:p>
    <w:p>
      <w:r>
        <w:rPr>
          <w:b/>
        </w:rPr>
        <w:t>Somalia Federal:</w:t>
      </w:r>
    </w:p>
    <w:p>
      <w:r>
        <w:t>CT1 = 0.40, CT2 = 0.25, CT3 = 0.35</w:t>
      </w:r>
    </w:p>
    <w:p>
      <w:pPr>
        <w:pStyle w:val="Citadestacada"/>
      </w:pPr>
      <w:r>
        <w:t>CLI_cultural = 0.40(0.40) + 0.30(0.25) + 0.30(0.35) = 0.34</w:t>
      </w:r>
    </w:p>
    <w:p>
      <w:r>
        <w:rPr>
          <w:b/>
        </w:rPr>
        <w:t>Somalilandia:</w:t>
      </w:r>
    </w:p>
    <w:p>
      <w:r>
        <w:t>CT1 = 0.70, CT2 = 0.65, CT3 = 0.75</w:t>
      </w:r>
    </w:p>
    <w:p>
      <w:pPr>
        <w:pStyle w:val="Citadestacada"/>
      </w:pPr>
      <w:r>
        <w:t>CLI_cultural = 0.40(0.70) + 0.30(0.65) + 0.30(0.75) = 0.70</w:t>
      </w:r>
    </w:p>
    <w:p>
      <w:pPr>
        <w:pStyle w:val="Ttulo2"/>
      </w:pPr>
      <w:r>
        <w:t>D.4 CLI × CLI_cultural Interaction</w:t>
      </w:r>
    </w:p>
    <w:p>
      <w:r>
        <w:rPr>
          <w:b/>
          <w:color w:val="C00000"/>
        </w:rPr>
        <w:t>Collapse Risk Threshold: Interaction &lt; 0.30 = HIGH COLLAPSE RISK</w:t>
      </w:r>
    </w:p>
    <w:p>
      <w:r>
        <w:t>Somalia Federal: 0.76 × 0.34 = 0.26 (HIGH RISK)</w:t>
      </w:r>
    </w:p>
    <w:p>
      <w:r>
        <w:t>Somalilandia: 0.54 × 0.70 = 0.38 (LOW RISK)</w:t>
      </w:r>
    </w:p>
    <w:p>
      <w:r>
        <w:t>The 0.30 threshold is empirically derived from Somalia/Somalilandia divergence. Somalia's score (0.26) coincides with extreme fragility (Farmajo 2021, FH 8/100), while Somalilandia's score (0.38) coincides with resilience (Las Anod absorbed, FH 43.7/100).</w:t>
      </w:r>
    </w:p>
    <w:p>
      <w:pPr>
        <w:pStyle w:val="Ttulo2"/>
      </w:pPr>
      <w:r>
        <w:t>D.5 Validation Against Golden Dataset</w:t>
      </w:r>
    </w:p>
    <w:tbl>
      <w:tblPr>
        <w:tblW w:type="auto" w:w="0"/>
        <w:tblLook w:firstColumn="1" w:firstRow="1" w:lastColumn="0" w:lastRow="0" w:noHBand="0" w:noVBand="1" w:val="04A0"/>
      </w:tblPr>
      <w:tblGrid>
        <w:gridCol w:w="2209"/>
        <w:gridCol w:w="2209"/>
        <w:gridCol w:w="2209"/>
        <w:gridCol w:w="2209"/>
      </w:tblGrid>
      <w:tr>
        <w:tc>
          <w:tcPr>
            <w:tcW w:type="dxa" w:w="2209"/>
          </w:tcPr>
          <w:p>
            <w:r>
              <w:rPr>
                <w:b/>
              </w:rPr>
              <w:t>Country</w:t>
            </w:r>
          </w:p>
        </w:tc>
        <w:tc>
          <w:tcPr>
            <w:tcW w:type="dxa" w:w="2209"/>
          </w:tcPr>
          <w:p>
            <w:r>
              <w:rPr>
                <w:b/>
              </w:rPr>
              <w:t>CLI_cultural</w:t>
            </w:r>
          </w:p>
        </w:tc>
        <w:tc>
          <w:tcPr>
            <w:tcW w:type="dxa" w:w="2209"/>
          </w:tcPr>
          <w:p>
            <w:r>
              <w:rPr>
                <w:b/>
              </w:rPr>
              <w:t>Freedom House</w:t>
            </w:r>
          </w:p>
        </w:tc>
        <w:tc>
          <w:tcPr>
            <w:tcW w:type="dxa" w:w="2209"/>
          </w:tcPr>
          <w:p>
            <w:r>
              <w:rPr>
                <w:b/>
              </w:rPr>
              <w:t>Constitutional Status</w:t>
            </w:r>
          </w:p>
        </w:tc>
      </w:tr>
      <w:tr>
        <w:tc>
          <w:tcPr>
            <w:tcW w:type="dxa" w:w="2209"/>
          </w:tcPr>
          <w:p>
            <w:r>
              <w:t>Uruguay</w:t>
            </w:r>
          </w:p>
        </w:tc>
        <w:tc>
          <w:tcPr>
            <w:tcW w:type="dxa" w:w="2209"/>
          </w:tcPr>
          <w:p>
            <w:r>
              <w:t>0.77</w:t>
            </w:r>
          </w:p>
        </w:tc>
        <w:tc>
          <w:tcPr>
            <w:tcW w:type="dxa" w:w="2209"/>
          </w:tcPr>
          <w:p>
            <w:r>
              <w:t>96/100</w:t>
            </w:r>
          </w:p>
        </w:tc>
        <w:tc>
          <w:tcPr>
            <w:tcW w:type="dxa" w:w="2209"/>
          </w:tcPr>
          <w:p>
            <w:r>
              <w:t>1967 Constitution (stable)</w:t>
            </w:r>
          </w:p>
        </w:tc>
      </w:tr>
      <w:tr>
        <w:tc>
          <w:tcPr>
            <w:tcW w:type="dxa" w:w="2209"/>
          </w:tcPr>
          <w:p>
            <w:r>
              <w:t>Somalilandia</w:t>
            </w:r>
          </w:p>
        </w:tc>
        <w:tc>
          <w:tcPr>
            <w:tcW w:type="dxa" w:w="2209"/>
          </w:tcPr>
          <w:p>
            <w:r>
              <w:t>0.70</w:t>
            </w:r>
          </w:p>
        </w:tc>
        <w:tc>
          <w:tcPr>
            <w:tcW w:type="dxa" w:w="2209"/>
          </w:tcPr>
          <w:p>
            <w:r>
              <w:t>43.7/100</w:t>
            </w:r>
          </w:p>
        </w:tc>
        <w:tc>
          <w:tcPr>
            <w:tcW w:type="dxa" w:w="2209"/>
          </w:tcPr>
          <w:p>
            <w:r>
              <w:t>2001 Constitution (24 yrs)</w:t>
            </w:r>
          </w:p>
        </w:tc>
      </w:tr>
      <w:tr>
        <w:tc>
          <w:tcPr>
            <w:tcW w:type="dxa" w:w="2209"/>
          </w:tcPr>
          <w:p>
            <w:r>
              <w:t>Chile</w:t>
            </w:r>
          </w:p>
        </w:tc>
        <w:tc>
          <w:tcPr>
            <w:tcW w:type="dxa" w:w="2209"/>
          </w:tcPr>
          <w:p>
            <w:r>
              <w:t>0.65</w:t>
            </w:r>
          </w:p>
        </w:tc>
        <w:tc>
          <w:tcPr>
            <w:tcW w:type="dxa" w:w="2209"/>
          </w:tcPr>
          <w:p>
            <w:r>
              <w:t>93/100</w:t>
            </w:r>
          </w:p>
        </w:tc>
        <w:tc>
          <w:tcPr>
            <w:tcW w:type="dxa" w:w="2209"/>
          </w:tcPr>
          <w:p>
            <w:r>
              <w:t>1980 Constitution (defeats)</w:t>
            </w:r>
          </w:p>
        </w:tc>
      </w:tr>
      <w:tr>
        <w:tc>
          <w:tcPr>
            <w:tcW w:type="dxa" w:w="2209"/>
          </w:tcPr>
          <w:p>
            <w:r>
              <w:t>Argentina</w:t>
            </w:r>
          </w:p>
        </w:tc>
        <w:tc>
          <w:tcPr>
            <w:tcW w:type="dxa" w:w="2209"/>
          </w:tcPr>
          <w:p>
            <w:r>
              <w:t>0.59</w:t>
            </w:r>
          </w:p>
        </w:tc>
        <w:tc>
          <w:tcPr>
            <w:tcW w:type="dxa" w:w="2209"/>
          </w:tcPr>
          <w:p>
            <w:r>
              <w:t>83/100</w:t>
            </w:r>
          </w:p>
        </w:tc>
        <w:tc>
          <w:tcPr>
            <w:tcW w:type="dxa" w:w="2209"/>
          </w:tcPr>
          <w:p>
            <w:r>
              <w:t>1853 Constitution (reforms)</w:t>
            </w:r>
          </w:p>
        </w:tc>
      </w:tr>
      <w:tr>
        <w:tc>
          <w:tcPr>
            <w:tcW w:type="dxa" w:w="2209"/>
          </w:tcPr>
          <w:p>
            <w:r>
              <w:t>Somalia Federal</w:t>
            </w:r>
          </w:p>
        </w:tc>
        <w:tc>
          <w:tcPr>
            <w:tcW w:type="dxa" w:w="2209"/>
          </w:tcPr>
          <w:p>
            <w:r>
              <w:t>0.34</w:t>
            </w:r>
          </w:p>
        </w:tc>
        <w:tc>
          <w:tcPr>
            <w:tcW w:type="dxa" w:w="2209"/>
          </w:tcPr>
          <w:p>
            <w:r>
              <w:t>8/100</w:t>
            </w:r>
          </w:p>
        </w:tc>
        <w:tc>
          <w:tcPr>
            <w:tcW w:type="dxa" w:w="2209"/>
          </w:tcPr>
          <w:p>
            <w:r>
              <w:t>Provisional (13 years)</w:t>
            </w:r>
          </w:p>
        </w:tc>
      </w:tr>
    </w:tbl>
    <w:p>
      <w:r>
        <w:br/>
        <w:t>Key validation: Somalilandia's CLI_cultural (0.70) ranks BETWEEN Chile (0.65) and Uruguay (0.77), aligning with observed governance outcomes. Somalia Federal (0.34) ranks BELOW all golden dataset cases, validating extreme fragility.</w:t>
      </w:r>
    </w:p>
    <w:sectPr w:rsidR="00670E78" w:rsidRPr="00E76C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A0306"/>
    <w:multiLevelType w:val="multilevel"/>
    <w:tmpl w:val="5D3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C7E78"/>
    <w:multiLevelType w:val="multilevel"/>
    <w:tmpl w:val="356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3997"/>
    <w:multiLevelType w:val="multilevel"/>
    <w:tmpl w:val="48B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C5A3E"/>
    <w:multiLevelType w:val="multilevel"/>
    <w:tmpl w:val="759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6481E"/>
    <w:multiLevelType w:val="multilevel"/>
    <w:tmpl w:val="D9D6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DC0C8E"/>
    <w:multiLevelType w:val="multilevel"/>
    <w:tmpl w:val="8EF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567B2"/>
    <w:multiLevelType w:val="multilevel"/>
    <w:tmpl w:val="C24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52D03"/>
    <w:multiLevelType w:val="multilevel"/>
    <w:tmpl w:val="FA9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E2344"/>
    <w:multiLevelType w:val="multilevel"/>
    <w:tmpl w:val="1BB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002C0"/>
    <w:multiLevelType w:val="multilevel"/>
    <w:tmpl w:val="56E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E57AC"/>
    <w:multiLevelType w:val="multilevel"/>
    <w:tmpl w:val="47EA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8202F"/>
    <w:multiLevelType w:val="multilevel"/>
    <w:tmpl w:val="C46E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41EB5"/>
    <w:multiLevelType w:val="multilevel"/>
    <w:tmpl w:val="956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635F2"/>
    <w:multiLevelType w:val="multilevel"/>
    <w:tmpl w:val="A7C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E3028"/>
    <w:multiLevelType w:val="multilevel"/>
    <w:tmpl w:val="3F1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31A99"/>
    <w:multiLevelType w:val="multilevel"/>
    <w:tmpl w:val="48C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B73B7"/>
    <w:multiLevelType w:val="multilevel"/>
    <w:tmpl w:val="2DE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81449"/>
    <w:multiLevelType w:val="multilevel"/>
    <w:tmpl w:val="D05AC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461816"/>
    <w:multiLevelType w:val="multilevel"/>
    <w:tmpl w:val="8E46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87641"/>
    <w:multiLevelType w:val="multilevel"/>
    <w:tmpl w:val="FC3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B2B6D"/>
    <w:multiLevelType w:val="multilevel"/>
    <w:tmpl w:val="515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F2B6D"/>
    <w:multiLevelType w:val="multilevel"/>
    <w:tmpl w:val="659E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622F2"/>
    <w:multiLevelType w:val="multilevel"/>
    <w:tmpl w:val="9518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BA6EBF"/>
    <w:multiLevelType w:val="multilevel"/>
    <w:tmpl w:val="B2D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05C4C"/>
    <w:multiLevelType w:val="multilevel"/>
    <w:tmpl w:val="372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398792">
    <w:abstractNumId w:val="11"/>
  </w:num>
  <w:num w:numId="2" w16cid:durableId="1462964097">
    <w:abstractNumId w:val="13"/>
  </w:num>
  <w:num w:numId="3" w16cid:durableId="486678377">
    <w:abstractNumId w:val="24"/>
  </w:num>
  <w:num w:numId="4" w16cid:durableId="47002593">
    <w:abstractNumId w:val="3"/>
  </w:num>
  <w:num w:numId="5" w16cid:durableId="306518616">
    <w:abstractNumId w:val="0"/>
  </w:num>
  <w:num w:numId="6" w16cid:durableId="1750884931">
    <w:abstractNumId w:val="20"/>
  </w:num>
  <w:num w:numId="7" w16cid:durableId="1553886123">
    <w:abstractNumId w:val="21"/>
  </w:num>
  <w:num w:numId="8" w16cid:durableId="1631326249">
    <w:abstractNumId w:val="9"/>
  </w:num>
  <w:num w:numId="9" w16cid:durableId="755519942">
    <w:abstractNumId w:val="2"/>
  </w:num>
  <w:num w:numId="10" w16cid:durableId="1458332216">
    <w:abstractNumId w:val="22"/>
  </w:num>
  <w:num w:numId="11" w16cid:durableId="1847548060">
    <w:abstractNumId w:val="10"/>
  </w:num>
  <w:num w:numId="12" w16cid:durableId="667950007">
    <w:abstractNumId w:val="7"/>
  </w:num>
  <w:num w:numId="13" w16cid:durableId="124474859">
    <w:abstractNumId w:val="19"/>
  </w:num>
  <w:num w:numId="14" w16cid:durableId="1780442575">
    <w:abstractNumId w:val="15"/>
  </w:num>
  <w:num w:numId="15" w16cid:durableId="1913001510">
    <w:abstractNumId w:val="1"/>
  </w:num>
  <w:num w:numId="16" w16cid:durableId="306521686">
    <w:abstractNumId w:val="17"/>
  </w:num>
  <w:num w:numId="17" w16cid:durableId="499542173">
    <w:abstractNumId w:val="18"/>
  </w:num>
  <w:num w:numId="18" w16cid:durableId="149059623">
    <w:abstractNumId w:val="4"/>
  </w:num>
  <w:num w:numId="19" w16cid:durableId="628904153">
    <w:abstractNumId w:val="14"/>
  </w:num>
  <w:num w:numId="20" w16cid:durableId="717898810">
    <w:abstractNumId w:val="12"/>
  </w:num>
  <w:num w:numId="21" w16cid:durableId="1694107846">
    <w:abstractNumId w:val="6"/>
  </w:num>
  <w:num w:numId="22" w16cid:durableId="268437221">
    <w:abstractNumId w:val="8"/>
  </w:num>
  <w:num w:numId="23" w16cid:durableId="1551308120">
    <w:abstractNumId w:val="5"/>
  </w:num>
  <w:num w:numId="24" w16cid:durableId="1135679911">
    <w:abstractNumId w:val="23"/>
  </w:num>
  <w:num w:numId="25" w16cid:durableId="7380175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6E"/>
    <w:rsid w:val="00095B3B"/>
    <w:rsid w:val="001C2EEE"/>
    <w:rsid w:val="0038666A"/>
    <w:rsid w:val="00394F00"/>
    <w:rsid w:val="003E5D4C"/>
    <w:rsid w:val="00426B6E"/>
    <w:rsid w:val="004352F2"/>
    <w:rsid w:val="00614396"/>
    <w:rsid w:val="00670E78"/>
    <w:rsid w:val="007E73C7"/>
    <w:rsid w:val="00A6567F"/>
    <w:rsid w:val="00C06EE1"/>
    <w:rsid w:val="00E76CF4"/>
    <w:rsid w:val="00F105E3"/>
    <w:rsid w:val="00F218EB"/>
    <w:rsid w:val="00F74497"/>
    <w:rsid w:val="00FB61BE"/>
    <w:rsid w:val="00FC13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489C6"/>
  <w15:chartTrackingRefBased/>
  <w15:docId w15:val="{E5849DE6-0C71-9A4D-A5F5-2B4EC7843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B6E"/>
  </w:style>
  <w:style w:type="paragraph" w:styleId="Ttulo1">
    <w:name w:val="heading 1"/>
    <w:basedOn w:val="Normal"/>
    <w:next w:val="Normal"/>
    <w:link w:val="Ttulo1Car"/>
    <w:uiPriority w:val="9"/>
    <w:qFormat/>
    <w:rsid w:val="00426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26B6E"/>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Ttulo3">
    <w:name w:val="heading 3"/>
    <w:basedOn w:val="Normal"/>
    <w:next w:val="Normal"/>
    <w:link w:val="Ttulo3Car"/>
    <w:uiPriority w:val="9"/>
    <w:unhideWhenUsed/>
    <w:qFormat/>
    <w:rsid w:val="00426B6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6B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6B6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6B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6B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6B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6B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6B6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26B6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26B6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6B6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6B6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6B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6B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6B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6B6E"/>
    <w:rPr>
      <w:rFonts w:eastAsiaTheme="majorEastAsia" w:cstheme="majorBidi"/>
      <w:color w:val="272727" w:themeColor="text1" w:themeTint="D8"/>
    </w:rPr>
  </w:style>
  <w:style w:type="paragraph" w:styleId="Ttulo">
    <w:name w:val="Title"/>
    <w:basedOn w:val="Normal"/>
    <w:next w:val="Normal"/>
    <w:link w:val="TtuloCar"/>
    <w:uiPriority w:val="10"/>
    <w:qFormat/>
    <w:rsid w:val="00426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6B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6B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6B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6B6E"/>
    <w:pPr>
      <w:spacing w:before="160"/>
      <w:jc w:val="center"/>
    </w:pPr>
    <w:rPr>
      <w:i/>
      <w:iCs/>
      <w:color w:val="404040" w:themeColor="text1" w:themeTint="BF"/>
    </w:rPr>
  </w:style>
  <w:style w:type="character" w:customStyle="1" w:styleId="CitaCar">
    <w:name w:val="Cita Car"/>
    <w:basedOn w:val="Fuentedeprrafopredeter"/>
    <w:link w:val="Cita"/>
    <w:uiPriority w:val="29"/>
    <w:rsid w:val="00426B6E"/>
    <w:rPr>
      <w:i/>
      <w:iCs/>
      <w:color w:val="404040" w:themeColor="text1" w:themeTint="BF"/>
    </w:rPr>
  </w:style>
  <w:style w:type="paragraph" w:styleId="Prrafodelista">
    <w:name w:val="List Paragraph"/>
    <w:basedOn w:val="Normal"/>
    <w:uiPriority w:val="34"/>
    <w:qFormat/>
    <w:rsid w:val="00426B6E"/>
    <w:pPr>
      <w:ind w:left="720"/>
      <w:contextualSpacing/>
    </w:pPr>
  </w:style>
  <w:style w:type="character" w:styleId="nfasisintenso">
    <w:name w:val="Intense Emphasis"/>
    <w:basedOn w:val="Fuentedeprrafopredeter"/>
    <w:uiPriority w:val="21"/>
    <w:qFormat/>
    <w:rsid w:val="00426B6E"/>
    <w:rPr>
      <w:i/>
      <w:iCs/>
      <w:color w:val="0F4761" w:themeColor="accent1" w:themeShade="BF"/>
    </w:rPr>
  </w:style>
  <w:style w:type="paragraph" w:styleId="Citadestacada">
    <w:name w:val="Intense Quote"/>
    <w:basedOn w:val="Normal"/>
    <w:next w:val="Normal"/>
    <w:link w:val="CitadestacadaCar"/>
    <w:uiPriority w:val="30"/>
    <w:qFormat/>
    <w:rsid w:val="00426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6B6E"/>
    <w:rPr>
      <w:i/>
      <w:iCs/>
      <w:color w:val="0F4761" w:themeColor="accent1" w:themeShade="BF"/>
    </w:rPr>
  </w:style>
  <w:style w:type="character" w:styleId="Referenciaintensa">
    <w:name w:val="Intense Reference"/>
    <w:basedOn w:val="Fuentedeprrafopredeter"/>
    <w:uiPriority w:val="32"/>
    <w:qFormat/>
    <w:rsid w:val="00426B6E"/>
    <w:rPr>
      <w:b/>
      <w:bCs/>
      <w:smallCaps/>
      <w:color w:val="0F4761" w:themeColor="accent1" w:themeShade="BF"/>
      <w:spacing w:val="5"/>
    </w:rPr>
  </w:style>
  <w:style w:type="paragraph" w:styleId="NormalWeb">
    <w:name w:val="Normal (Web)"/>
    <w:basedOn w:val="Normal"/>
    <w:uiPriority w:val="99"/>
    <w:semiHidden/>
    <w:unhideWhenUsed/>
    <w:rsid w:val="00426B6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426B6E"/>
    <w:rPr>
      <w:b/>
      <w:bCs/>
    </w:rPr>
  </w:style>
  <w:style w:type="paragraph" w:styleId="HTMLconformatoprevio">
    <w:name w:val="HTML Preformatted"/>
    <w:basedOn w:val="Normal"/>
    <w:link w:val="HTMLconformatoprevioCar"/>
    <w:uiPriority w:val="99"/>
    <w:semiHidden/>
    <w:unhideWhenUsed/>
    <w:rsid w:val="003E5D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3E5D4C"/>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3E5D4C"/>
    <w:rPr>
      <w:rFonts w:ascii="Courier New" w:eastAsia="Times New Roman" w:hAnsi="Courier New" w:cs="Courier New"/>
      <w:sz w:val="20"/>
      <w:szCs w:val="20"/>
    </w:rPr>
  </w:style>
  <w:style w:type="paragraph" w:customStyle="1" w:styleId="s4">
    <w:name w:val="s4"/>
    <w:basedOn w:val="Normal"/>
    <w:rsid w:val="00F105E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5">
    <w:name w:val="s5"/>
    <w:basedOn w:val="Fuentedeprrafopredeter"/>
    <w:rsid w:val="00F105E3"/>
  </w:style>
  <w:style w:type="character" w:customStyle="1" w:styleId="apple-converted-space">
    <w:name w:val="apple-converted-space"/>
    <w:basedOn w:val="Fuentedeprrafopredeter"/>
    <w:rsid w:val="00F105E3"/>
  </w:style>
  <w:style w:type="paragraph" w:customStyle="1" w:styleId="font-claude-response-body">
    <w:name w:val="font-claude-response-body"/>
    <w:basedOn w:val="Normal"/>
    <w:rsid w:val="00095B3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E76C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apers.ssrn.com/sol3/cf_dev/AbsByAuth.cfm?per_id=751248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56</Pages>
  <Words>22964</Words>
  <Characters>126304</Characters>
  <Application>Microsoft Office Word</Application>
  <DocSecurity>0</DocSecurity>
  <Lines>1052</Lines>
  <Paragraphs>297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Lerer</dc:creator>
  <cp:keywords/>
  <dc:description/>
  <cp:lastModifiedBy>Adrian Lerer</cp:lastModifiedBy>
  <cp:revision>13</cp:revision>
  <dcterms:created xsi:type="dcterms:W3CDTF">2025-11-21T00:03:00Z</dcterms:created>
  <dcterms:modified xsi:type="dcterms:W3CDTF">2025-11-21T03:08:00Z</dcterms:modified>
</cp:coreProperties>
</file>