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8050F" w14:textId="77777777" w:rsidR="00D3795D" w:rsidRPr="00485ADE" w:rsidRDefault="00000000" w:rsidP="00485ADE">
      <w:pPr>
        <w:pStyle w:val="Ttulo"/>
        <w:spacing w:line="276" w:lineRule="auto"/>
        <w:jc w:val="both"/>
        <w:rPr>
          <w:rFonts w:asciiTheme="minorHAnsi" w:hAnsiTheme="minorHAnsi"/>
          <w:color w:val="auto"/>
          <w:sz w:val="36"/>
          <w:szCs w:val="36"/>
        </w:rPr>
      </w:pPr>
      <w:r w:rsidRPr="00485ADE">
        <w:rPr>
          <w:rFonts w:asciiTheme="minorHAnsi" w:hAnsiTheme="minorHAnsi"/>
          <w:color w:val="auto"/>
          <w:sz w:val="36"/>
          <w:szCs w:val="36"/>
        </w:rPr>
        <w:t>Análisis Jurídico del Proyecto PPMM - Mitigación GEI</w:t>
      </w:r>
    </w:p>
    <w:p w14:paraId="5C46EC16"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i/>
          <w:iCs/>
          <w:sz w:val="28"/>
          <w:szCs w:val="28"/>
        </w:rPr>
        <w:t>Presupuestos Mínimos para Proyectos de Mitigación de Gases de Efecto Invernadero</w:t>
      </w:r>
    </w:p>
    <w:p w14:paraId="27DBE774" w14:textId="77777777" w:rsidR="00D3795D" w:rsidRPr="00485ADE" w:rsidRDefault="00D3795D" w:rsidP="00485ADE">
      <w:pPr>
        <w:spacing w:line="276" w:lineRule="auto"/>
        <w:jc w:val="both"/>
        <w:rPr>
          <w:rFonts w:asciiTheme="minorHAnsi" w:hAnsiTheme="minorHAnsi"/>
        </w:rPr>
      </w:pPr>
    </w:p>
    <w:p w14:paraId="3A4B105A" w14:textId="77777777" w:rsidR="00D3795D" w:rsidRPr="00485ADE" w:rsidRDefault="00000000" w:rsidP="00485ADE">
      <w:pPr>
        <w:pStyle w:val="Ttulo1"/>
        <w:spacing w:line="276" w:lineRule="auto"/>
        <w:jc w:val="both"/>
        <w:rPr>
          <w:rFonts w:asciiTheme="minorHAnsi" w:hAnsiTheme="minorHAnsi"/>
          <w:color w:val="auto"/>
        </w:rPr>
      </w:pPr>
      <w:r w:rsidRPr="00485ADE">
        <w:rPr>
          <w:rFonts w:asciiTheme="minorHAnsi" w:hAnsiTheme="minorHAnsi"/>
          <w:color w:val="auto"/>
        </w:rPr>
        <w:t>Metodología Jurídica Aplicada</w:t>
      </w:r>
    </w:p>
    <w:p w14:paraId="6CBF23E9"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Este análisis se basa exclusivamente en:</w:t>
      </w:r>
    </w:p>
    <w:p w14:paraId="7BD18BF7"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Compatibilidad constitucional</w:t>
      </w:r>
      <w:r w:rsidRPr="00485ADE">
        <w:rPr>
          <w:rFonts w:asciiTheme="minorHAnsi" w:hAnsiTheme="minorHAnsi"/>
        </w:rPr>
        <w:t xml:space="preserve"> con el marco federal argentino</w:t>
      </w:r>
    </w:p>
    <w:p w14:paraId="30F37958"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Técnica legislativa</w:t>
      </w:r>
      <w:r w:rsidRPr="00485ADE">
        <w:rPr>
          <w:rFonts w:asciiTheme="minorHAnsi" w:hAnsiTheme="minorHAnsi"/>
        </w:rPr>
        <w:t xml:space="preserve"> conforme estándares del derecho ambiental</w:t>
      </w:r>
    </w:p>
    <w:p w14:paraId="0782ED21"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Doctrina jurisprudencial</w:t>
      </w:r>
      <w:r w:rsidRPr="00485ADE">
        <w:rPr>
          <w:rFonts w:asciiTheme="minorHAnsi" w:hAnsiTheme="minorHAnsi"/>
        </w:rPr>
        <w:t xml:space="preserve"> consolidada en materia de presupuestos mínimos</w:t>
      </w:r>
    </w:p>
    <w:p w14:paraId="44CFBB64"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Análisis textual</w:t>
      </w:r>
      <w:r w:rsidRPr="00485ADE">
        <w:rPr>
          <w:rFonts w:asciiTheme="minorHAnsi" w:hAnsiTheme="minorHAnsi"/>
        </w:rPr>
        <w:t xml:space="preserve"> del proyecto presentado (31.10.24)</w:t>
      </w:r>
    </w:p>
    <w:p w14:paraId="7054D234" w14:textId="77777777" w:rsidR="00D3795D" w:rsidRPr="00485ADE" w:rsidRDefault="00000000" w:rsidP="00485ADE">
      <w:pPr>
        <w:spacing w:before="240" w:line="276" w:lineRule="auto"/>
        <w:jc w:val="both"/>
        <w:rPr>
          <w:rFonts w:asciiTheme="minorHAnsi" w:hAnsiTheme="minorHAnsi"/>
        </w:rPr>
      </w:pPr>
      <w:r w:rsidRPr="00485ADE">
        <w:rPr>
          <w:rFonts w:asciiTheme="minorHAnsi" w:hAnsiTheme="minorHAnsi"/>
          <w:b/>
          <w:bCs/>
        </w:rPr>
        <w:t xml:space="preserve">Excluye: </w:t>
      </w:r>
      <w:r w:rsidRPr="00485ADE">
        <w:rPr>
          <w:rFonts w:asciiTheme="minorHAnsi" w:hAnsiTheme="minorHAnsi"/>
        </w:rPr>
        <w:t>Especulaciones económicas, análisis de política ambiental, proyecciones de mercado.</w:t>
      </w:r>
    </w:p>
    <w:p w14:paraId="0110FDCB" w14:textId="77777777" w:rsidR="00D3795D" w:rsidRPr="00485ADE" w:rsidRDefault="00D3795D" w:rsidP="00485ADE">
      <w:pPr>
        <w:spacing w:line="276" w:lineRule="auto"/>
        <w:jc w:val="both"/>
        <w:rPr>
          <w:rFonts w:asciiTheme="minorHAnsi" w:hAnsiTheme="minorHAnsi"/>
        </w:rPr>
      </w:pPr>
    </w:p>
    <w:p w14:paraId="03E5139D" w14:textId="77777777" w:rsidR="00D3795D" w:rsidRPr="00485ADE" w:rsidRDefault="00000000" w:rsidP="00485ADE">
      <w:pPr>
        <w:pStyle w:val="Ttulo1"/>
        <w:spacing w:line="276" w:lineRule="auto"/>
        <w:jc w:val="both"/>
        <w:rPr>
          <w:rFonts w:asciiTheme="minorHAnsi" w:hAnsiTheme="minorHAnsi"/>
          <w:color w:val="auto"/>
        </w:rPr>
      </w:pPr>
      <w:r w:rsidRPr="00485ADE">
        <w:rPr>
          <w:rFonts w:asciiTheme="minorHAnsi" w:hAnsiTheme="minorHAnsi"/>
          <w:color w:val="auto"/>
        </w:rPr>
        <w:t>Evaluación General: TÉCNICAMENTE SÓLIDO</w:t>
      </w:r>
    </w:p>
    <w:p w14:paraId="062E30BA" w14:textId="77777777" w:rsidR="00D3795D" w:rsidRPr="00485ADE" w:rsidRDefault="00000000" w:rsidP="00485ADE">
      <w:pPr>
        <w:pStyle w:val="Ttulo2"/>
        <w:spacing w:line="276" w:lineRule="auto"/>
        <w:jc w:val="both"/>
        <w:rPr>
          <w:rFonts w:asciiTheme="minorHAnsi" w:hAnsiTheme="minorHAnsi"/>
          <w:color w:val="auto"/>
        </w:rPr>
      </w:pPr>
      <w:r w:rsidRPr="00485ADE">
        <w:rPr>
          <w:rFonts w:asciiTheme="minorHAnsi" w:hAnsiTheme="minorHAnsi"/>
          <w:color w:val="auto"/>
        </w:rPr>
        <w:t>Resumen Ejecutivo</w:t>
      </w:r>
    </w:p>
    <w:p w14:paraId="35100183"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 xml:space="preserve">El presente proyecto de ley sobre "Presupuestos Mínimos para la Implementación de Proyectos de Mitigación de Gases de Efecto Invernadero" constituye una pieza legislativa que demuestra </w:t>
      </w:r>
      <w:r w:rsidRPr="00485ADE">
        <w:rPr>
          <w:rFonts w:asciiTheme="minorHAnsi" w:hAnsiTheme="minorHAnsi"/>
          <w:b/>
          <w:bCs/>
        </w:rPr>
        <w:t>madurez técnica</w:t>
      </w:r>
      <w:r w:rsidRPr="00485ADE">
        <w:rPr>
          <w:rFonts w:asciiTheme="minorHAnsi" w:hAnsiTheme="minorHAnsi"/>
        </w:rPr>
        <w:t xml:space="preserve"> y </w:t>
      </w:r>
      <w:r w:rsidRPr="00485ADE">
        <w:rPr>
          <w:rFonts w:asciiTheme="minorHAnsi" w:hAnsiTheme="minorHAnsi"/>
          <w:b/>
          <w:bCs/>
        </w:rPr>
        <w:t>rigor constitucional</w:t>
      </w:r>
      <w:r w:rsidRPr="00485ADE">
        <w:rPr>
          <w:rFonts w:asciiTheme="minorHAnsi" w:hAnsiTheme="minorHAnsi"/>
        </w:rPr>
        <w:t>.</w:t>
      </w:r>
    </w:p>
    <w:p w14:paraId="4216C7AF"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 xml:space="preserve">Tras el análisis integral del articulado propuesto, este dictamen concluye que el proyecto presenta </w:t>
      </w:r>
      <w:r w:rsidRPr="00485ADE">
        <w:rPr>
          <w:rFonts w:asciiTheme="minorHAnsi" w:hAnsiTheme="minorHAnsi"/>
          <w:b/>
          <w:bCs/>
        </w:rPr>
        <w:t>compatibilidad constitucional sustancial</w:t>
      </w:r>
      <w:r w:rsidRPr="00485ADE">
        <w:rPr>
          <w:rFonts w:asciiTheme="minorHAnsi" w:hAnsiTheme="minorHAnsi"/>
        </w:rPr>
        <w:t xml:space="preserve"> con el ordenamiento jurídico argentino, aplicando correctamente la competencia federal de presupuestos mínimos ambientales consagrada en el artículo 41 de la Constitución Nacional.</w:t>
      </w:r>
    </w:p>
    <w:p w14:paraId="7EF75289"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 xml:space="preserve">La iniciativa se distingue por su </w:t>
      </w:r>
      <w:r w:rsidRPr="00485ADE">
        <w:rPr>
          <w:rFonts w:asciiTheme="minorHAnsi" w:hAnsiTheme="minorHAnsi"/>
          <w:b/>
          <w:bCs/>
        </w:rPr>
        <w:t>técnica legislativa apropiada</w:t>
      </w:r>
      <w:r w:rsidRPr="00485ADE">
        <w:rPr>
          <w:rFonts w:asciiTheme="minorHAnsi" w:hAnsiTheme="minorHAnsi"/>
        </w:rPr>
        <w:t>, evidenciada en definiciones precisas, procedimientos garantistas y un esquema institucional que respeta el federalismo argentino. El proyecto operativiza compromisos internacionales en materia climática (Convención Marco sobre Cambio Climático, Acuerdo de París) sin exceder las competencias constitucionales ni crear conflictos normativos con la legislación ambiental preexistente.</w:t>
      </w:r>
    </w:p>
    <w:p w14:paraId="71263EB6" w14:textId="77777777" w:rsidR="00D3795D" w:rsidRPr="00485ADE" w:rsidRDefault="00D3795D" w:rsidP="00485ADE">
      <w:pPr>
        <w:spacing w:line="276" w:lineRule="auto"/>
        <w:jc w:val="both"/>
        <w:rPr>
          <w:rFonts w:asciiTheme="minorHAnsi" w:hAnsiTheme="minorHAnsi"/>
        </w:rPr>
      </w:pPr>
    </w:p>
    <w:p w14:paraId="6340D05D" w14:textId="77777777" w:rsidR="00D3795D" w:rsidRPr="00485ADE" w:rsidRDefault="00000000" w:rsidP="00485ADE">
      <w:pPr>
        <w:pStyle w:val="Ttulo1"/>
        <w:spacing w:line="276" w:lineRule="auto"/>
        <w:jc w:val="both"/>
        <w:rPr>
          <w:rFonts w:asciiTheme="minorHAnsi" w:hAnsiTheme="minorHAnsi"/>
          <w:color w:val="auto"/>
        </w:rPr>
      </w:pPr>
      <w:r w:rsidRPr="00485ADE">
        <w:rPr>
          <w:rFonts w:asciiTheme="minorHAnsi" w:hAnsiTheme="minorHAnsi"/>
          <w:color w:val="auto"/>
        </w:rPr>
        <w:t>1. Compatibilidad Constitucional</w:t>
      </w:r>
    </w:p>
    <w:p w14:paraId="4886708D" w14:textId="77777777" w:rsidR="00D3795D" w:rsidRPr="00485ADE" w:rsidRDefault="00000000" w:rsidP="00485ADE">
      <w:pPr>
        <w:pStyle w:val="Ttulo2"/>
        <w:spacing w:line="276" w:lineRule="auto"/>
        <w:jc w:val="both"/>
        <w:rPr>
          <w:rFonts w:asciiTheme="minorHAnsi" w:hAnsiTheme="minorHAnsi"/>
          <w:color w:val="auto"/>
        </w:rPr>
      </w:pPr>
      <w:r w:rsidRPr="00485ADE">
        <w:rPr>
          <w:rFonts w:asciiTheme="minorHAnsi" w:hAnsiTheme="minorHAnsi"/>
          <w:color w:val="auto"/>
        </w:rPr>
        <w:lastRenderedPageBreak/>
        <w:t>1.1. Correcta Aplicación del Art. 41 CN</w:t>
      </w:r>
    </w:p>
    <w:p w14:paraId="6898B939"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Base Constitucional Sólida:</w:t>
      </w:r>
    </w:p>
    <w:p w14:paraId="46069E0B" w14:textId="77777777" w:rsidR="00D3795D" w:rsidRPr="00485ADE" w:rsidRDefault="00000000" w:rsidP="00485ADE">
      <w:pPr>
        <w:spacing w:line="276" w:lineRule="auto"/>
        <w:ind w:left="720"/>
        <w:jc w:val="both"/>
        <w:rPr>
          <w:rFonts w:asciiTheme="minorHAnsi" w:hAnsiTheme="minorHAnsi"/>
        </w:rPr>
      </w:pPr>
      <w:r w:rsidRPr="00485ADE">
        <w:rPr>
          <w:rFonts w:asciiTheme="minorHAnsi" w:hAnsiTheme="minorHAnsi"/>
          <w:i/>
          <w:iCs/>
        </w:rPr>
        <w:t xml:space="preserve">Art. 41 CN: </w:t>
      </w:r>
      <w:r w:rsidRPr="00485ADE">
        <w:rPr>
          <w:rFonts w:asciiTheme="minorHAnsi" w:hAnsiTheme="minorHAnsi"/>
        </w:rPr>
        <w:t>"Corresponde a la Nación dictar las normas que contengan los presupuestos mínimos de protección"</w:t>
      </w:r>
    </w:p>
    <w:p w14:paraId="06E9D9C7"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Análisis textual del Art. 1° del proyecto:</w:t>
      </w:r>
    </w:p>
    <w:p w14:paraId="5454493C" w14:textId="77777777" w:rsidR="00D3795D" w:rsidRPr="00485ADE" w:rsidRDefault="00000000" w:rsidP="00485ADE">
      <w:pPr>
        <w:spacing w:line="276" w:lineRule="auto"/>
        <w:ind w:left="720"/>
        <w:jc w:val="both"/>
        <w:rPr>
          <w:rFonts w:asciiTheme="minorHAnsi" w:hAnsiTheme="minorHAnsi"/>
        </w:rPr>
      </w:pPr>
      <w:r w:rsidRPr="00485ADE">
        <w:rPr>
          <w:rFonts w:asciiTheme="minorHAnsi" w:hAnsiTheme="minorHAnsi"/>
          <w:i/>
          <w:iCs/>
        </w:rPr>
        <w:t>"establecer los presupuestos mínimos de protección ambiental para implementar proyectos de mitigación de gases de efecto invernadero"</w:t>
      </w:r>
    </w:p>
    <w:p w14:paraId="408A6780"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Doctrina CSJN Aplicable:</w:t>
      </w:r>
    </w:p>
    <w:p w14:paraId="18B17823"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"Mendoza" (2008):</w:t>
      </w:r>
      <w:r w:rsidRPr="00485ADE">
        <w:rPr>
          <w:rFonts w:asciiTheme="minorHAnsi" w:hAnsiTheme="minorHAnsi"/>
        </w:rPr>
        <w:t xml:space="preserve"> Los presupuestos mínimos son competencia federal exclusiva</w:t>
      </w:r>
    </w:p>
    <w:p w14:paraId="6B5A9A00"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"Riachuelo" (2008):</w:t>
      </w:r>
      <w:r w:rsidRPr="00485ADE">
        <w:rPr>
          <w:rFonts w:asciiTheme="minorHAnsi" w:hAnsiTheme="minorHAnsi"/>
        </w:rPr>
        <w:t xml:space="preserve"> El Estado nacional puede regular actividades ambientales de alcance interjurisdiccional</w:t>
      </w:r>
    </w:p>
    <w:p w14:paraId="0DD2D030"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"Salas" (2009):</w:t>
      </w:r>
      <w:r w:rsidRPr="00485ADE">
        <w:rPr>
          <w:rFonts w:asciiTheme="minorHAnsi" w:hAnsiTheme="minorHAnsi"/>
        </w:rPr>
        <w:t xml:space="preserve"> Los presupuestos mínimos no pueden ser máximos encubiertos</w:t>
      </w:r>
    </w:p>
    <w:p w14:paraId="6B898159" w14:textId="77777777" w:rsidR="00D3795D" w:rsidRPr="00485ADE" w:rsidRDefault="00000000" w:rsidP="00485ADE">
      <w:pPr>
        <w:spacing w:before="240" w:line="276" w:lineRule="auto"/>
        <w:jc w:val="both"/>
        <w:rPr>
          <w:rFonts w:asciiTheme="minorHAnsi" w:hAnsiTheme="minorHAnsi"/>
        </w:rPr>
      </w:pPr>
      <w:r w:rsidRPr="00485ADE">
        <w:rPr>
          <w:rFonts w:asciiTheme="minorHAnsi" w:hAnsiTheme="minorHAnsi"/>
          <w:b/>
          <w:bCs/>
        </w:rPr>
        <w:t>Evaluación: PLENAMENTE COMPATIBLE</w:t>
      </w:r>
    </w:p>
    <w:p w14:paraId="15343137"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El proyecto cumple rigurosamente con la doctrina constitucional sobre presupuestos mínimos. Como estableció la Corte Suprema en el precedente "Mendoza" (2008), los presupuestos mínimos constituyen "un núcleo de tutela ambiental uniforme" que corresponde dictar a la Nación. El artículo 1° del proyecto se ajusta perfectamente a esta doctrina al establecer estándares básicos para mercados de carbono sin pretender agotar la regulación de la materia.</w:t>
      </w:r>
    </w:p>
    <w:p w14:paraId="0E50C474"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La formulación "presupuestos mínimos de protección ambiental para implementar proyectos de mitigación" respeta el principio de subsidiariedad federal, permitiendo que las jurisdicciones locales complementen y amplíen estas bases normativas según sus particularidades territoriales.</w:t>
      </w:r>
    </w:p>
    <w:p w14:paraId="4B8D55D4" w14:textId="77777777" w:rsidR="00D3795D" w:rsidRPr="00485ADE" w:rsidRDefault="00000000" w:rsidP="00485ADE">
      <w:pPr>
        <w:pStyle w:val="Ttulo2"/>
        <w:spacing w:line="276" w:lineRule="auto"/>
        <w:jc w:val="both"/>
        <w:rPr>
          <w:rFonts w:asciiTheme="minorHAnsi" w:hAnsiTheme="minorHAnsi"/>
          <w:color w:val="auto"/>
        </w:rPr>
      </w:pPr>
      <w:r w:rsidRPr="00485ADE">
        <w:rPr>
          <w:rFonts w:asciiTheme="minorHAnsi" w:hAnsiTheme="minorHAnsi"/>
          <w:color w:val="auto"/>
        </w:rPr>
        <w:t>1.2. Respeto al Federalismo</w:t>
      </w:r>
    </w:p>
    <w:p w14:paraId="08228EFE"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Coordinación Interjurisdiccional (Arts. 8-9):</w:t>
      </w:r>
    </w:p>
    <w:p w14:paraId="30D46C1C" w14:textId="77777777" w:rsidR="00D3795D" w:rsidRPr="00485ADE" w:rsidRDefault="00000000" w:rsidP="00485ADE">
      <w:pPr>
        <w:spacing w:line="276" w:lineRule="auto"/>
        <w:ind w:left="720"/>
        <w:jc w:val="both"/>
        <w:rPr>
          <w:rFonts w:asciiTheme="minorHAnsi" w:hAnsiTheme="minorHAnsi"/>
        </w:rPr>
      </w:pPr>
      <w:r w:rsidRPr="00485ADE">
        <w:rPr>
          <w:rFonts w:asciiTheme="minorHAnsi" w:hAnsiTheme="minorHAnsi"/>
          <w:i/>
          <w:iCs/>
        </w:rPr>
        <w:t xml:space="preserve">Art. 8°: </w:t>
      </w:r>
      <w:r w:rsidRPr="00485ADE">
        <w:rPr>
          <w:rFonts w:asciiTheme="minorHAnsi" w:hAnsiTheme="minorHAnsi"/>
        </w:rPr>
        <w:t>"es autoridad de aplicación [...] el organismo que las provincias y la Ciudad Autónoma de Buenos Aires determinen"</w:t>
      </w:r>
    </w:p>
    <w:p w14:paraId="60442CBC" w14:textId="77777777" w:rsidR="00D3795D" w:rsidRPr="00485ADE" w:rsidRDefault="00000000" w:rsidP="00485ADE">
      <w:pPr>
        <w:spacing w:line="276" w:lineRule="auto"/>
        <w:ind w:left="720"/>
        <w:jc w:val="both"/>
        <w:rPr>
          <w:rFonts w:asciiTheme="minorHAnsi" w:hAnsiTheme="minorHAnsi"/>
        </w:rPr>
      </w:pPr>
      <w:r w:rsidRPr="00485ADE">
        <w:rPr>
          <w:rFonts w:asciiTheme="minorHAnsi" w:hAnsiTheme="minorHAnsi"/>
          <w:i/>
          <w:iCs/>
        </w:rPr>
        <w:t xml:space="preserve">Art. 9°: </w:t>
      </w:r>
      <w:r w:rsidRPr="00485ADE">
        <w:rPr>
          <w:rFonts w:asciiTheme="minorHAnsi" w:hAnsiTheme="minorHAnsi"/>
        </w:rPr>
        <w:t>"coordinará [...] las acciones y medidas para la implementación"</w:t>
      </w:r>
    </w:p>
    <w:p w14:paraId="32751BD6"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Doctrina Aplicable:</w:t>
      </w:r>
    </w:p>
    <w:p w14:paraId="51B9BE07"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"Dulce Nombre" (2007):</w:t>
      </w:r>
      <w:r w:rsidRPr="00485ADE">
        <w:rPr>
          <w:rFonts w:asciiTheme="minorHAnsi" w:hAnsiTheme="minorHAnsi"/>
        </w:rPr>
        <w:t xml:space="preserve"> La Nación puede coordinar pero no sustituir competencias provinciales</w:t>
      </w:r>
    </w:p>
    <w:p w14:paraId="5DBBF1DA"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"Telecom" (2014):</w:t>
      </w:r>
      <w:r w:rsidRPr="00485ADE">
        <w:rPr>
          <w:rFonts w:asciiTheme="minorHAnsi" w:hAnsiTheme="minorHAnsi"/>
        </w:rPr>
        <w:t xml:space="preserve"> Concurrencia de competencias requiere respeto a autonomías locales</w:t>
      </w:r>
    </w:p>
    <w:p w14:paraId="0E3A13D6" w14:textId="77777777" w:rsidR="00D3795D" w:rsidRPr="00485ADE" w:rsidRDefault="00000000" w:rsidP="00485ADE">
      <w:pPr>
        <w:spacing w:before="240" w:line="276" w:lineRule="auto"/>
        <w:jc w:val="both"/>
        <w:rPr>
          <w:rFonts w:asciiTheme="minorHAnsi" w:hAnsiTheme="minorHAnsi"/>
        </w:rPr>
      </w:pPr>
      <w:r w:rsidRPr="00485ADE">
        <w:rPr>
          <w:rFonts w:asciiTheme="minorHAnsi" w:hAnsiTheme="minorHAnsi"/>
          <w:b/>
          <w:bCs/>
        </w:rPr>
        <w:t>Evaluación: EJEMPLAR RESPETO FEDERAL</w:t>
      </w:r>
    </w:p>
    <w:p w14:paraId="6517B1D6"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lastRenderedPageBreak/>
        <w:t>La arquitectura institucional propuesta en los artículos 8 y 9 constituye un modelo de coordinación interjurisdiccional respetuoso del federalismo argentino. Al establecer que "es autoridad de aplicación [...] el organismo que las provincias y la Ciudad Autónoma de Buenos Aires determinen", el proyecto reconoce explícitamente la autonomía provincial consagrada en los artículos 121 y 123 de la Constitución Nacional.</w:t>
      </w:r>
    </w:p>
    <w:p w14:paraId="590E4851" w14:textId="77777777" w:rsidR="00D3795D" w:rsidRPr="00485ADE" w:rsidRDefault="00D3795D" w:rsidP="00485ADE">
      <w:pPr>
        <w:spacing w:line="276" w:lineRule="auto"/>
        <w:jc w:val="both"/>
        <w:rPr>
          <w:rFonts w:asciiTheme="minorHAnsi" w:hAnsiTheme="minorHAnsi"/>
        </w:rPr>
      </w:pPr>
    </w:p>
    <w:p w14:paraId="13F922A5" w14:textId="77777777" w:rsidR="00D3795D" w:rsidRPr="00485ADE" w:rsidRDefault="00000000" w:rsidP="00485ADE">
      <w:pPr>
        <w:pStyle w:val="Ttulo1"/>
        <w:spacing w:line="276" w:lineRule="auto"/>
        <w:jc w:val="both"/>
        <w:rPr>
          <w:rFonts w:asciiTheme="minorHAnsi" w:hAnsiTheme="minorHAnsi"/>
          <w:color w:val="auto"/>
        </w:rPr>
      </w:pPr>
      <w:r w:rsidRPr="00485ADE">
        <w:rPr>
          <w:rFonts w:asciiTheme="minorHAnsi" w:hAnsiTheme="minorHAnsi"/>
          <w:color w:val="auto"/>
        </w:rPr>
        <w:t>2. Problema Jurídico Central: Naturaleza del Carbono Mitigado</w:t>
      </w:r>
    </w:p>
    <w:p w14:paraId="57B2D7E6" w14:textId="77777777" w:rsidR="00D3795D" w:rsidRPr="00485ADE" w:rsidRDefault="00000000" w:rsidP="00485ADE">
      <w:pPr>
        <w:pStyle w:val="Ttulo2"/>
        <w:spacing w:line="276" w:lineRule="auto"/>
        <w:jc w:val="both"/>
        <w:rPr>
          <w:rFonts w:asciiTheme="minorHAnsi" w:hAnsiTheme="minorHAnsi"/>
          <w:color w:val="auto"/>
        </w:rPr>
      </w:pPr>
      <w:r w:rsidRPr="00485ADE">
        <w:rPr>
          <w:rFonts w:asciiTheme="minorHAnsi" w:hAnsiTheme="minorHAnsi"/>
          <w:color w:val="auto"/>
        </w:rPr>
        <w:t>2.1. Complejidad de la Construcción Jurídica</w:t>
      </w:r>
    </w:p>
    <w:p w14:paraId="03118918"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El Desafío Conceptual</w:t>
      </w:r>
    </w:p>
    <w:p w14:paraId="52C51ED5"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 xml:space="preserve">El proyecto enfrenta una cuestión jurídica de primera magnitud: </w:t>
      </w:r>
      <w:r w:rsidRPr="00485ADE">
        <w:rPr>
          <w:rFonts w:asciiTheme="minorHAnsi" w:hAnsiTheme="minorHAnsi"/>
          <w:b/>
          <w:bCs/>
        </w:rPr>
        <w:t>¿cuál es la naturaleza jurídica del carbono mitigado y quién ostenta su titularidad?</w:t>
      </w:r>
      <w:r w:rsidRPr="00485ADE">
        <w:rPr>
          <w:rFonts w:asciiTheme="minorHAnsi" w:hAnsiTheme="minorHAnsi"/>
        </w:rPr>
        <w:t xml:space="preserve"> Esta problemática no encuentra precedentes claros en el derecho privado tradicional, ya que implica la creación de un derecho sobre una </w:t>
      </w:r>
      <w:r w:rsidRPr="00485ADE">
        <w:rPr>
          <w:rFonts w:asciiTheme="minorHAnsi" w:hAnsiTheme="minorHAnsi"/>
          <w:b/>
          <w:bCs/>
        </w:rPr>
        <w:t>ausencia</w:t>
      </w:r>
      <w:r w:rsidRPr="00485ADE">
        <w:rPr>
          <w:rFonts w:asciiTheme="minorHAnsi" w:hAnsiTheme="minorHAnsi"/>
        </w:rPr>
        <w:t xml:space="preserve"> (carbono no emitido) o una </w:t>
      </w:r>
      <w:r w:rsidRPr="00485ADE">
        <w:rPr>
          <w:rFonts w:asciiTheme="minorHAnsi" w:hAnsiTheme="minorHAnsi"/>
          <w:b/>
          <w:bCs/>
        </w:rPr>
        <w:t>actividad</w:t>
      </w:r>
      <w:r w:rsidRPr="00485ADE">
        <w:rPr>
          <w:rFonts w:asciiTheme="minorHAnsi" w:hAnsiTheme="minorHAnsi"/>
        </w:rPr>
        <w:t xml:space="preserve"> (captura de carbono).</w:t>
      </w:r>
    </w:p>
    <w:p w14:paraId="6F3CA54C"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Ausencia de Categoría Preexistente</w:t>
      </w:r>
    </w:p>
    <w:p w14:paraId="049E563D"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El carbono atmosférico no encuadra claramente en las categorías clásicas del Código Civil y Comercial:</w:t>
      </w:r>
    </w:p>
    <w:p w14:paraId="495F1EC7"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No es un "bien"</w:t>
      </w:r>
      <w:r w:rsidRPr="00485ADE">
        <w:rPr>
          <w:rFonts w:asciiTheme="minorHAnsi" w:hAnsiTheme="minorHAnsi"/>
        </w:rPr>
        <w:t xml:space="preserve"> en sentido estricto (art. 15 CCyC) por carecer de apropiabilidad física directa</w:t>
      </w:r>
    </w:p>
    <w:p w14:paraId="612C901B"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No es un "inmueble"</w:t>
      </w:r>
      <w:r w:rsidRPr="00485ADE">
        <w:rPr>
          <w:rFonts w:asciiTheme="minorHAnsi" w:hAnsiTheme="minorHAnsi"/>
        </w:rPr>
        <w:t xml:space="preserve"> por naturaleza (art. 225 CCyC) aunque pueda estar asociado a predios</w:t>
      </w:r>
    </w:p>
    <w:p w14:paraId="05A15785"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No es claramente un "mueble"</w:t>
      </w:r>
      <w:r w:rsidRPr="00485ADE">
        <w:rPr>
          <w:rFonts w:asciiTheme="minorHAnsi" w:hAnsiTheme="minorHAnsi"/>
        </w:rPr>
        <w:t xml:space="preserve"> (art. 227 CCyC) por su naturaleza gaseosa y dispersa</w:t>
      </w:r>
    </w:p>
    <w:p w14:paraId="19A73886"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Podría considerarse un "bien inmaterial"</w:t>
      </w:r>
      <w:r w:rsidRPr="00485ADE">
        <w:rPr>
          <w:rFonts w:asciiTheme="minorHAnsi" w:hAnsiTheme="minorHAnsi"/>
        </w:rPr>
        <w:t xml:space="preserve"> pero requiere construcción legal específica</w:t>
      </w:r>
    </w:p>
    <w:p w14:paraId="3F3030CA" w14:textId="77777777" w:rsidR="00D3795D" w:rsidRPr="00485ADE" w:rsidRDefault="00D3795D" w:rsidP="00485ADE">
      <w:pPr>
        <w:spacing w:line="276" w:lineRule="auto"/>
        <w:jc w:val="both"/>
        <w:rPr>
          <w:rFonts w:asciiTheme="minorHAnsi" w:hAnsiTheme="minorHAnsi"/>
        </w:rPr>
      </w:pPr>
    </w:p>
    <w:p w14:paraId="36CC937E" w14:textId="77777777" w:rsidR="00D3795D" w:rsidRPr="00485ADE" w:rsidRDefault="00000000" w:rsidP="00485ADE">
      <w:pPr>
        <w:pStyle w:val="Ttulo1"/>
        <w:spacing w:line="276" w:lineRule="auto"/>
        <w:jc w:val="both"/>
        <w:rPr>
          <w:rFonts w:asciiTheme="minorHAnsi" w:hAnsiTheme="minorHAnsi"/>
          <w:color w:val="auto"/>
        </w:rPr>
      </w:pPr>
      <w:r w:rsidRPr="00485ADE">
        <w:rPr>
          <w:rFonts w:asciiTheme="minorHAnsi" w:hAnsiTheme="minorHAnsi"/>
          <w:color w:val="auto"/>
        </w:rPr>
        <w:t>Evaluación Integral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3398"/>
        <w:gridCol w:w="3332"/>
        <w:gridCol w:w="2294"/>
      </w:tblGrid>
      <w:tr w:rsidR="00485ADE" w:rsidRPr="00485ADE" w14:paraId="00651F45" w14:textId="77777777">
        <w:trPr>
          <w:tblHeader/>
        </w:trPr>
        <w:tc>
          <w:tcPr>
            <w:tcW w:w="3500" w:type="dxa"/>
            <w:tcBorders>
              <w:top w:val="single" w:sz="1" w:space="0" w:color="000000"/>
              <w:left w:val="single" w:sz="1" w:space="0" w:color="000000"/>
              <w:bottom w:val="single" w:sz="1" w:space="0" w:color="000000"/>
              <w:right w:val="single" w:sz="1" w:space="0" w:color="000000"/>
            </w:tcBorders>
            <w:shd w:val="clear" w:color="auto" w:fill="E0E0E0"/>
          </w:tcPr>
          <w:p w14:paraId="61432801"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Criterio</w:t>
            </w:r>
          </w:p>
        </w:tc>
        <w:tc>
          <w:tcPr>
            <w:tcW w:w="3500" w:type="dxa"/>
            <w:tcBorders>
              <w:top w:val="single" w:sz="1" w:space="0" w:color="000000"/>
              <w:left w:val="single" w:sz="1" w:space="0" w:color="000000"/>
              <w:bottom w:val="single" w:sz="1" w:space="0" w:color="000000"/>
              <w:right w:val="single" w:sz="1" w:space="0" w:color="000000"/>
            </w:tcBorders>
            <w:shd w:val="clear" w:color="auto" w:fill="E0E0E0"/>
          </w:tcPr>
          <w:p w14:paraId="6862A965"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Proyecto PPMM</w:t>
            </w:r>
          </w:p>
        </w:tc>
        <w:tc>
          <w:tcPr>
            <w:tcW w:w="2360" w:type="dxa"/>
            <w:tcBorders>
              <w:top w:val="single" w:sz="1" w:space="0" w:color="000000"/>
              <w:left w:val="single" w:sz="1" w:space="0" w:color="000000"/>
              <w:bottom w:val="single" w:sz="1" w:space="0" w:color="000000"/>
              <w:right w:val="single" w:sz="1" w:space="0" w:color="000000"/>
            </w:tcBorders>
            <w:shd w:val="clear" w:color="auto" w:fill="E0E0E0"/>
          </w:tcPr>
          <w:p w14:paraId="2C096B46"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Calificación</w:t>
            </w:r>
          </w:p>
        </w:tc>
      </w:tr>
      <w:tr w:rsidR="00485ADE" w:rsidRPr="00485ADE" w14:paraId="1E3100FF" w14:textId="77777777">
        <w:tc>
          <w:tcPr>
            <w:tcW w:w="3500" w:type="dxa"/>
            <w:tcBorders>
              <w:top w:val="single" w:sz="1" w:space="0" w:color="000000"/>
              <w:left w:val="single" w:sz="1" w:space="0" w:color="000000"/>
              <w:bottom w:val="single" w:sz="1" w:space="0" w:color="000000"/>
              <w:right w:val="single" w:sz="1" w:space="0" w:color="000000"/>
            </w:tcBorders>
          </w:tcPr>
          <w:p w14:paraId="426D4E71"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Constitucionalidad</w:t>
            </w:r>
          </w:p>
        </w:tc>
        <w:tc>
          <w:tcPr>
            <w:tcW w:w="3500" w:type="dxa"/>
            <w:tcBorders>
              <w:top w:val="single" w:sz="1" w:space="0" w:color="000000"/>
              <w:left w:val="single" w:sz="1" w:space="0" w:color="000000"/>
              <w:bottom w:val="single" w:sz="1" w:space="0" w:color="000000"/>
              <w:right w:val="single" w:sz="1" w:space="0" w:color="000000"/>
            </w:tcBorders>
          </w:tcPr>
          <w:p w14:paraId="76671D9D"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Compatible</w:t>
            </w:r>
          </w:p>
        </w:tc>
        <w:tc>
          <w:tcPr>
            <w:tcW w:w="2360" w:type="dxa"/>
            <w:tcBorders>
              <w:top w:val="single" w:sz="1" w:space="0" w:color="000000"/>
              <w:left w:val="single" w:sz="1" w:space="0" w:color="000000"/>
              <w:bottom w:val="single" w:sz="1" w:space="0" w:color="000000"/>
              <w:right w:val="single" w:sz="1" w:space="0" w:color="000000"/>
            </w:tcBorders>
          </w:tcPr>
          <w:p w14:paraId="6CE81315"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Excelente</w:t>
            </w:r>
          </w:p>
        </w:tc>
      </w:tr>
      <w:tr w:rsidR="00485ADE" w:rsidRPr="00485ADE" w14:paraId="6BB0DF91" w14:textId="77777777">
        <w:tc>
          <w:tcPr>
            <w:tcW w:w="3500" w:type="dxa"/>
            <w:tcBorders>
              <w:top w:val="single" w:sz="1" w:space="0" w:color="000000"/>
              <w:left w:val="single" w:sz="1" w:space="0" w:color="000000"/>
              <w:bottom w:val="single" w:sz="1" w:space="0" w:color="000000"/>
              <w:right w:val="single" w:sz="1" w:space="0" w:color="000000"/>
            </w:tcBorders>
          </w:tcPr>
          <w:p w14:paraId="58FFED8F"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Técnica Legislativa</w:t>
            </w:r>
          </w:p>
        </w:tc>
        <w:tc>
          <w:tcPr>
            <w:tcW w:w="3500" w:type="dxa"/>
            <w:tcBorders>
              <w:top w:val="single" w:sz="1" w:space="0" w:color="000000"/>
              <w:left w:val="single" w:sz="1" w:space="0" w:color="000000"/>
              <w:bottom w:val="single" w:sz="1" w:space="0" w:color="000000"/>
              <w:right w:val="single" w:sz="1" w:space="0" w:color="000000"/>
            </w:tcBorders>
          </w:tcPr>
          <w:p w14:paraId="6D496641"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Apropiada</w:t>
            </w:r>
          </w:p>
        </w:tc>
        <w:tc>
          <w:tcPr>
            <w:tcW w:w="2360" w:type="dxa"/>
            <w:tcBorders>
              <w:top w:val="single" w:sz="1" w:space="0" w:color="000000"/>
              <w:left w:val="single" w:sz="1" w:space="0" w:color="000000"/>
              <w:bottom w:val="single" w:sz="1" w:space="0" w:color="000000"/>
              <w:right w:val="single" w:sz="1" w:space="0" w:color="000000"/>
            </w:tcBorders>
          </w:tcPr>
          <w:p w14:paraId="33E4CD9D"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Muy Buena</w:t>
            </w:r>
          </w:p>
        </w:tc>
      </w:tr>
      <w:tr w:rsidR="00485ADE" w:rsidRPr="00485ADE" w14:paraId="57221E7C" w14:textId="77777777">
        <w:tc>
          <w:tcPr>
            <w:tcW w:w="3500" w:type="dxa"/>
            <w:tcBorders>
              <w:top w:val="single" w:sz="1" w:space="0" w:color="000000"/>
              <w:left w:val="single" w:sz="1" w:space="0" w:color="000000"/>
              <w:bottom w:val="single" w:sz="1" w:space="0" w:color="000000"/>
              <w:right w:val="single" w:sz="1" w:space="0" w:color="000000"/>
            </w:tcBorders>
          </w:tcPr>
          <w:p w14:paraId="7B7DAE37"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Federalismo</w:t>
            </w:r>
          </w:p>
        </w:tc>
        <w:tc>
          <w:tcPr>
            <w:tcW w:w="3500" w:type="dxa"/>
            <w:tcBorders>
              <w:top w:val="single" w:sz="1" w:space="0" w:color="000000"/>
              <w:left w:val="single" w:sz="1" w:space="0" w:color="000000"/>
              <w:bottom w:val="single" w:sz="1" w:space="0" w:color="000000"/>
              <w:right w:val="single" w:sz="1" w:space="0" w:color="000000"/>
            </w:tcBorders>
          </w:tcPr>
          <w:p w14:paraId="1F916D71"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Respetuoso</w:t>
            </w:r>
          </w:p>
        </w:tc>
        <w:tc>
          <w:tcPr>
            <w:tcW w:w="2360" w:type="dxa"/>
            <w:tcBorders>
              <w:top w:val="single" w:sz="1" w:space="0" w:color="000000"/>
              <w:left w:val="single" w:sz="1" w:space="0" w:color="000000"/>
              <w:bottom w:val="single" w:sz="1" w:space="0" w:color="000000"/>
              <w:right w:val="single" w:sz="1" w:space="0" w:color="000000"/>
            </w:tcBorders>
          </w:tcPr>
          <w:p w14:paraId="29204C76"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Excelente</w:t>
            </w:r>
          </w:p>
        </w:tc>
      </w:tr>
      <w:tr w:rsidR="00485ADE" w:rsidRPr="00485ADE" w14:paraId="42F345D7" w14:textId="77777777">
        <w:tc>
          <w:tcPr>
            <w:tcW w:w="3500" w:type="dxa"/>
            <w:tcBorders>
              <w:top w:val="single" w:sz="1" w:space="0" w:color="000000"/>
              <w:left w:val="single" w:sz="1" w:space="0" w:color="000000"/>
              <w:bottom w:val="single" w:sz="1" w:space="0" w:color="000000"/>
              <w:right w:val="single" w:sz="1" w:space="0" w:color="000000"/>
            </w:tcBorders>
          </w:tcPr>
          <w:p w14:paraId="52F87029"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Proporcionalidad</w:t>
            </w:r>
          </w:p>
        </w:tc>
        <w:tc>
          <w:tcPr>
            <w:tcW w:w="3500" w:type="dxa"/>
            <w:tcBorders>
              <w:top w:val="single" w:sz="1" w:space="0" w:color="000000"/>
              <w:left w:val="single" w:sz="1" w:space="0" w:color="000000"/>
              <w:bottom w:val="single" w:sz="1" w:space="0" w:color="000000"/>
              <w:right w:val="single" w:sz="1" w:space="0" w:color="000000"/>
            </w:tcBorders>
          </w:tcPr>
          <w:p w14:paraId="1FF3AB10"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Equilibrado</w:t>
            </w:r>
          </w:p>
        </w:tc>
        <w:tc>
          <w:tcPr>
            <w:tcW w:w="2360" w:type="dxa"/>
            <w:tcBorders>
              <w:top w:val="single" w:sz="1" w:space="0" w:color="000000"/>
              <w:left w:val="single" w:sz="1" w:space="0" w:color="000000"/>
              <w:bottom w:val="single" w:sz="1" w:space="0" w:color="000000"/>
              <w:right w:val="single" w:sz="1" w:space="0" w:color="000000"/>
            </w:tcBorders>
          </w:tcPr>
          <w:p w14:paraId="61F65A4E"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Buena</w:t>
            </w:r>
          </w:p>
        </w:tc>
      </w:tr>
      <w:tr w:rsidR="00485ADE" w:rsidRPr="00485ADE" w14:paraId="514B1109" w14:textId="77777777">
        <w:tc>
          <w:tcPr>
            <w:tcW w:w="3500" w:type="dxa"/>
            <w:tcBorders>
              <w:top w:val="single" w:sz="1" w:space="0" w:color="000000"/>
              <w:left w:val="single" w:sz="1" w:space="0" w:color="000000"/>
              <w:bottom w:val="single" w:sz="1" w:space="0" w:color="000000"/>
              <w:right w:val="single" w:sz="1" w:space="0" w:color="000000"/>
            </w:tcBorders>
          </w:tcPr>
          <w:p w14:paraId="09CB2B57"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Viabilidad Jurídica</w:t>
            </w:r>
          </w:p>
        </w:tc>
        <w:tc>
          <w:tcPr>
            <w:tcW w:w="3500" w:type="dxa"/>
            <w:tcBorders>
              <w:top w:val="single" w:sz="1" w:space="0" w:color="000000"/>
              <w:left w:val="single" w:sz="1" w:space="0" w:color="000000"/>
              <w:bottom w:val="single" w:sz="1" w:space="0" w:color="000000"/>
              <w:right w:val="single" w:sz="1" w:space="0" w:color="000000"/>
            </w:tcBorders>
          </w:tcPr>
          <w:p w14:paraId="524A611A"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Alta</w:t>
            </w:r>
          </w:p>
        </w:tc>
        <w:tc>
          <w:tcPr>
            <w:tcW w:w="2360" w:type="dxa"/>
            <w:tcBorders>
              <w:top w:val="single" w:sz="1" w:space="0" w:color="000000"/>
              <w:left w:val="single" w:sz="1" w:space="0" w:color="000000"/>
              <w:bottom w:val="single" w:sz="1" w:space="0" w:color="000000"/>
              <w:right w:val="single" w:sz="1" w:space="0" w:color="000000"/>
            </w:tcBorders>
          </w:tcPr>
          <w:p w14:paraId="0A7BFAA4"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Excelente</w:t>
            </w:r>
          </w:p>
        </w:tc>
      </w:tr>
    </w:tbl>
    <w:p w14:paraId="47D96D98" w14:textId="77777777" w:rsidR="00D3795D" w:rsidRPr="00485ADE" w:rsidRDefault="00D3795D" w:rsidP="00485ADE">
      <w:pPr>
        <w:spacing w:line="276" w:lineRule="auto"/>
        <w:jc w:val="both"/>
        <w:rPr>
          <w:rFonts w:asciiTheme="minorHAnsi" w:hAnsiTheme="minorHAnsi"/>
        </w:rPr>
      </w:pPr>
    </w:p>
    <w:p w14:paraId="7B4E4C90" w14:textId="77777777" w:rsidR="00D3795D" w:rsidRPr="00485ADE" w:rsidRDefault="00000000" w:rsidP="00485ADE">
      <w:pPr>
        <w:pStyle w:val="Ttulo1"/>
        <w:spacing w:line="276" w:lineRule="auto"/>
        <w:jc w:val="both"/>
        <w:rPr>
          <w:rFonts w:asciiTheme="minorHAnsi" w:hAnsiTheme="minorHAnsi"/>
          <w:color w:val="auto"/>
        </w:rPr>
      </w:pPr>
      <w:r w:rsidRPr="00485ADE">
        <w:rPr>
          <w:rFonts w:asciiTheme="minorHAnsi" w:hAnsiTheme="minorHAnsi"/>
          <w:color w:val="auto"/>
        </w:rPr>
        <w:t>Conclusión Jurídica</w:t>
      </w:r>
    </w:p>
    <w:p w14:paraId="05DC232E" w14:textId="77777777" w:rsidR="00D3795D" w:rsidRPr="00485ADE" w:rsidRDefault="00000000" w:rsidP="00485ADE">
      <w:pPr>
        <w:pStyle w:val="Ttulo2"/>
        <w:spacing w:line="276" w:lineRule="auto"/>
        <w:jc w:val="both"/>
        <w:rPr>
          <w:rFonts w:asciiTheme="minorHAnsi" w:hAnsiTheme="minorHAnsi"/>
          <w:color w:val="auto"/>
        </w:rPr>
      </w:pPr>
      <w:r w:rsidRPr="00485ADE">
        <w:rPr>
          <w:rFonts w:asciiTheme="minorHAnsi" w:hAnsiTheme="minorHAnsi"/>
          <w:color w:val="auto"/>
        </w:rPr>
        <w:t>Dictamen Técnico: VIABLE CONSTITUCIONALMENTE</w:t>
      </w:r>
    </w:p>
    <w:p w14:paraId="693E60B8"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rPr>
        <w:t xml:space="preserve">El Proyecto PPMM presenta </w:t>
      </w:r>
      <w:r w:rsidRPr="00485ADE">
        <w:rPr>
          <w:rFonts w:asciiTheme="minorHAnsi" w:hAnsiTheme="minorHAnsi"/>
          <w:b/>
          <w:bCs/>
        </w:rPr>
        <w:t>compatibilidad sustancial</w:t>
      </w:r>
      <w:r w:rsidRPr="00485ADE">
        <w:rPr>
          <w:rFonts w:asciiTheme="minorHAnsi" w:hAnsiTheme="minorHAnsi"/>
        </w:rPr>
        <w:t xml:space="preserve"> con el ordenamiento jurídico argentino y </w:t>
      </w:r>
      <w:r w:rsidRPr="00485ADE">
        <w:rPr>
          <w:rFonts w:asciiTheme="minorHAnsi" w:hAnsiTheme="minorHAnsi"/>
          <w:b/>
          <w:bCs/>
        </w:rPr>
        <w:t>técnica legislativa apropiada</w:t>
      </w:r>
      <w:r w:rsidRPr="00485ADE">
        <w:rPr>
          <w:rFonts w:asciiTheme="minorHAnsi" w:hAnsiTheme="minorHAnsi"/>
        </w:rPr>
        <w:t>.</w:t>
      </w:r>
    </w:p>
    <w:p w14:paraId="191157DA"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Fortalezas Identificadas:</w:t>
      </w:r>
    </w:p>
    <w:p w14:paraId="4963F3FA"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Base constitucional sólida:</w:t>
      </w:r>
      <w:r w:rsidRPr="00485ADE">
        <w:rPr>
          <w:rFonts w:asciiTheme="minorHAnsi" w:hAnsiTheme="minorHAnsi"/>
        </w:rPr>
        <w:t xml:space="preserve"> Correcto uso de competencias de presupuestos mínimos</w:t>
      </w:r>
    </w:p>
    <w:p w14:paraId="1A9396FD"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Respeto al federalismo:</w:t>
      </w:r>
      <w:r w:rsidRPr="00485ADE">
        <w:rPr>
          <w:rFonts w:asciiTheme="minorHAnsi" w:hAnsiTheme="minorHAnsi"/>
        </w:rPr>
        <w:t xml:space="preserve"> Coordinación sin sustitución de competencias provinciales</w:t>
      </w:r>
    </w:p>
    <w:p w14:paraId="2B14213B"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Técnica legislativa apropiada:</w:t>
      </w:r>
      <w:r w:rsidRPr="00485ADE">
        <w:rPr>
          <w:rFonts w:asciiTheme="minorHAnsi" w:hAnsiTheme="minorHAnsi"/>
        </w:rPr>
        <w:t xml:space="preserve"> Definiciones precisas, procedimientos garantistas</w:t>
      </w:r>
    </w:p>
    <w:p w14:paraId="3E4BAC8D"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Instrumentos proporcionales:</w:t>
      </w:r>
      <w:r w:rsidRPr="00485ADE">
        <w:rPr>
          <w:rFonts w:asciiTheme="minorHAnsi" w:hAnsiTheme="minorHAnsi"/>
        </w:rPr>
        <w:t xml:space="preserve"> RENAMI como registro transparente, no control previo</w:t>
      </w:r>
    </w:p>
    <w:p w14:paraId="78276813"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Coherencia sistemática:</w:t>
      </w:r>
      <w:r w:rsidRPr="00485ADE">
        <w:rPr>
          <w:rFonts w:asciiTheme="minorHAnsi" w:hAnsiTheme="minorHAnsi"/>
        </w:rPr>
        <w:t xml:space="preserve"> Compatible con marco ambiental preexistente</w:t>
      </w:r>
    </w:p>
    <w:p w14:paraId="1AD08C5A"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Riesgos Menores Identificados:</w:t>
      </w:r>
    </w:p>
    <w:p w14:paraId="4DA51E4E"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Autorización internacional:</w:t>
      </w:r>
      <w:r w:rsidRPr="00485ADE">
        <w:rPr>
          <w:rFonts w:asciiTheme="minorHAnsi" w:hAnsiTheme="minorHAnsi"/>
        </w:rPr>
        <w:t xml:space="preserve"> Requiere reglamentación proporcional</w:t>
      </w:r>
    </w:p>
    <w:p w14:paraId="5288665C"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b/>
          <w:bCs/>
        </w:rPr>
        <w:t>Coordinación ministerial:</w:t>
      </w:r>
      <w:r w:rsidRPr="00485ADE">
        <w:rPr>
          <w:rFonts w:asciiTheme="minorHAnsi" w:hAnsiTheme="minorHAnsi"/>
        </w:rPr>
        <w:t xml:space="preserve"> Necesita protocolos específicos de implementación</w:t>
      </w:r>
    </w:p>
    <w:p w14:paraId="55CBB0F6" w14:textId="77777777" w:rsidR="00D3795D" w:rsidRPr="00485ADE" w:rsidRDefault="00000000" w:rsidP="00485ADE">
      <w:pPr>
        <w:pStyle w:val="Ttulo3"/>
        <w:spacing w:line="276" w:lineRule="auto"/>
        <w:jc w:val="both"/>
        <w:rPr>
          <w:rFonts w:asciiTheme="minorHAnsi" w:hAnsiTheme="minorHAnsi"/>
          <w:color w:val="auto"/>
        </w:rPr>
      </w:pPr>
      <w:r w:rsidRPr="00485ADE">
        <w:rPr>
          <w:rFonts w:asciiTheme="minorHAnsi" w:hAnsiTheme="minorHAnsi"/>
          <w:color w:val="auto"/>
        </w:rPr>
        <w:t>Recomendación:</w:t>
      </w:r>
    </w:p>
    <w:p w14:paraId="0250A988" w14:textId="77777777" w:rsidR="00D3795D" w:rsidRPr="00485ADE" w:rsidRDefault="00000000" w:rsidP="00485ADE">
      <w:pPr>
        <w:spacing w:line="276" w:lineRule="auto"/>
        <w:jc w:val="both"/>
        <w:rPr>
          <w:rFonts w:asciiTheme="minorHAnsi" w:hAnsiTheme="minorHAnsi"/>
        </w:rPr>
      </w:pPr>
      <w:r w:rsidRPr="00485ADE">
        <w:rPr>
          <w:rFonts w:asciiTheme="minorHAnsi" w:hAnsiTheme="minorHAnsi"/>
          <w:b/>
          <w:bCs/>
        </w:rPr>
        <w:t>APROBACIÓN</w:t>
      </w:r>
      <w:r w:rsidRPr="00485ADE">
        <w:rPr>
          <w:rFonts w:asciiTheme="minorHAnsi" w:hAnsiTheme="minorHAnsi"/>
        </w:rPr>
        <w:t xml:space="preserve"> con </w:t>
      </w:r>
      <w:r w:rsidRPr="00485ADE">
        <w:rPr>
          <w:rFonts w:asciiTheme="minorHAnsi" w:hAnsiTheme="minorHAnsi"/>
          <w:b/>
          <w:bCs/>
        </w:rPr>
        <w:t>ajustes menores</w:t>
      </w:r>
      <w:r w:rsidRPr="00485ADE">
        <w:rPr>
          <w:rFonts w:asciiTheme="minorHAnsi" w:hAnsiTheme="minorHAnsi"/>
        </w:rPr>
        <w:t xml:space="preserve"> en la reglamentación para:</w:t>
      </w:r>
    </w:p>
    <w:p w14:paraId="6B8489EA"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rPr>
        <w:t>Establecer criterios objetivos para autorizaciones internacionales</w:t>
      </w:r>
    </w:p>
    <w:p w14:paraId="56ABC919"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rPr>
        <w:t>Garantizar plazos y procedimientos específicos</w:t>
      </w:r>
    </w:p>
    <w:p w14:paraId="174EB4DA" w14:textId="77777777" w:rsidR="00D3795D" w:rsidRPr="00485ADE" w:rsidRDefault="00000000" w:rsidP="00485ADE">
      <w:pPr>
        <w:pStyle w:val="Prrafodelista"/>
        <w:numPr>
          <w:ilvl w:val="0"/>
          <w:numId w:val="2"/>
        </w:numPr>
        <w:spacing w:line="276" w:lineRule="auto"/>
        <w:jc w:val="both"/>
        <w:rPr>
          <w:rFonts w:asciiTheme="minorHAnsi" w:hAnsiTheme="minorHAnsi"/>
        </w:rPr>
      </w:pPr>
      <w:r w:rsidRPr="00485ADE">
        <w:rPr>
          <w:rFonts w:asciiTheme="minorHAnsi" w:hAnsiTheme="minorHAnsi"/>
        </w:rPr>
        <w:t>Desarrollar protocolos de coordinación federal</w:t>
      </w:r>
    </w:p>
    <w:p w14:paraId="417CD0D5" w14:textId="77777777" w:rsidR="00D3795D" w:rsidRPr="00485ADE" w:rsidRDefault="00D3795D" w:rsidP="00485ADE">
      <w:pPr>
        <w:spacing w:line="276" w:lineRule="auto"/>
        <w:jc w:val="both"/>
        <w:rPr>
          <w:rFonts w:asciiTheme="minorHAnsi" w:hAnsiTheme="minorHAnsi"/>
        </w:rPr>
      </w:pPr>
    </w:p>
    <w:p w14:paraId="6C6459B6" w14:textId="77777777" w:rsidR="00D3795D" w:rsidRPr="00485ADE" w:rsidRDefault="00000000" w:rsidP="00485ADE">
      <w:pPr>
        <w:spacing w:before="480" w:line="276" w:lineRule="auto"/>
        <w:jc w:val="both"/>
        <w:rPr>
          <w:rFonts w:asciiTheme="minorHAnsi" w:hAnsiTheme="minorHAnsi"/>
        </w:rPr>
      </w:pPr>
      <w:r w:rsidRPr="00485ADE">
        <w:rPr>
          <w:rFonts w:asciiTheme="minorHAnsi" w:hAnsiTheme="minorHAnsi"/>
          <w:b/>
          <w:bCs/>
          <w:i/>
          <w:iCs/>
        </w:rPr>
        <w:t>El Proyecto PPMM constituye un ejemplo de construcción legal bien diseñada que operativiza compromisos ambientales internacionales respetando el marco constitucional argentino y aplicando técnicas legislativas apropiadas para el desarrollo de mercados de carbono.</w:t>
      </w:r>
    </w:p>
    <w:p w14:paraId="60D28F41" w14:textId="77777777" w:rsidR="00D3795D" w:rsidRPr="00485ADE" w:rsidRDefault="00D3795D" w:rsidP="00485ADE">
      <w:pPr>
        <w:spacing w:line="276" w:lineRule="auto"/>
        <w:jc w:val="both"/>
        <w:rPr>
          <w:rFonts w:asciiTheme="minorHAnsi" w:hAnsiTheme="minorHAnsi"/>
        </w:rPr>
      </w:pPr>
    </w:p>
    <w:p w14:paraId="08CE9F49" w14:textId="77777777" w:rsidR="00D3795D" w:rsidRPr="00485ADE" w:rsidRDefault="00000000" w:rsidP="00485ADE">
      <w:pPr>
        <w:spacing w:before="480" w:line="276" w:lineRule="auto"/>
        <w:jc w:val="both"/>
        <w:rPr>
          <w:rFonts w:asciiTheme="minorHAnsi" w:hAnsiTheme="minorHAnsi"/>
        </w:rPr>
      </w:pPr>
      <w:r w:rsidRPr="00485ADE">
        <w:rPr>
          <w:rFonts w:asciiTheme="minorHAnsi" w:hAnsiTheme="minorHAnsi"/>
          <w:i/>
          <w:iCs/>
          <w:sz w:val="20"/>
          <w:szCs w:val="20"/>
        </w:rPr>
        <w:t>Metodología: Análisis dogmático de derecho constitucional y ambiental basado en jurisprudencia consolidada de la CSJN, doctrina de presupuestos mínimos ambientales y técnica legislativa del derecho público argentino.</w:t>
      </w:r>
    </w:p>
    <w:sectPr w:rsidR="00D3795D" w:rsidRPr="00485ADE">
      <w:headerReference w:type="default" r:id="rId7"/>
      <w:foot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6CFEC" w14:textId="77777777" w:rsidR="00070207" w:rsidRDefault="00070207" w:rsidP="00485ADE">
      <w:r>
        <w:separator/>
      </w:r>
    </w:p>
  </w:endnote>
  <w:endnote w:type="continuationSeparator" w:id="0">
    <w:p w14:paraId="4C109F87" w14:textId="77777777" w:rsidR="00070207" w:rsidRDefault="00070207" w:rsidP="0048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251A9" w14:textId="05670359" w:rsidR="00485ADE" w:rsidRPr="00485ADE" w:rsidRDefault="00485ADE" w:rsidP="00485ADE">
    <w:pPr>
      <w:pStyle w:val="Piedepgina"/>
      <w:jc w:val="right"/>
      <w:rPr>
        <w:sz w:val="18"/>
        <w:szCs w:val="18"/>
        <w:lang w:val="es-ES_tradnl"/>
      </w:rPr>
    </w:pPr>
    <w:r w:rsidRPr="00485ADE">
      <w:rPr>
        <w:sz w:val="18"/>
        <w:szCs w:val="18"/>
        <w:lang w:val="es-ES_tradnl"/>
      </w:rPr>
      <w:t>Ignacio Adrián Lerer</w:t>
    </w:r>
  </w:p>
  <w:p w14:paraId="5B7EDED2" w14:textId="6F5EF76F" w:rsidR="00485ADE" w:rsidRPr="00485ADE" w:rsidRDefault="00485ADE" w:rsidP="00485ADE">
    <w:pPr>
      <w:pStyle w:val="Piedepgina"/>
      <w:jc w:val="right"/>
      <w:rPr>
        <w:sz w:val="18"/>
        <w:szCs w:val="18"/>
        <w:lang w:val="es-ES_tradnl"/>
      </w:rPr>
    </w:pPr>
    <w:r w:rsidRPr="00485ADE">
      <w:rPr>
        <w:sz w:val="18"/>
        <w:szCs w:val="18"/>
        <w:lang w:val="es-ES_tradnl"/>
      </w:rPr>
      <w:t>Abogado (UBA)</w:t>
    </w:r>
    <w:r w:rsidRPr="00485ADE">
      <w:rPr>
        <w:sz w:val="18"/>
        <w:szCs w:val="18"/>
        <w:lang w:val="es-ES_tradnl"/>
      </w:rPr>
      <w:br/>
    </w:r>
    <w:proofErr w:type="gramStart"/>
    <w:r w:rsidRPr="00485ADE">
      <w:rPr>
        <w:sz w:val="18"/>
        <w:szCs w:val="18"/>
        <w:lang w:val="es-ES_tradnl"/>
      </w:rPr>
      <w:t>Master</w:t>
    </w:r>
    <w:proofErr w:type="gramEnd"/>
    <w:r w:rsidRPr="00485ADE">
      <w:rPr>
        <w:sz w:val="18"/>
        <w:szCs w:val="18"/>
        <w:lang w:val="es-ES_tradnl"/>
      </w:rPr>
      <w:t xml:space="preserve"> Ejecutivo en Dirección de Empresas (IAE – Universidad Austral)</w:t>
    </w:r>
    <w:r w:rsidRPr="00485ADE">
      <w:rPr>
        <w:sz w:val="18"/>
        <w:szCs w:val="18"/>
        <w:lang w:val="es-ES_tradnl"/>
      </w:rPr>
      <w:br/>
      <w:t xml:space="preserve">E-mail: </w:t>
    </w:r>
    <w:hyperlink r:id="rId1" w:history="1">
      <w:r w:rsidRPr="00485ADE">
        <w:rPr>
          <w:rStyle w:val="Hipervnculo"/>
          <w:sz w:val="18"/>
          <w:szCs w:val="18"/>
          <w:lang w:val="es-ES_tradnl"/>
        </w:rPr>
        <w:t>adrian@lerer.com.ar</w:t>
      </w:r>
    </w:hyperlink>
  </w:p>
  <w:p w14:paraId="4F2DC0B6" w14:textId="61A57616" w:rsidR="00485ADE" w:rsidRPr="00485ADE" w:rsidRDefault="00485ADE" w:rsidP="00485ADE">
    <w:pPr>
      <w:pStyle w:val="Piedepgina"/>
      <w:jc w:val="right"/>
      <w:rPr>
        <w:sz w:val="18"/>
        <w:szCs w:val="18"/>
        <w:lang w:val="es-ES_tradnl"/>
      </w:rPr>
    </w:pPr>
    <w:r w:rsidRPr="00485ADE">
      <w:rPr>
        <w:sz w:val="18"/>
        <w:szCs w:val="18"/>
        <w:lang w:val="es-ES_tradnl"/>
      </w:rPr>
      <w:t>Teléfono: +5491151201247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05B5E" w14:textId="77777777" w:rsidR="00070207" w:rsidRDefault="00070207" w:rsidP="00485ADE">
      <w:r>
        <w:separator/>
      </w:r>
    </w:p>
  </w:footnote>
  <w:footnote w:type="continuationSeparator" w:id="0">
    <w:p w14:paraId="73941AA2" w14:textId="77777777" w:rsidR="00070207" w:rsidRDefault="00070207" w:rsidP="0048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04" w:type="dxa"/>
      <w:tblLayout w:type="fixed"/>
      <w:tblLook w:val="01E0" w:firstRow="1" w:lastRow="1" w:firstColumn="1" w:lastColumn="1" w:noHBand="0" w:noVBand="0"/>
    </w:tblPr>
    <w:tblGrid>
      <w:gridCol w:w="2485"/>
      <w:gridCol w:w="7519"/>
    </w:tblGrid>
    <w:tr w:rsidR="00485ADE" w:rsidRPr="000A5438" w14:paraId="37F2909E" w14:textId="77777777" w:rsidTr="00485ADE">
      <w:trPr>
        <w:trHeight w:val="962"/>
      </w:trPr>
      <w:tc>
        <w:tcPr>
          <w:tcW w:w="2485" w:type="dxa"/>
          <w:shd w:val="clear" w:color="auto" w:fill="auto"/>
        </w:tcPr>
        <w:p w14:paraId="61EDB85C" w14:textId="77777777" w:rsidR="00485ADE" w:rsidRPr="00BD6EB5" w:rsidRDefault="00485ADE" w:rsidP="00485ADE">
          <w:pPr>
            <w:autoSpaceDE w:val="0"/>
            <w:autoSpaceDN w:val="0"/>
            <w:adjustRightInd w:val="0"/>
            <w:rPr>
              <w:b/>
              <w:bCs/>
              <w:sz w:val="20"/>
              <w:szCs w:val="20"/>
              <w:lang w:val="es-ES"/>
            </w:rPr>
          </w:pPr>
          <w:r w:rsidRPr="00B8589A">
            <w:rPr>
              <w:b/>
              <w:bCs/>
              <w:noProof/>
              <w:sz w:val="20"/>
              <w:szCs w:val="20"/>
              <w:lang w:val="es-ES"/>
            </w:rPr>
            <w:drawing>
              <wp:inline distT="0" distB="0" distL="0" distR="0" wp14:anchorId="5402DE06" wp14:editId="0D0C63ED">
                <wp:extent cx="591207" cy="591207"/>
                <wp:effectExtent l="0" t="0" r="0" b="0"/>
                <wp:docPr id="683480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80890" name=""/>
                        <pic:cNvPicPr/>
                      </pic:nvPicPr>
                      <pic:blipFill>
                        <a:blip r:embed="rId1"/>
                        <a:stretch>
                          <a:fillRect/>
                        </a:stretch>
                      </pic:blipFill>
                      <pic:spPr>
                        <a:xfrm>
                          <a:off x="0" y="0"/>
                          <a:ext cx="610882" cy="610882"/>
                        </a:xfrm>
                        <a:prstGeom prst="rect">
                          <a:avLst/>
                        </a:prstGeom>
                        <a:scene3d>
                          <a:camera prst="orthographicFront"/>
                          <a:lightRig rig="freezing" dir="t"/>
                        </a:scene3d>
                      </pic:spPr>
                    </pic:pic>
                  </a:graphicData>
                </a:graphic>
              </wp:inline>
            </w:drawing>
          </w:r>
        </w:p>
      </w:tc>
      <w:tc>
        <w:tcPr>
          <w:tcW w:w="7519" w:type="dxa"/>
          <w:shd w:val="clear" w:color="auto" w:fill="auto"/>
        </w:tcPr>
        <w:p w14:paraId="77C68273" w14:textId="77777777" w:rsidR="00485ADE" w:rsidRPr="000A5438" w:rsidRDefault="00485ADE" w:rsidP="00485ADE">
          <w:pPr>
            <w:autoSpaceDE w:val="0"/>
            <w:autoSpaceDN w:val="0"/>
            <w:adjustRightInd w:val="0"/>
            <w:spacing w:line="120" w:lineRule="atLeast"/>
            <w:jc w:val="right"/>
            <w:rPr>
              <w:b/>
              <w:bCs/>
              <w:i/>
              <w:sz w:val="14"/>
              <w:szCs w:val="14"/>
            </w:rPr>
          </w:pPr>
        </w:p>
        <w:p w14:paraId="15877E99" w14:textId="77777777" w:rsidR="00485ADE" w:rsidRPr="000A5438" w:rsidRDefault="00485ADE" w:rsidP="00485ADE">
          <w:pPr>
            <w:pStyle w:val="Subttulo"/>
            <w:spacing w:after="0"/>
            <w:jc w:val="right"/>
            <w:rPr>
              <w:rFonts w:eastAsia="Arial Unicode MS"/>
              <w:b/>
              <w:bCs/>
              <w:sz w:val="15"/>
              <w:szCs w:val="15"/>
              <w:lang w:val="es-AR"/>
              <w14:props3d w14:extrusionH="0" w14:contourW="0" w14:prstMaterial="dkEdge"/>
            </w:rPr>
          </w:pPr>
          <w:r w:rsidRPr="000A5438">
            <w:rPr>
              <w:rFonts w:eastAsia="Arial Unicode MS"/>
              <w:b/>
              <w:bCs/>
              <w:sz w:val="15"/>
              <w:szCs w:val="15"/>
              <w:lang w:val="es-AR"/>
              <w14:props3d w14:extrusionH="0" w14:contourW="0" w14:prstMaterial="dkEdge"/>
            </w:rPr>
            <w:t>LERER CONSULTORA</w:t>
          </w:r>
        </w:p>
        <w:p w14:paraId="0A1080FD" w14:textId="77777777" w:rsidR="00485ADE" w:rsidRPr="000A5438" w:rsidRDefault="00485ADE" w:rsidP="00485ADE">
          <w:pPr>
            <w:pStyle w:val="Subttulo"/>
            <w:spacing w:after="0"/>
            <w:jc w:val="right"/>
            <w:rPr>
              <w:rFonts w:eastAsia="Arial Unicode MS"/>
              <w:b/>
              <w:bCs/>
              <w:i/>
              <w:iCs/>
              <w:sz w:val="15"/>
              <w:szCs w:val="15"/>
            </w:rPr>
          </w:pPr>
          <w:r w:rsidRPr="000A5438">
            <w:rPr>
              <w:rFonts w:eastAsia="Arial Unicode MS"/>
              <w:b/>
              <w:bCs/>
              <w:i/>
              <w:iCs/>
              <w:sz w:val="15"/>
              <w:szCs w:val="15"/>
            </w:rPr>
            <w:t xml:space="preserve">Gobierno Corporativo  </w:t>
          </w:r>
        </w:p>
        <w:p w14:paraId="36310F60" w14:textId="77777777" w:rsidR="00485ADE" w:rsidRPr="000A5438" w:rsidRDefault="00485ADE" w:rsidP="00485ADE">
          <w:pPr>
            <w:pStyle w:val="Subttulo"/>
            <w:spacing w:after="0"/>
            <w:jc w:val="right"/>
            <w:rPr>
              <w:rFonts w:eastAsia="Arial Unicode MS"/>
              <w:b/>
              <w:bCs/>
              <w:i/>
              <w:iCs/>
              <w:sz w:val="15"/>
              <w:szCs w:val="15"/>
            </w:rPr>
          </w:pPr>
          <w:r w:rsidRPr="000A5438">
            <w:rPr>
              <w:rFonts w:eastAsia="Arial Unicode MS"/>
              <w:b/>
              <w:bCs/>
              <w:i/>
              <w:iCs/>
              <w:sz w:val="15"/>
              <w:szCs w:val="15"/>
            </w:rPr>
            <w:t>Cumplimiento Normativo (</w:t>
          </w:r>
          <w:proofErr w:type="spellStart"/>
          <w:r w:rsidRPr="000A5438">
            <w:rPr>
              <w:rFonts w:eastAsia="Arial Unicode MS"/>
              <w:b/>
              <w:bCs/>
              <w:i/>
              <w:iCs/>
              <w:sz w:val="15"/>
              <w:szCs w:val="15"/>
            </w:rPr>
            <w:t>Compliance</w:t>
          </w:r>
          <w:proofErr w:type="spellEnd"/>
          <w:r w:rsidRPr="000A5438">
            <w:rPr>
              <w:rFonts w:eastAsia="Arial Unicode MS"/>
              <w:b/>
              <w:bCs/>
              <w:i/>
              <w:iCs/>
              <w:sz w:val="15"/>
              <w:szCs w:val="15"/>
            </w:rPr>
            <w:t xml:space="preserve"> - Integridad) </w:t>
          </w:r>
        </w:p>
        <w:p w14:paraId="1327A8D3" w14:textId="77777777" w:rsidR="00485ADE" w:rsidRPr="000A5438" w:rsidRDefault="00485ADE" w:rsidP="00485ADE">
          <w:pPr>
            <w:pStyle w:val="Subttulo"/>
            <w:spacing w:after="0"/>
            <w:jc w:val="right"/>
            <w:rPr>
              <w:rFonts w:ascii="Arial Narrow" w:hAnsi="Arial Narrow" w:cs="Arial"/>
              <w:b/>
              <w:bCs/>
              <w:i/>
              <w:iCs/>
              <w:lang w:val="es-AR"/>
            </w:rPr>
          </w:pPr>
          <w:r w:rsidRPr="000A5438">
            <w:rPr>
              <w:rFonts w:eastAsia="Arial Unicode MS"/>
              <w:b/>
              <w:bCs/>
              <w:i/>
              <w:iCs/>
              <w:sz w:val="15"/>
              <w:szCs w:val="15"/>
            </w:rPr>
            <w:t>Gestión de Riesgos | Estrategia Legal</w:t>
          </w:r>
        </w:p>
        <w:p w14:paraId="73845D0C" w14:textId="77777777" w:rsidR="00485ADE" w:rsidRPr="000A5438" w:rsidRDefault="00485ADE" w:rsidP="00485ADE">
          <w:pPr>
            <w:autoSpaceDE w:val="0"/>
            <w:autoSpaceDN w:val="0"/>
            <w:adjustRightInd w:val="0"/>
            <w:spacing w:line="120" w:lineRule="atLeast"/>
            <w:jc w:val="center"/>
            <w:rPr>
              <w:b/>
              <w:bCs/>
              <w:sz w:val="14"/>
              <w:szCs w:val="14"/>
            </w:rPr>
          </w:pPr>
        </w:p>
      </w:tc>
    </w:tr>
  </w:tbl>
  <w:p w14:paraId="6FA2CF98" w14:textId="77777777" w:rsidR="00485ADE" w:rsidRPr="000A5438" w:rsidRDefault="00485ADE" w:rsidP="00485ADE">
    <w:pPr>
      <w:pStyle w:val="Encabezado"/>
      <w:rPr>
        <w:rFonts w:asciiTheme="minorHAnsi" w:hAnsiTheme="minorHAnsi" w:cstheme="minorHAnsi"/>
        <w:i/>
        <w:iCs/>
      </w:rPr>
    </w:pPr>
    <w:r w:rsidRPr="000A5438">
      <w:rPr>
        <w:rFonts w:asciiTheme="minorHAnsi" w:hAnsiTheme="minorHAnsi" w:cstheme="minorHAnsi"/>
        <w:i/>
        <w:iCs/>
      </w:rPr>
      <w:t>CONFIDENCIAL</w:t>
    </w:r>
  </w:p>
  <w:p w14:paraId="46697222" w14:textId="77777777" w:rsidR="00485ADE" w:rsidRDefault="00485A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23CD"/>
    <w:multiLevelType w:val="hybridMultilevel"/>
    <w:tmpl w:val="470ACF82"/>
    <w:lvl w:ilvl="0" w:tplc="235E3B8E">
      <w:start w:val="1"/>
      <w:numFmt w:val="bullet"/>
      <w:lvlText w:val="●"/>
      <w:lvlJc w:val="left"/>
      <w:pPr>
        <w:ind w:left="720" w:hanging="360"/>
      </w:pPr>
    </w:lvl>
    <w:lvl w:ilvl="1" w:tplc="1FB4A97E">
      <w:start w:val="1"/>
      <w:numFmt w:val="bullet"/>
      <w:lvlText w:val="○"/>
      <w:lvlJc w:val="left"/>
      <w:pPr>
        <w:ind w:left="1440" w:hanging="360"/>
      </w:pPr>
    </w:lvl>
    <w:lvl w:ilvl="2" w:tplc="B67EAD84">
      <w:start w:val="1"/>
      <w:numFmt w:val="bullet"/>
      <w:lvlText w:val="■"/>
      <w:lvlJc w:val="left"/>
      <w:pPr>
        <w:ind w:left="2160" w:hanging="360"/>
      </w:pPr>
    </w:lvl>
    <w:lvl w:ilvl="3" w:tplc="50567576">
      <w:start w:val="1"/>
      <w:numFmt w:val="bullet"/>
      <w:lvlText w:val="●"/>
      <w:lvlJc w:val="left"/>
      <w:pPr>
        <w:ind w:left="2880" w:hanging="360"/>
      </w:pPr>
    </w:lvl>
    <w:lvl w:ilvl="4" w:tplc="C00C0C6C">
      <w:start w:val="1"/>
      <w:numFmt w:val="bullet"/>
      <w:lvlText w:val="○"/>
      <w:lvlJc w:val="left"/>
      <w:pPr>
        <w:ind w:left="3600" w:hanging="360"/>
      </w:pPr>
    </w:lvl>
    <w:lvl w:ilvl="5" w:tplc="EF3673D0">
      <w:start w:val="1"/>
      <w:numFmt w:val="bullet"/>
      <w:lvlText w:val="■"/>
      <w:lvlJc w:val="left"/>
      <w:pPr>
        <w:ind w:left="4320" w:hanging="360"/>
      </w:pPr>
    </w:lvl>
    <w:lvl w:ilvl="6" w:tplc="67E2B91A">
      <w:start w:val="1"/>
      <w:numFmt w:val="bullet"/>
      <w:lvlText w:val="●"/>
      <w:lvlJc w:val="left"/>
      <w:pPr>
        <w:ind w:left="5040" w:hanging="360"/>
      </w:pPr>
    </w:lvl>
    <w:lvl w:ilvl="7" w:tplc="B4C0C9E6">
      <w:start w:val="1"/>
      <w:numFmt w:val="bullet"/>
      <w:lvlText w:val="●"/>
      <w:lvlJc w:val="left"/>
      <w:pPr>
        <w:ind w:left="5760" w:hanging="360"/>
      </w:pPr>
    </w:lvl>
    <w:lvl w:ilvl="8" w:tplc="07EADE56">
      <w:start w:val="1"/>
      <w:numFmt w:val="bullet"/>
      <w:lvlText w:val="●"/>
      <w:lvlJc w:val="left"/>
      <w:pPr>
        <w:ind w:left="6480" w:hanging="360"/>
      </w:pPr>
    </w:lvl>
  </w:abstractNum>
  <w:abstractNum w:abstractNumId="1" w15:restartNumberingAfterBreak="0">
    <w:nsid w:val="5ACA4D11"/>
    <w:multiLevelType w:val="hybridMultilevel"/>
    <w:tmpl w:val="75080FA0"/>
    <w:lvl w:ilvl="0" w:tplc="D86430A2">
      <w:start w:val="1"/>
      <w:numFmt w:val="bullet"/>
      <w:lvlText w:val="•"/>
      <w:lvlJc w:val="left"/>
      <w:pPr>
        <w:ind w:left="720" w:hanging="360"/>
      </w:pPr>
    </w:lvl>
    <w:lvl w:ilvl="1" w:tplc="2BEA236C">
      <w:numFmt w:val="decimal"/>
      <w:lvlText w:val=""/>
      <w:lvlJc w:val="left"/>
    </w:lvl>
    <w:lvl w:ilvl="2" w:tplc="51103DE2">
      <w:numFmt w:val="decimal"/>
      <w:lvlText w:val=""/>
      <w:lvlJc w:val="left"/>
    </w:lvl>
    <w:lvl w:ilvl="3" w:tplc="71484C04">
      <w:numFmt w:val="decimal"/>
      <w:lvlText w:val=""/>
      <w:lvlJc w:val="left"/>
    </w:lvl>
    <w:lvl w:ilvl="4" w:tplc="8F52D3C4">
      <w:numFmt w:val="decimal"/>
      <w:lvlText w:val=""/>
      <w:lvlJc w:val="left"/>
    </w:lvl>
    <w:lvl w:ilvl="5" w:tplc="A21A4A62">
      <w:numFmt w:val="decimal"/>
      <w:lvlText w:val=""/>
      <w:lvlJc w:val="left"/>
    </w:lvl>
    <w:lvl w:ilvl="6" w:tplc="267A87B2">
      <w:numFmt w:val="decimal"/>
      <w:lvlText w:val=""/>
      <w:lvlJc w:val="left"/>
    </w:lvl>
    <w:lvl w:ilvl="7" w:tplc="4C248300">
      <w:numFmt w:val="decimal"/>
      <w:lvlText w:val=""/>
      <w:lvlJc w:val="left"/>
    </w:lvl>
    <w:lvl w:ilvl="8" w:tplc="FDB80712">
      <w:numFmt w:val="decimal"/>
      <w:lvlText w:val=""/>
      <w:lvlJc w:val="left"/>
    </w:lvl>
  </w:abstractNum>
  <w:num w:numId="1" w16cid:durableId="268704037">
    <w:abstractNumId w:val="0"/>
    <w:lvlOverride w:ilvl="0">
      <w:startOverride w:val="1"/>
    </w:lvlOverride>
  </w:num>
  <w:num w:numId="2" w16cid:durableId="24623303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5D"/>
    <w:rsid w:val="000479A0"/>
    <w:rsid w:val="00070207"/>
    <w:rsid w:val="00485ADE"/>
    <w:rsid w:val="00600A3B"/>
    <w:rsid w:val="00D379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0DBA850"/>
  <w15:docId w15:val="{1FFB3EF1-02E4-CC40-BB19-AEEB9574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spacing w:before="360" w:after="240"/>
      <w:outlineLvl w:val="0"/>
    </w:pPr>
    <w:rPr>
      <w:b/>
      <w:bCs/>
      <w:color w:val="1F4788"/>
      <w:sz w:val="32"/>
      <w:szCs w:val="32"/>
    </w:rPr>
  </w:style>
  <w:style w:type="paragraph" w:styleId="Ttulo2">
    <w:name w:val="heading 2"/>
    <w:uiPriority w:val="9"/>
    <w:unhideWhenUsed/>
    <w:qFormat/>
    <w:pPr>
      <w:spacing w:before="240" w:after="180"/>
      <w:outlineLvl w:val="1"/>
    </w:pPr>
    <w:rPr>
      <w:b/>
      <w:bCs/>
      <w:color w:val="2E5496"/>
      <w:sz w:val="28"/>
      <w:szCs w:val="28"/>
    </w:rPr>
  </w:style>
  <w:style w:type="paragraph" w:styleId="Ttulo3">
    <w:name w:val="heading 3"/>
    <w:uiPriority w:val="9"/>
    <w:unhideWhenUsed/>
    <w:qFormat/>
    <w:pPr>
      <w:spacing w:before="180" w:after="120"/>
      <w:outlineLvl w:val="2"/>
    </w:pPr>
    <w:rPr>
      <w:b/>
      <w:bCs/>
      <w:color w:val="4A6FA5"/>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pPr>
      <w:spacing w:before="240" w:after="360"/>
      <w:jc w:val="center"/>
    </w:pPr>
    <w:rPr>
      <w:b/>
      <w:bCs/>
      <w:color w:val="000000"/>
      <w:sz w:val="48"/>
      <w:szCs w:val="48"/>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rPr>
      <w:sz w:val="20"/>
      <w:szCs w:val="20"/>
    </w:rPr>
  </w:style>
  <w:style w:type="character" w:customStyle="1" w:styleId="TextonotapieCar">
    <w:name w:val="Texto nota pie Car"/>
    <w:link w:val="Textonotapie"/>
    <w:uiPriority w:val="99"/>
    <w:semiHidden/>
    <w:unhideWhenUsed/>
    <w:rPr>
      <w:sz w:val="20"/>
      <w:szCs w:val="20"/>
    </w:rPr>
  </w:style>
  <w:style w:type="paragraph" w:styleId="Encabezado">
    <w:name w:val="header"/>
    <w:basedOn w:val="Normal"/>
    <w:link w:val="EncabezadoCar"/>
    <w:unhideWhenUsed/>
    <w:rsid w:val="00485ADE"/>
    <w:pPr>
      <w:tabs>
        <w:tab w:val="center" w:pos="4419"/>
        <w:tab w:val="right" w:pos="8838"/>
      </w:tabs>
    </w:pPr>
  </w:style>
  <w:style w:type="character" w:customStyle="1" w:styleId="EncabezadoCar">
    <w:name w:val="Encabezado Car"/>
    <w:basedOn w:val="Fuentedeprrafopredeter"/>
    <w:link w:val="Encabezado"/>
    <w:uiPriority w:val="99"/>
    <w:rsid w:val="00485ADE"/>
  </w:style>
  <w:style w:type="paragraph" w:styleId="Piedepgina">
    <w:name w:val="footer"/>
    <w:basedOn w:val="Normal"/>
    <w:link w:val="PiedepginaCar"/>
    <w:uiPriority w:val="99"/>
    <w:unhideWhenUsed/>
    <w:rsid w:val="00485ADE"/>
    <w:pPr>
      <w:tabs>
        <w:tab w:val="center" w:pos="4419"/>
        <w:tab w:val="right" w:pos="8838"/>
      </w:tabs>
    </w:pPr>
  </w:style>
  <w:style w:type="character" w:customStyle="1" w:styleId="PiedepginaCar">
    <w:name w:val="Pie de página Car"/>
    <w:basedOn w:val="Fuentedeprrafopredeter"/>
    <w:link w:val="Piedepgina"/>
    <w:uiPriority w:val="99"/>
    <w:rsid w:val="00485ADE"/>
  </w:style>
  <w:style w:type="paragraph" w:styleId="Subttulo">
    <w:name w:val="Subtitle"/>
    <w:basedOn w:val="Normal"/>
    <w:next w:val="Normal"/>
    <w:link w:val="SubttuloCar"/>
    <w:qFormat/>
    <w:rsid w:val="00485ADE"/>
    <w:pPr>
      <w:numPr>
        <w:ilvl w:val="1"/>
      </w:numPr>
      <w:spacing w:after="160"/>
    </w:pPr>
    <w:rPr>
      <w:rFonts w:asciiTheme="minorHAnsi" w:eastAsiaTheme="minorEastAsia" w:hAnsiTheme="minorHAnsi" w:cstheme="minorBidi"/>
      <w:color w:val="5A5A5A" w:themeColor="text1" w:themeTint="A5"/>
      <w:spacing w:val="15"/>
      <w:lang w:val="es-ES_tradnl" w:eastAsia="es-ES_tradnl"/>
    </w:rPr>
  </w:style>
  <w:style w:type="character" w:customStyle="1" w:styleId="SubttuloCar">
    <w:name w:val="Subtítulo Car"/>
    <w:basedOn w:val="Fuentedeprrafopredeter"/>
    <w:link w:val="Subttulo"/>
    <w:rsid w:val="00485ADE"/>
    <w:rPr>
      <w:rFonts w:asciiTheme="minorHAnsi" w:eastAsiaTheme="minorEastAsia" w:hAnsiTheme="minorHAnsi" w:cstheme="minorBidi"/>
      <w:color w:val="5A5A5A" w:themeColor="text1" w:themeTint="A5"/>
      <w:spacing w:val="15"/>
      <w:lang w:val="es-ES_tradnl" w:eastAsia="es-ES_tradnl"/>
    </w:rPr>
  </w:style>
  <w:style w:type="character" w:styleId="Mencinsinresolver">
    <w:name w:val="Unresolved Mention"/>
    <w:basedOn w:val="Fuentedeprrafopredeter"/>
    <w:uiPriority w:val="99"/>
    <w:semiHidden/>
    <w:unhideWhenUsed/>
    <w:rsid w:val="00485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drian@lerer.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Adrian Lerer</cp:lastModifiedBy>
  <cp:revision>3</cp:revision>
  <cp:lastPrinted>2025-09-16T00:00:00Z</cp:lastPrinted>
  <dcterms:created xsi:type="dcterms:W3CDTF">2025-09-16T00:00:00Z</dcterms:created>
  <dcterms:modified xsi:type="dcterms:W3CDTF">2025-09-16T01:02:00Z</dcterms:modified>
</cp:coreProperties>
</file>