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Times New Roman" w:cs="Times New Roman" w:eastAsia="Times New Roman" w:hAnsi="Times New Roman"/>
          <w:b/>
          <w:bCs/>
          <w:sz w:val="36"/>
          <w:szCs w:val="36"/>
        </w:rPr>
        <w:t xml:space="preserve">Subsidized Stasis:</w:t>
      </w:r>
    </w:p>
    <w:p>
      <w:pPr>
        <w:spacing w:after="200"/>
        <w:jc w:val="center"/>
      </w:pPr>
      <w:r>
        <w:rPr>
          <w:rFonts w:ascii="Times New Roman" w:cs="Times New Roman" w:eastAsia="Times New Roman" w:hAnsi="Times New Roman"/>
          <w:b/>
          <w:bCs/>
          <w:sz w:val="32"/>
          <w:szCs w:val="32"/>
        </w:rPr>
        <w:t xml:space="preserve">Fiscal Transfers as Exapted Selection Mechanism</w:t>
      </w:r>
    </w:p>
    <w:p>
      <w:pPr>
        <w:spacing w:after="400"/>
        <w:jc w:val="center"/>
      </w:pPr>
      <w:r>
        <w:rPr>
          <w:rFonts w:ascii="Times New Roman" w:cs="Times New Roman" w:eastAsia="Times New Roman" w:hAnsi="Times New Roman"/>
          <w:b/>
          <w:bCs/>
          <w:sz w:val="32"/>
          <w:szCs w:val="32"/>
        </w:rPr>
        <w:t xml:space="preserve">in Argentine Subnational Democracy</w:t>
      </w:r>
    </w:p>
    <w:p>
      <w:pPr>
        <w:spacing w:after="100"/>
        <w:jc w:val="center"/>
      </w:pPr>
      <w:r>
        <w:rPr>
          <w:rFonts w:ascii="Times New Roman" w:cs="Times New Roman" w:eastAsia="Times New Roman" w:hAnsi="Times New Roman"/>
          <w:i/>
          <w:iCs/>
          <w:sz w:val="26"/>
          <w:szCs w:val="26"/>
        </w:rPr>
        <w:t xml:space="preserve">Why Coparticipación Produces Institutional Vestigiality, Not Equalization</w:t>
      </w:r>
    </w:p>
    <w:p>
      <w:pPr>
        <w:spacing w:after="600"/>
      </w:pPr>
    </w:p>
    <w:p>
      <w:pPr>
        <w:jc w:val="center"/>
      </w:pPr>
      <w:r>
        <w:rPr>
          <w:rFonts w:ascii="Times New Roman" w:cs="Times New Roman" w:eastAsia="Times New Roman" w:hAnsi="Times New Roman"/>
          <w:b/>
          <w:bCs/>
          <w:sz w:val="24"/>
          <w:szCs w:val="24"/>
        </w:rPr>
        <w:t xml:space="preserve">Ignacio Adrián Lerer</w:t>
      </w:r>
    </w:p>
    <w:p>
      <w:pPr>
        <w:jc w:val="center"/>
      </w:pPr>
      <w:r>
        <w:rPr>
          <w:rFonts w:ascii="Times New Roman" w:cs="Times New Roman" w:eastAsia="Times New Roman" w:hAnsi="Times New Roman"/>
          <w:sz w:val="24"/>
          <w:szCs w:val="24"/>
        </w:rPr>
        <w:t xml:space="preserve">Independent Researcher, Buenos Aires, Argentina</w:t>
      </w:r>
    </w:p>
    <w:p>
      <w:pPr>
        <w:jc w:val="center"/>
      </w:pPr>
      <w:r>
        <w:rPr>
          <w:rFonts w:ascii="Times New Roman" w:cs="Times New Roman" w:eastAsia="Times New Roman" w:hAnsi="Times New Roman"/>
          <w:sz w:val="24"/>
          <w:szCs w:val="24"/>
        </w:rPr>
        <w:t xml:space="preserve">adrian@lerer.com.ar</w:t>
      </w:r>
    </w:p>
    <w:p>
      <w:pPr>
        <w:jc w:val="center"/>
      </w:pPr>
      <w:r>
        <w:rPr>
          <w:rFonts w:ascii="Times New Roman" w:cs="Times New Roman" w:eastAsia="Times New Roman" w:hAnsi="Times New Roman"/>
          <w:sz w:val="24"/>
          <w:szCs w:val="24"/>
        </w:rPr>
        <w:t xml:space="preserve">ORCID: 0009-0007-6378-9749</w:t>
      </w:r>
    </w:p>
    <w:p>
      <w:pPr>
        <w:spacing w:before="400"/>
        <w:jc w:val="center"/>
      </w:pPr>
      <w:r>
        <w:rPr>
          <w:rFonts w:ascii="Times New Roman" w:cs="Times New Roman" w:eastAsia="Times New Roman" w:hAnsi="Times New Roman"/>
          <w:sz w:val="24"/>
          <w:szCs w:val="24"/>
        </w:rPr>
        <w:t xml:space="preserve">March 2026</w:t>
      </w:r>
    </w:p>
    <w:p>
      <w:r>
        <w:br w:type="page"/>
      </w:r>
    </w:p>
    <w:p>
      <w:pPr>
        <w:pStyle w:val="Heading2"/>
        <w:spacing w:after="200" w:before="360" w:line="480"/>
      </w:pPr>
      <w:r>
        <w:rPr>
          <w:rFonts w:ascii="Times New Roman" w:cs="Times New Roman" w:eastAsia="Times New Roman" w:hAnsi="Times New Roman"/>
          <w:b/>
          <w:bCs/>
          <w:sz w:val="26"/>
          <w:szCs w:val="26"/>
        </w:rPr>
        <w:t xml:space="preserve">ABSTRACT</w:t>
      </w:r>
    </w:p>
    <w:p>
      <w:pPr>
        <w:spacing w:after="120" w:line="480"/>
        <w:ind w:firstLine="720"/>
        <w:jc w:val="both"/>
      </w:pPr>
      <w:r>
        <w:rPr>
          <w:rFonts w:ascii="Times New Roman" w:cs="Times New Roman" w:eastAsia="Times New Roman" w:hAnsi="Times New Roman"/>
          <w:sz w:val="24"/>
          <w:szCs w:val="24"/>
        </w:rPr>
        <w:t xml:space="preserve">Why do fiscal transfers designed to equalize subnational capacities instead produce democratic degradation? This paper introduces the Fiscal Selection Pressure Index (FSPI) to formalize a mechanism that six decades of theory have described without unifying: the elimination of competitive pressure between jurisdictions through unconditional intergovernmental transfers. Applying punctuated equilibrium theory and evolutionary game theory to Argentina's 24 provinces, I demonstrate that the coparticipación federal—designed in 1935 as a fiscal equalization instrument—has been exapted (Gould &amp; Vrba, 1982) into a mechanism of political control that sustains subnational authoritarianism.</w:t>
      </w:r>
    </w:p>
    <w:p>
      <w:pPr>
        <w:spacing w:after="120" w:line="480"/>
        <w:ind w:firstLine="720"/>
        <w:jc w:val="both"/>
      </w:pPr>
      <w:r>
        <w:rPr>
          <w:rFonts w:ascii="Times New Roman" w:cs="Times New Roman" w:eastAsia="Times New Roman" w:hAnsi="Times New Roman"/>
          <w:sz w:val="24"/>
          <w:szCs w:val="24"/>
        </w:rPr>
        <w:t xml:space="preserve">Three empirical findings support this thesis. First, FSPI correlates with democratic quality at r = 0.96 (p &lt; 0.0001, n = 24): provinces with lower fiscal autonomy exhibit systematically lower democratic competition, higher incumbent reelection rates, and greater public employment ratios. Second, the Constitutional Lock-In Index for the coparticipación mandate reaches 0.997—the highest ever measured in this framework—reflecting 30 years of constitutional non-compliance (1996–2026), 9 documented reform attempts with 0 successes, and a veto coalition of 19/24 provinces controlling 57/72 Senate seats. Third, comparative analysis of fiscal punctuations in the United States (16th Amendment, 42-year stasis), India (GST, 17 years), and Brazil (EC 132, 35 years) reveals that only exogenous shocks equivalent to hyperinflation (shock magnitude ≥ 0.689) can overcome the current equilibrium—a threshold that neither the IMF conditionality of 2025 nor the Milei reform agenda independently reaches.</w:t>
      </w:r>
    </w:p>
    <w:p>
      <w:pPr>
        <w:spacing w:after="120" w:line="480"/>
        <w:ind w:firstLine="720"/>
        <w:jc w:val="both"/>
      </w:pPr>
      <w:r>
        <w:rPr>
          <w:rFonts w:ascii="Times New Roman" w:cs="Times New Roman" w:eastAsia="Times New Roman" w:hAnsi="Times New Roman"/>
          <w:sz w:val="24"/>
          <w:szCs w:val="24"/>
        </w:rPr>
        <w:t xml:space="preserve">The paper makes four original contributions: (1) the FSPI metric, which operationalizes Gervasoni's (2010) rentier theory and Rodden's (2006) Hamilton's Paradox under a unified selection-pressure framework; (2) the formalization of institutional exaptation, connecting Gould &amp; Vrba's biological concept with Streeck &amp; Thelen's (2005) institutional conversion for the first time in fiscal federalism; (3) the identification of micro-macro decoupling in judicial doctrine, where the Supreme Court's consistent rulings on coparticipación's inviolability coexist with zero structural reform—a pattern that parallels Scott's (1990) "hidden transcript"; and (4) a comparative punctuated equilibrium framework that positions Argentina's 30-year stasis within a cross-national taxonomy of fiscal reform impossibility.</w:t>
      </w:r>
    </w:p>
    <w:p>
      <w:pPr>
        <w:spacing w:after="120" w:line="480"/>
        <w:ind w:firstLine="720"/>
        <w:jc w:val="both"/>
      </w:pPr>
      <w:r>
        <w:rPr>
          <w:rFonts w:ascii="Times New Roman" w:cs="Times New Roman" w:eastAsia="Times New Roman" w:hAnsi="Times New Roman"/>
          <w:sz w:val="24"/>
          <w:szCs w:val="24"/>
        </w:rPr>
        <w:t xml:space="preserve">This paper complements Lerer (2025a), which diagnosed Argentina's fiscal architecture as an Evolutionarily Stable Equilibrium, and Lerer (2025b), which proposed a gradual reform pathway via external scaffolding. Where those papers addressed the lock-in mechanism and the reform pathway respectively, this paper demonstrates the </w:t>
      </w:r>
      <w:r>
        <w:rPr>
          <w:rFonts w:ascii="Times New Roman" w:cs="Times New Roman" w:eastAsia="Times New Roman" w:hAnsi="Times New Roman"/>
          <w:i/>
          <w:iCs/>
          <w:sz w:val="24"/>
          <w:szCs w:val="24"/>
        </w:rPr>
        <w:t xml:space="preserve">democratic cost</w:t>
      </w:r>
      <w:r>
        <w:rPr>
          <w:rFonts w:ascii="Times New Roman" w:cs="Times New Roman" w:eastAsia="Times New Roman" w:hAnsi="Times New Roman"/>
          <w:sz w:val="24"/>
          <w:szCs w:val="24"/>
        </w:rPr>
        <w:t xml:space="preserve"> of the lock-in—the dimension that transforms fiscal federalism from a technical coordination problem into a constitutional crisis.</w:t>
      </w:r>
    </w:p>
    <w:p>
      <w:pPr>
        <w:spacing w:after="120" w:line="480"/>
        <w:ind w:firstLine="72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Fiscal Federalism, Subnational Democracy, Evolutionary Game Theory, Punctuated Equilibrium, Coparticipación, Extended Phenotype, Institutional Exaptation, Argentina</w:t>
      </w:r>
    </w:p>
    <w:p>
      <w:pPr>
        <w:spacing w:after="120" w:line="480"/>
        <w:ind w:firstLine="720"/>
        <w:jc w:val="both"/>
      </w:pPr>
      <w:r>
        <w:rPr>
          <w:rFonts w:ascii="Times New Roman" w:cs="Times New Roman" w:eastAsia="Times New Roman" w:hAnsi="Times New Roman"/>
          <w:b/>
          <w:bCs/>
          <w:sz w:val="24"/>
          <w:szCs w:val="24"/>
        </w:rPr>
        <w:t xml:space="preserve">JEL Codes:</w:t>
      </w:r>
      <w:r>
        <w:rPr>
          <w:rFonts w:ascii="Times New Roman" w:cs="Times New Roman" w:eastAsia="Times New Roman" w:hAnsi="Times New Roman"/>
          <w:sz w:val="24"/>
          <w:szCs w:val="24"/>
        </w:rPr>
        <w:t xml:space="preserve"> H77 (Intergovernmental Relations), D72 (Political Processes), P16 (Political Economy), K34 (Tax Law), B52 (Evolutionary Economics)</w:t>
      </w:r>
    </w:p>
    <w:p>
      <w:pPr>
        <w:spacing w:after="120" w:line="480"/>
        <w:ind w:firstLine="720"/>
        <w:jc w:val="both"/>
      </w:pPr>
      <w:r>
        <w:rPr>
          <w:rFonts w:ascii="Times New Roman" w:cs="Times New Roman" w:eastAsia="Times New Roman" w:hAnsi="Times New Roman"/>
          <w:b/>
          <w:bCs/>
          <w:sz w:val="24"/>
          <w:szCs w:val="24"/>
        </w:rPr>
        <w:t xml:space="preserve">Online Materials:</w:t>
      </w:r>
      <w:r>
        <w:rPr>
          <w:rFonts w:ascii="Times New Roman" w:cs="Times New Roman" w:eastAsia="Times New Roman" w:hAnsi="Times New Roman"/>
          <w:sz w:val="24"/>
          <w:szCs w:val="24"/>
        </w:rPr>
        <w:t xml:space="preserve"> https://github.com/adrianlerer/legal-evolution-unified</w:t>
      </w:r>
    </w:p>
    <w:p>
      <w:pPr>
        <w:pStyle w:val="Heading2"/>
        <w:spacing w:after="200" w:before="360" w:line="480"/>
      </w:pPr>
      <w:r>
        <w:rPr>
          <w:rFonts w:ascii="Times New Roman" w:cs="Times New Roman" w:eastAsia="Times New Roman" w:hAnsi="Times New Roman"/>
          <w:b/>
          <w:bCs/>
          <w:sz w:val="26"/>
          <w:szCs w:val="26"/>
        </w:rPr>
        <w:t xml:space="preserve">1. INTRODUCTION</w:t>
      </w:r>
    </w:p>
    <w:p>
      <w:pPr>
        <w:pStyle w:val="Heading3"/>
        <w:spacing w:after="160" w:before="240" w:line="480"/>
      </w:pPr>
      <w:r>
        <w:rPr>
          <w:rFonts w:ascii="Times New Roman" w:cs="Times New Roman" w:eastAsia="Times New Roman" w:hAnsi="Times New Roman"/>
          <w:b/>
          <w:bCs/>
          <w:i/>
          <w:iCs/>
          <w:sz w:val="24"/>
          <w:szCs w:val="24"/>
        </w:rPr>
        <w:t xml:space="preserve">1.1 The Democratic Cost of Fiscal Dependence</w:t>
      </w:r>
    </w:p>
    <w:p>
      <w:pPr>
        <w:spacing w:after="120" w:line="480"/>
        <w:ind w:firstLine="720"/>
        <w:jc w:val="both"/>
      </w:pPr>
      <w:r>
        <w:rPr>
          <w:rFonts w:ascii="Times New Roman" w:cs="Times New Roman" w:eastAsia="Times New Roman" w:hAnsi="Times New Roman"/>
          <w:sz w:val="24"/>
          <w:szCs w:val="24"/>
        </w:rPr>
        <w:t xml:space="preserve">Argentina's federal revenue-sharing system—the coparticipación federal de impuestos—was designed in 1935 to address horizontal fiscal imbalances among provinces with vastly different economic bases. Nearly a century later, the system distributes approximately 48.6% of national tax revenue to 24 subnational jurisdictions through coefficients that have remained essentially unchanged since 1988 (Ley 23.548), despite a constitutional mandate (Disposición Transitoria Sexta, 1994) requiring their replacement by December 31, 1996. This paper asks a question that the existing literature has not addressed directly: what are the </w:t>
      </w:r>
      <w:r>
        <w:rPr>
          <w:rFonts w:ascii="Times New Roman" w:cs="Times New Roman" w:eastAsia="Times New Roman" w:hAnsi="Times New Roman"/>
          <w:i/>
          <w:iCs/>
          <w:sz w:val="24"/>
          <w:szCs w:val="24"/>
        </w:rPr>
        <w:t xml:space="preserve">democratic consequences</w:t>
      </w:r>
      <w:r>
        <w:rPr>
          <w:rFonts w:ascii="Times New Roman" w:cs="Times New Roman" w:eastAsia="Times New Roman" w:hAnsi="Times New Roman"/>
          <w:sz w:val="24"/>
          <w:szCs w:val="24"/>
        </w:rPr>
        <w:t xml:space="preserve"> of this frozen fiscal architecture?</w:t>
      </w:r>
    </w:p>
    <w:p>
      <w:pPr>
        <w:spacing w:after="120" w:line="480"/>
        <w:ind w:firstLine="720"/>
        <w:jc w:val="both"/>
      </w:pPr>
      <w:r>
        <w:rPr>
          <w:rFonts w:ascii="Times New Roman" w:cs="Times New Roman" w:eastAsia="Times New Roman" w:hAnsi="Times New Roman"/>
          <w:sz w:val="24"/>
          <w:szCs w:val="24"/>
        </w:rPr>
        <w:t xml:space="preserve">The standard critique of Argentine coparticipación focuses on allocative inefficiency: the system transfers resources without relation to economic contribution, creating a per capita distortion ratio of 9:1—the highest among federal systems worldwide (IERAL, 2024). Tierra del Fuego receives nine times the per capita transfers of the City of Buenos Aires, despite contributing a fraction of national output. This distortion exceeds Germany's Finanzausgleich (2:1), Switzerland's NFA (2.5:1), the United States' federal grants (3:1), and Brazil's FPE/FPM (5:1).</w:t>
      </w:r>
    </w:p>
    <w:p>
      <w:pPr>
        <w:spacing w:after="120" w:line="480"/>
        <w:ind w:firstLine="720"/>
        <w:jc w:val="both"/>
      </w:pPr>
      <w:r>
        <w:rPr>
          <w:rFonts w:ascii="Times New Roman" w:cs="Times New Roman" w:eastAsia="Times New Roman" w:hAnsi="Times New Roman"/>
          <w:sz w:val="24"/>
          <w:szCs w:val="24"/>
        </w:rPr>
        <w:t xml:space="preserve">But the fiscal distortion, however extreme, is only the surface phenomenon. Beneath it lies a more consequential dynamic: the elimination of competitive pressure between jurisdictions, which produces what I term </w:t>
      </w:r>
      <w:r>
        <w:rPr>
          <w:rFonts w:ascii="Times New Roman" w:cs="Times New Roman" w:eastAsia="Times New Roman" w:hAnsi="Times New Roman"/>
          <w:i/>
          <w:iCs/>
          <w:sz w:val="24"/>
          <w:szCs w:val="24"/>
        </w:rPr>
        <w:t xml:space="preserve">subsidized stasis</w:t>
      </w:r>
      <w:r>
        <w:rPr>
          <w:rFonts w:ascii="Times New Roman" w:cs="Times New Roman" w:eastAsia="Times New Roman" w:hAnsi="Times New Roman"/>
          <w:sz w:val="24"/>
          <w:szCs w:val="24"/>
        </w:rPr>
        <w:t xml:space="preserve">—the sustained persistence of low-quality institutional equilibria through external resource flows that decouple a government's survival from its performance.</w:t>
      </w:r>
    </w:p>
    <w:p>
      <w:pPr>
        <w:pStyle w:val="Heading3"/>
        <w:spacing w:after="160" w:before="240" w:line="480"/>
      </w:pPr>
      <w:r>
        <w:rPr>
          <w:rFonts w:ascii="Times New Roman" w:cs="Times New Roman" w:eastAsia="Times New Roman" w:hAnsi="Times New Roman"/>
          <w:b/>
          <w:bCs/>
          <w:i/>
          <w:iCs/>
          <w:sz w:val="24"/>
          <w:szCs w:val="24"/>
        </w:rPr>
        <w:t xml:space="preserve">1.2 The Analytical Gap</w:t>
      </w:r>
    </w:p>
    <w:p>
      <w:pPr>
        <w:spacing w:after="120" w:line="480"/>
        <w:ind w:firstLine="720"/>
        <w:jc w:val="both"/>
      </w:pPr>
      <w:r>
        <w:rPr>
          <w:rFonts w:ascii="Times New Roman" w:cs="Times New Roman" w:eastAsia="Times New Roman" w:hAnsi="Times New Roman"/>
          <w:sz w:val="24"/>
          <w:szCs w:val="24"/>
        </w:rPr>
        <w:t xml:space="preserve">Two bodies of literature converge on this problem without meeting. The fiscal federalism literature, from Tiebout (1956) through Oates (1972, 2005), Brennan &amp; Buchanan (1980), and Rodden (2006), has extensively theorized how intergovernmental competition disciplines subnational governments. Salmon (1987, 2006) formalized yardstick competition as the mechanism through which voters use cross-jurisdictional comparison to evaluate incumbents. Kornai (1980, 2014) identified the soft budget constraint as the pathology that arises when this competitive discipline is removed. Yet this literature has not produced a unified metric of subnational fiscal selection pressure, nor has it connected the fiscal mechanism to democratic outcomes at the subnational level.</w:t>
      </w:r>
    </w:p>
    <w:p>
      <w:pPr>
        <w:spacing w:after="120" w:line="480"/>
        <w:ind w:firstLine="720"/>
        <w:jc w:val="both"/>
      </w:pPr>
      <w:r>
        <w:rPr>
          <w:rFonts w:ascii="Times New Roman" w:cs="Times New Roman" w:eastAsia="Times New Roman" w:hAnsi="Times New Roman"/>
          <w:sz w:val="24"/>
          <w:szCs w:val="24"/>
        </w:rPr>
        <w:t xml:space="preserve">The subnational democracy literature, centered on Gervasoni's (2010, 2018) rentier theory of subnational regimes, has demonstrated that provinces with disproportionate fiscal transfers exhibit lower democratic quality—measured by his Subnational Democracy Index (SDI)—even controlling for GDP per capita. Calvo &amp; Murillo (2004) showed that the Partido Justicialista extracts "more votes per buck" from patronage employment in provinces it controls, precisely because fiscal dependence funds a clientelist employment structure. Weitz-Shapiro (2012, 2014) identified the conditions under which clientelism weakens. But this literature has not formalized the fiscal mechanism in evolutionary terms, nor connected it to the broader dynamics of institutional persistence and punctuated change.</w:t>
      </w:r>
    </w:p>
    <w:p>
      <w:pPr>
        <w:spacing w:after="120" w:line="480"/>
        <w:ind w:firstLine="720"/>
        <w:jc w:val="both"/>
      </w:pPr>
      <w:r>
        <w:rPr>
          <w:rFonts w:ascii="Times New Roman" w:cs="Times New Roman" w:eastAsia="Times New Roman" w:hAnsi="Times New Roman"/>
          <w:sz w:val="24"/>
          <w:szCs w:val="24"/>
        </w:rPr>
        <w:t xml:space="preserve">This paper occupies the intersection: it formalizes the </w:t>
      </w:r>
      <w:r>
        <w:rPr>
          <w:rFonts w:ascii="Times New Roman" w:cs="Times New Roman" w:eastAsia="Times New Roman" w:hAnsi="Times New Roman"/>
          <w:i/>
          <w:iCs/>
          <w:sz w:val="24"/>
          <w:szCs w:val="24"/>
        </w:rPr>
        <w:t xml:space="preserve">mechanism</w:t>
      </w:r>
      <w:r>
        <w:rPr>
          <w:rFonts w:ascii="Times New Roman" w:cs="Times New Roman" w:eastAsia="Times New Roman" w:hAnsi="Times New Roman"/>
          <w:sz w:val="24"/>
          <w:szCs w:val="24"/>
        </w:rPr>
        <w:t xml:space="preserve"> by which fiscal transfers eliminate selection pressure (FSPI), traces the </w:t>
      </w:r>
      <w:r>
        <w:rPr>
          <w:rFonts w:ascii="Times New Roman" w:cs="Times New Roman" w:eastAsia="Times New Roman" w:hAnsi="Times New Roman"/>
          <w:i/>
          <w:iCs/>
          <w:sz w:val="24"/>
          <w:szCs w:val="24"/>
        </w:rPr>
        <w:t xml:space="preserve">process</w:t>
      </w:r>
      <w:r>
        <w:rPr>
          <w:rFonts w:ascii="Times New Roman" w:cs="Times New Roman" w:eastAsia="Times New Roman" w:hAnsi="Times New Roman"/>
          <w:sz w:val="24"/>
          <w:szCs w:val="24"/>
        </w:rPr>
        <w:t xml:space="preserve"> by which an equalization instrument becomes a control mechanism (exaptation), measures the </w:t>
      </w:r>
      <w:r>
        <w:rPr>
          <w:rFonts w:ascii="Times New Roman" w:cs="Times New Roman" w:eastAsia="Times New Roman" w:hAnsi="Times New Roman"/>
          <w:i/>
          <w:iCs/>
          <w:sz w:val="24"/>
          <w:szCs w:val="24"/>
        </w:rPr>
        <w:t xml:space="preserve">rigidity</w:t>
      </w:r>
      <w:r>
        <w:rPr>
          <w:rFonts w:ascii="Times New Roman" w:cs="Times New Roman" w:eastAsia="Times New Roman" w:hAnsi="Times New Roman"/>
          <w:sz w:val="24"/>
          <w:szCs w:val="24"/>
        </w:rPr>
        <w:t xml:space="preserve"> of the resulting equilibrium (CLI), and identifies the </w:t>
      </w:r>
      <w:r>
        <w:rPr>
          <w:rFonts w:ascii="Times New Roman" w:cs="Times New Roman" w:eastAsia="Times New Roman" w:hAnsi="Times New Roman"/>
          <w:i/>
          <w:iCs/>
          <w:sz w:val="24"/>
          <w:szCs w:val="24"/>
        </w:rPr>
        <w:t xml:space="preserve">conditions</w:t>
      </w:r>
      <w:r>
        <w:rPr>
          <w:rFonts w:ascii="Times New Roman" w:cs="Times New Roman" w:eastAsia="Times New Roman" w:hAnsi="Times New Roman"/>
          <w:sz w:val="24"/>
          <w:szCs w:val="24"/>
        </w:rPr>
        <w:t xml:space="preserve"> under which it can be disrupted (punctuated equilibrium comparative analysis).</w:t>
      </w:r>
    </w:p>
    <w:p>
      <w:pPr>
        <w:pStyle w:val="Heading3"/>
        <w:spacing w:after="160" w:before="240" w:line="480"/>
      </w:pPr>
      <w:r>
        <w:rPr>
          <w:rFonts w:ascii="Times New Roman" w:cs="Times New Roman" w:eastAsia="Times New Roman" w:hAnsi="Times New Roman"/>
          <w:b/>
          <w:bCs/>
          <w:i/>
          <w:iCs/>
          <w:sz w:val="24"/>
          <w:szCs w:val="24"/>
        </w:rPr>
        <w:t xml:space="preserve">1.3 Research Questions</w:t>
      </w:r>
    </w:p>
    <w:p>
      <w:pPr>
        <w:spacing w:after="120" w:line="480"/>
        <w:ind w:firstLine="720"/>
        <w:jc w:val="both"/>
      </w:pPr>
      <w:r>
        <w:rPr>
          <w:rFonts w:ascii="Times New Roman" w:cs="Times New Roman" w:eastAsia="Times New Roman" w:hAnsi="Times New Roman"/>
          <w:sz w:val="24"/>
          <w:szCs w:val="24"/>
        </w:rPr>
        <w:t xml:space="preserve">The paper addresses three hypotheses:</w:t>
      </w:r>
    </w:p>
    <w:p>
      <w:pPr>
        <w:spacing w:after="120" w:line="480"/>
        <w:ind w:firstLine="720"/>
        <w:jc w:val="both"/>
      </w:pPr>
      <w:r>
        <w:rPr>
          <w:rFonts w:ascii="Times New Roman" w:cs="Times New Roman" w:eastAsia="Times New Roman" w:hAnsi="Times New Roman"/>
          <w:b/>
          <w:bCs/>
          <w:sz w:val="24"/>
          <w:szCs w:val="24"/>
        </w:rPr>
        <w:t xml:space="preserve">H1 (Selection-Democracy Link):</w:t>
      </w:r>
      <w:r>
        <w:rPr>
          <w:rFonts w:ascii="Times New Roman" w:cs="Times New Roman" w:eastAsia="Times New Roman" w:hAnsi="Times New Roman"/>
          <w:sz w:val="24"/>
          <w:szCs w:val="24"/>
        </w:rPr>
        <w:t xml:space="preserve"> The Fiscal Selection Pressure Index (FSPI) positively correlates with subnational democratic quality across Argentina's 24 jurisdictions. Provinces with lower fiscal autonomy—i.e., those whose survival is least dependent on their own fiscal performance—exhibit lower democratic competition, higher incumbent entrenchment, and greater reliance on public employment as a political resource.</w:t>
      </w:r>
    </w:p>
    <w:p>
      <w:pPr>
        <w:spacing w:after="120" w:line="480"/>
        <w:ind w:firstLine="720"/>
        <w:jc w:val="both"/>
      </w:pPr>
      <w:r>
        <w:rPr>
          <w:rFonts w:ascii="Times New Roman" w:cs="Times New Roman" w:eastAsia="Times New Roman" w:hAnsi="Times New Roman"/>
          <w:b/>
          <w:bCs/>
          <w:sz w:val="24"/>
          <w:szCs w:val="24"/>
        </w:rPr>
        <w:t xml:space="preserve">H2 (Constitutional Lock-In):</w:t>
      </w:r>
      <w:r>
        <w:rPr>
          <w:rFonts w:ascii="Times New Roman" w:cs="Times New Roman" w:eastAsia="Times New Roman" w:hAnsi="Times New Roman"/>
          <w:sz w:val="24"/>
          <w:szCs w:val="24"/>
        </w:rPr>
        <w:t xml:space="preserve"> The Constitutional Lock-In Index (CLI) for the coparticipación mandate exceeds the CLI previously measured for Argentina's labor market (Lerer, 2025a), reflecting a structurally unreformable equilibrium sustained by a supermajority veto coalition embedded in the Senate's territorial representation.</w:t>
      </w:r>
    </w:p>
    <w:p>
      <w:pPr>
        <w:spacing w:after="120" w:line="480"/>
        <w:ind w:firstLine="720"/>
        <w:jc w:val="both"/>
      </w:pPr>
      <w:r>
        <w:rPr>
          <w:rFonts w:ascii="Times New Roman" w:cs="Times New Roman" w:eastAsia="Times New Roman" w:hAnsi="Times New Roman"/>
          <w:b/>
          <w:bCs/>
          <w:sz w:val="24"/>
          <w:szCs w:val="24"/>
        </w:rPr>
        <w:t xml:space="preserve">H3 (Punctuation Threshold):</w:t>
      </w:r>
      <w:r>
        <w:rPr>
          <w:rFonts w:ascii="Times New Roman" w:cs="Times New Roman" w:eastAsia="Times New Roman" w:hAnsi="Times New Roman"/>
          <w:sz w:val="24"/>
          <w:szCs w:val="24"/>
        </w:rPr>
        <w:t xml:space="preserve"> Under current institutional conditions, the probability of structural reform remains below the 50% threshold unless an exogenous shock of magnitude comparable to hyperinflation disrupts the veto coalition. Neither the 2025 IMF program nor the Milei administration's fiscal reform agenda, independently or combined, reaches this threshold.</w:t>
      </w:r>
    </w:p>
    <w:p>
      <w:pPr>
        <w:pStyle w:val="Heading3"/>
        <w:spacing w:after="160" w:before="240" w:line="480"/>
      </w:pPr>
      <w:r>
        <w:rPr>
          <w:rFonts w:ascii="Times New Roman" w:cs="Times New Roman" w:eastAsia="Times New Roman" w:hAnsi="Times New Roman"/>
          <w:b/>
          <w:bCs/>
          <w:i/>
          <w:iCs/>
          <w:sz w:val="24"/>
          <w:szCs w:val="24"/>
        </w:rPr>
        <w:t xml:space="preserve">1.4 Contribution and Paper Structure</w:t>
      </w:r>
    </w:p>
    <w:p>
      <w:pPr>
        <w:spacing w:after="120" w:line="480"/>
        <w:ind w:firstLine="720"/>
        <w:jc w:val="both"/>
      </w:pPr>
      <w:r>
        <w:rPr>
          <w:rFonts w:ascii="Times New Roman" w:cs="Times New Roman" w:eastAsia="Times New Roman" w:hAnsi="Times New Roman"/>
          <w:sz w:val="24"/>
          <w:szCs w:val="24"/>
        </w:rPr>
        <w:t xml:space="preserve">The paper makes six original contributions, detailed in subsequent sections:</w:t>
      </w:r>
    </w:p>
    <w:p>
      <w:pPr>
        <w:spacing w:after="120" w:line="480"/>
        <w:ind w:left="720" w:hanging="360"/>
      </w:pPr>
      <w:r>
        <w:rPr>
          <w:rFonts w:ascii="Times New Roman" w:cs="Times New Roman" w:eastAsia="Times New Roman" w:hAnsi="Times New Roman"/>
          <w:b/>
          <w:bCs/>
          <w:sz w:val="24"/>
          <w:szCs w:val="24"/>
        </w:rPr>
        <w:t xml:space="preserve">The FSPI metric</w:t>
      </w:r>
      <w:r>
        <w:rPr>
          <w:rFonts w:ascii="Times New Roman" w:cs="Times New Roman" w:eastAsia="Times New Roman" w:hAnsi="Times New Roman"/>
          <w:sz w:val="24"/>
          <w:szCs w:val="24"/>
        </w:rPr>
        <w:t xml:space="preserve"> (Section 3): a continuous index that operationalizes the competitive pressure a jurisdiction faces from its own citizens and economic base, unifying Tiebout, Salmon, Kornai, and Rodden under a single selection-pressure framework.</w:t>
      </w:r>
    </w:p>
    <w:p>
      <w:pPr>
        <w:spacing w:after="120" w:line="480"/>
        <w:ind w:left="720" w:hanging="360"/>
      </w:pPr>
      <w:r>
        <w:rPr>
          <w:rFonts w:ascii="Times New Roman" w:cs="Times New Roman" w:eastAsia="Times New Roman" w:hAnsi="Times New Roman"/>
          <w:b/>
          <w:bCs/>
          <w:sz w:val="24"/>
          <w:szCs w:val="24"/>
        </w:rPr>
        <w:t xml:space="preserve">The subsidized stasis model</w:t>
      </w:r>
      <w:r>
        <w:rPr>
          <w:rFonts w:ascii="Times New Roman" w:cs="Times New Roman" w:eastAsia="Times New Roman" w:hAnsi="Times New Roman"/>
          <w:sz w:val="24"/>
          <w:szCs w:val="24"/>
        </w:rPr>
        <w:t xml:space="preserve"> (Section 4): an EGT formalization of the equilibrium in which fiscal transfers eliminate between-group selection, producing institutional vestigiality analogous to biological organ degeneration under relaxed selection.</w:t>
      </w:r>
    </w:p>
    <w:p>
      <w:pPr>
        <w:spacing w:after="120" w:line="480"/>
        <w:ind w:left="720" w:hanging="360"/>
      </w:pPr>
      <w:r>
        <w:rPr>
          <w:rFonts w:ascii="Times New Roman" w:cs="Times New Roman" w:eastAsia="Times New Roman" w:hAnsi="Times New Roman"/>
          <w:b/>
          <w:bCs/>
          <w:sz w:val="24"/>
          <w:szCs w:val="24"/>
        </w:rPr>
        <w:t xml:space="preserve">CLI_copart = 0.997</w:t>
      </w:r>
      <w:r>
        <w:rPr>
          <w:rFonts w:ascii="Times New Roman" w:cs="Times New Roman" w:eastAsia="Times New Roman" w:hAnsi="Times New Roman"/>
          <w:sz w:val="24"/>
          <w:szCs w:val="24"/>
        </w:rPr>
        <w:t xml:space="preserve"> (Section 4): the empirical measurement of constitutional lock-in for the coparticipación regime, the highest value recorded in this framework, reflecting 30 years of mandate non-compliance.</w:t>
      </w:r>
    </w:p>
    <w:p>
      <w:pPr>
        <w:spacing w:after="120" w:line="480"/>
        <w:ind w:left="720" w:hanging="360"/>
      </w:pPr>
      <w:r>
        <w:rPr>
          <w:rFonts w:ascii="Times New Roman" w:cs="Times New Roman" w:eastAsia="Times New Roman" w:hAnsi="Times New Roman"/>
          <w:b/>
          <w:bCs/>
          <w:sz w:val="24"/>
          <w:szCs w:val="24"/>
        </w:rPr>
        <w:t xml:space="preserve">The exaptation thesis</w:t>
      </w:r>
      <w:r>
        <w:rPr>
          <w:rFonts w:ascii="Times New Roman" w:cs="Times New Roman" w:eastAsia="Times New Roman" w:hAnsi="Times New Roman"/>
          <w:sz w:val="24"/>
          <w:szCs w:val="24"/>
        </w:rPr>
        <w:t xml:space="preserve"> (Section 5): the first explicit connection between Gould &amp; Vrba's (1982) biological concept and Streeck &amp; Thelen's (2005) institutional conversion applied to fiscal federalism—the coparticipación was designed for equalization (F1) but now functions as a mechanism of political control (F2).</w:t>
      </w:r>
    </w:p>
    <w:p>
      <w:pPr>
        <w:spacing w:after="120" w:line="480"/>
        <w:ind w:left="720" w:hanging="360"/>
      </w:pPr>
      <w:r>
        <w:rPr>
          <w:rFonts w:ascii="Times New Roman" w:cs="Times New Roman" w:eastAsia="Times New Roman" w:hAnsi="Times New Roman"/>
          <w:b/>
          <w:bCs/>
          <w:sz w:val="24"/>
          <w:szCs w:val="24"/>
        </w:rPr>
        <w:t xml:space="preserve">Micro-macro decoupling in judicial doctrine</w:t>
      </w:r>
      <w:r>
        <w:rPr>
          <w:rFonts w:ascii="Times New Roman" w:cs="Times New Roman" w:eastAsia="Times New Roman" w:hAnsi="Times New Roman"/>
          <w:sz w:val="24"/>
          <w:szCs w:val="24"/>
        </w:rPr>
        <w:t xml:space="preserve"> (Section 5): the demonstration that the Supreme Court's consistent rulings on coparticipación doctrine constitute a "hidden transcript" (Scott, 1990) that achieves doctrinal refinement without structural change—Lamarckian plasticity at the micro level coexisting with Gouldian stasis at the macro level.</w:t>
      </w:r>
    </w:p>
    <w:p>
      <w:pPr>
        <w:spacing w:after="120" w:line="480"/>
        <w:ind w:left="720" w:hanging="360"/>
      </w:pPr>
      <w:r>
        <w:rPr>
          <w:rFonts w:ascii="Times New Roman" w:cs="Times New Roman" w:eastAsia="Times New Roman" w:hAnsi="Times New Roman"/>
          <w:b/>
          <w:bCs/>
          <w:sz w:val="24"/>
          <w:szCs w:val="24"/>
        </w:rPr>
        <w:t xml:space="preserve">A comparative PE framework</w:t>
      </w:r>
      <w:r>
        <w:rPr>
          <w:rFonts w:ascii="Times New Roman" w:cs="Times New Roman" w:eastAsia="Times New Roman" w:hAnsi="Times New Roman"/>
          <w:sz w:val="24"/>
          <w:szCs w:val="24"/>
        </w:rPr>
        <w:t xml:space="preserve"> (Section 6): the first systematic comparison of fiscal punctuations across federal systems (USA 16th Amendment, India GST, Brazil EC 132), identifying the three universal preconditions for reform and explaining why Argentina currently satisfies none of them.</w:t>
      </w:r>
    </w:p>
    <w:p>
      <w:pPr>
        <w:spacing w:after="120" w:line="480"/>
        <w:ind w:firstLine="720"/>
        <w:jc w:val="both"/>
      </w:pPr>
      <w:r>
        <w:rPr>
          <w:rFonts w:ascii="Times New Roman" w:cs="Times New Roman" w:eastAsia="Times New Roman" w:hAnsi="Times New Roman"/>
          <w:sz w:val="24"/>
          <w:szCs w:val="24"/>
        </w:rPr>
        <w:t xml:space="preserve">Section 2 presents the theoretical framework. Section 3 formalizes the FSPI and CLI metrics. Section 4 presents the empirical analysis of H1–H3. Section 5 develops the exaptation thesis and hidden transcript analysis. Section 6 provides the comparative analysis. Section 7 concludes with implications for reform strategy and democratic theory.</w:t>
      </w:r>
    </w:p>
    <w:p>
      <w:pPr>
        <w:pStyle w:val="Heading2"/>
        <w:spacing w:after="200" w:before="360" w:line="480"/>
      </w:pPr>
      <w:r>
        <w:rPr>
          <w:rFonts w:ascii="Times New Roman" w:cs="Times New Roman" w:eastAsia="Times New Roman" w:hAnsi="Times New Roman"/>
          <w:b/>
          <w:bCs/>
          <w:sz w:val="26"/>
          <w:szCs w:val="26"/>
        </w:rPr>
        <w:t xml:space="preserve">2. THEORETICAL FRAMEWORK: SELECTION PRESSURE IN FEDERAL SYSTEMS</w:t>
      </w:r>
    </w:p>
    <w:p>
      <w:pPr>
        <w:pStyle w:val="Heading3"/>
        <w:spacing w:after="160" w:before="240" w:line="480"/>
      </w:pPr>
      <w:r>
        <w:rPr>
          <w:rFonts w:ascii="Times New Roman" w:cs="Times New Roman" w:eastAsia="Times New Roman" w:hAnsi="Times New Roman"/>
          <w:b/>
          <w:bCs/>
          <w:i/>
          <w:iCs/>
          <w:sz w:val="24"/>
          <w:szCs w:val="24"/>
        </w:rPr>
        <w:t xml:space="preserve">2.1 The Genealogy of Fiscal Selection</w:t>
      </w:r>
    </w:p>
    <w:p>
      <w:pPr>
        <w:spacing w:after="120" w:line="480"/>
        <w:ind w:firstLine="720"/>
        <w:jc w:val="both"/>
      </w:pPr>
      <w:r>
        <w:rPr>
          <w:rFonts w:ascii="Times New Roman" w:cs="Times New Roman" w:eastAsia="Times New Roman" w:hAnsi="Times New Roman"/>
          <w:sz w:val="24"/>
          <w:szCs w:val="24"/>
        </w:rPr>
        <w:t xml:space="preserve">The theoretical foundation of the FSPI draws on seven decades of scholarship that converges, without prior unification, on a single mechanism: the disciplining effect of fiscal competition between jurisdictions.</w:t>
      </w:r>
    </w:p>
    <w:p>
      <w:pPr>
        <w:spacing w:after="120" w:line="480"/>
        <w:ind w:firstLine="720"/>
        <w:jc w:val="both"/>
      </w:pPr>
      <w:r>
        <w:rPr>
          <w:rFonts w:ascii="Times New Roman" w:cs="Times New Roman" w:eastAsia="Times New Roman" w:hAnsi="Times New Roman"/>
          <w:b/>
          <w:bCs/>
          <w:sz w:val="24"/>
          <w:szCs w:val="24"/>
        </w:rPr>
        <w:t xml:space="preserve">Tiebout (1956)</w:t>
      </w:r>
      <w:r>
        <w:rPr>
          <w:rFonts w:ascii="Times New Roman" w:cs="Times New Roman" w:eastAsia="Times New Roman" w:hAnsi="Times New Roman"/>
          <w:sz w:val="24"/>
          <w:szCs w:val="24"/>
        </w:rPr>
        <w:t xml:space="preserve"> established the foundational insight: citizens "vote with their feet," choosing jurisdictions that best match their preferences for public goods and tax burdens. Jurisdictions that provide inferior public goods at higher cost lose residents. Wooders (1999) formalized this as a cooperative game equilibrium: in the core of the multijurisdictional economy, homogeneous types sort into efficient jurisdictions. The mechanism is isomorphic to natural selection: variation (jurisdictional differences), selection (citizen mobility), and differential reproduction (population growth in efficient jurisdictions, decline in inefficient ones).</w:t>
      </w:r>
    </w:p>
    <w:p>
      <w:pPr>
        <w:spacing w:after="120" w:line="480"/>
        <w:ind w:firstLine="720"/>
        <w:jc w:val="both"/>
      </w:pPr>
      <w:r>
        <w:rPr>
          <w:rFonts w:ascii="Times New Roman" w:cs="Times New Roman" w:eastAsia="Times New Roman" w:hAnsi="Times New Roman"/>
          <w:b/>
          <w:bCs/>
          <w:sz w:val="24"/>
          <w:szCs w:val="24"/>
        </w:rPr>
        <w:t xml:space="preserve">Brennan &amp; Buchanan (1980)</w:t>
      </w:r>
      <w:r>
        <w:rPr>
          <w:rFonts w:ascii="Times New Roman" w:cs="Times New Roman" w:eastAsia="Times New Roman" w:hAnsi="Times New Roman"/>
          <w:sz w:val="24"/>
          <w:szCs w:val="24"/>
        </w:rPr>
        <w:t xml:space="preserve"> identified the normative implication: if fiscal competition constrains governmental extraction, then federalism functions as a substitute for explicit constitutional limits on the taxing power. A monopolist government (Leviathan) extracts maximally; competing governments are constrained by the threat of exit. Oates (1999, 2005) refined this into the "second generation" theory of fiscal federalism, incorporating political markets: voters and financial markets monitor subnational fiscal performance, creating accountability when jurisdictions self-finance.</w:t>
      </w:r>
    </w:p>
    <w:p>
      <w:pPr>
        <w:spacing w:after="120" w:line="480"/>
        <w:ind w:firstLine="720"/>
        <w:jc w:val="both"/>
      </w:pPr>
      <w:r>
        <w:rPr>
          <w:rFonts w:ascii="Times New Roman" w:cs="Times New Roman" w:eastAsia="Times New Roman" w:hAnsi="Times New Roman"/>
          <w:b/>
          <w:bCs/>
          <w:sz w:val="24"/>
          <w:szCs w:val="24"/>
        </w:rPr>
        <w:t xml:space="preserve">Kornai (1980, 1986, 2014)</w:t>
      </w:r>
      <w:r>
        <w:rPr>
          <w:rFonts w:ascii="Times New Roman" w:cs="Times New Roman" w:eastAsia="Times New Roman" w:hAnsi="Times New Roman"/>
          <w:sz w:val="24"/>
          <w:szCs w:val="24"/>
        </w:rPr>
        <w:t xml:space="preserve"> identified the pathology that emerges when this competitive pressure is removed. The soft budget constraint (SBC) describes entities—originally socialist enterprises, later extended to subnational governments—that expect to be rescued from fiscal distress regardless of their performance. Vigneault (2005) formalized the extension: "the soft budget constraint problem would not arise if subnational governments did not depend on transfers from the central government." The IMF (2010) documented that SBC is more probable when more than 50% of subnational spending is financed from the central pool—a threshold exceeded by 19 of Argentina's 24 jurisdictions.</w:t>
      </w:r>
    </w:p>
    <w:p>
      <w:pPr>
        <w:spacing w:after="120" w:line="480"/>
        <w:ind w:firstLine="720"/>
        <w:jc w:val="both"/>
      </w:pPr>
      <w:r>
        <w:rPr>
          <w:rFonts w:ascii="Times New Roman" w:cs="Times New Roman" w:eastAsia="Times New Roman" w:hAnsi="Times New Roman"/>
          <w:b/>
          <w:bCs/>
          <w:sz w:val="24"/>
          <w:szCs w:val="24"/>
        </w:rPr>
        <w:t xml:space="preserve">Salmon (1987, 2006)</w:t>
      </w:r>
      <w:r>
        <w:rPr>
          <w:rFonts w:ascii="Times New Roman" w:cs="Times New Roman" w:eastAsia="Times New Roman" w:hAnsi="Times New Roman"/>
          <w:sz w:val="24"/>
          <w:szCs w:val="24"/>
        </w:rPr>
        <w:t xml:space="preserve"> formalized a second mechanism of fiscal accountability: yardstick competition. Even without physical mobility (Tiebout), voters can compare their government's performance with that of neighboring jurisdictions and punish underperformers electorally. This mechanism fails, however, when fiscal transfers obscure the relationship between taxation and public good provision. In provinces where 84–91% of revenue comes from national transfers (Formosa, Santiago del Estero, La Rioja), voters cannot meaningfully evaluate whether their governor manages resources well, because the resources are not </w:t>
      </w:r>
      <w:r>
        <w:rPr>
          <w:rFonts w:ascii="Times New Roman" w:cs="Times New Roman" w:eastAsia="Times New Roman" w:hAnsi="Times New Roman"/>
          <w:i/>
          <w:iCs/>
          <w:sz w:val="24"/>
          <w:szCs w:val="24"/>
        </w:rPr>
        <w:t xml:space="preserve">his</w:t>
      </w:r>
      <w:r>
        <w:rPr>
          <w:rFonts w:ascii="Times New Roman" w:cs="Times New Roman" w:eastAsia="Times New Roman" w:hAnsi="Times New Roman"/>
          <w:sz w:val="24"/>
          <w:szCs w:val="24"/>
        </w:rPr>
        <w:t xml:space="preserve"> to manage—they are allocated in Buenos Aires through political negotiation.</w:t>
      </w:r>
    </w:p>
    <w:p>
      <w:pPr>
        <w:spacing w:after="120" w:line="480"/>
        <w:ind w:firstLine="720"/>
        <w:jc w:val="both"/>
      </w:pPr>
      <w:r>
        <w:rPr>
          <w:rFonts w:ascii="Times New Roman" w:cs="Times New Roman" w:eastAsia="Times New Roman" w:hAnsi="Times New Roman"/>
          <w:b/>
          <w:bCs/>
          <w:sz w:val="24"/>
          <w:szCs w:val="24"/>
        </w:rPr>
        <w:t xml:space="preserve">Rodden (2006)</w:t>
      </w:r>
      <w:r>
        <w:rPr>
          <w:rFonts w:ascii="Times New Roman" w:cs="Times New Roman" w:eastAsia="Times New Roman" w:hAnsi="Times New Roman"/>
          <w:sz w:val="24"/>
          <w:szCs w:val="24"/>
        </w:rPr>
        <w:t xml:space="preserve"> synthesized these insights in </w:t>
      </w:r>
      <w:r>
        <w:rPr>
          <w:rFonts w:ascii="Times New Roman" w:cs="Times New Roman" w:eastAsia="Times New Roman" w:hAnsi="Times New Roman"/>
          <w:i/>
          <w:iCs/>
          <w:sz w:val="24"/>
          <w:szCs w:val="24"/>
        </w:rPr>
        <w:t xml:space="preserve">Hamilton's Paradox</w:t>
      </w:r>
      <w:r>
        <w:rPr>
          <w:rFonts w:ascii="Times New Roman" w:cs="Times New Roman" w:eastAsia="Times New Roman" w:hAnsi="Times New Roman"/>
          <w:sz w:val="24"/>
          <w:szCs w:val="24"/>
        </w:rPr>
        <w:t xml:space="preserve">, identifying two equilibria in federal fiscal systems: a </w:t>
      </w:r>
      <w:r>
        <w:rPr>
          <w:rFonts w:ascii="Times New Roman" w:cs="Times New Roman" w:eastAsia="Times New Roman" w:hAnsi="Times New Roman"/>
          <w:i/>
          <w:iCs/>
          <w:sz w:val="24"/>
          <w:szCs w:val="24"/>
        </w:rPr>
        <w:t xml:space="preserve">stable equilibrium</w:t>
      </w:r>
      <w:r>
        <w:rPr>
          <w:rFonts w:ascii="Times New Roman" w:cs="Times New Roman" w:eastAsia="Times New Roman" w:hAnsi="Times New Roman"/>
          <w:sz w:val="24"/>
          <w:szCs w:val="24"/>
        </w:rPr>
        <w:t xml:space="preserve"> where subnational governments self-finance and face market and electoral discipline, and a </w:t>
      </w:r>
      <w:r>
        <w:rPr>
          <w:rFonts w:ascii="Times New Roman" w:cs="Times New Roman" w:eastAsia="Times New Roman" w:hAnsi="Times New Roman"/>
          <w:i/>
          <w:iCs/>
          <w:sz w:val="24"/>
          <w:szCs w:val="24"/>
        </w:rPr>
        <w:t xml:space="preserve">dangerous equilibrium</w:t>
      </w:r>
      <w:r>
        <w:rPr>
          <w:rFonts w:ascii="Times New Roman" w:cs="Times New Roman" w:eastAsia="Times New Roman" w:hAnsi="Times New Roman"/>
          <w:sz w:val="24"/>
          <w:szCs w:val="24"/>
        </w:rPr>
        <w:t xml:space="preserve"> where the central government finances most subnational spending, cannot credibly commit to no-bailout policies, and thereby incentivizes overspending and institutional decay. The variable that separates the two equilibria—the proportion of own-source revenue to total revenue—is precisely what the FSPI measures.</w:t>
      </w:r>
    </w:p>
    <w:p>
      <w:pPr>
        <w:spacing w:after="120" w:line="480"/>
        <w:ind w:firstLine="720"/>
        <w:jc w:val="both"/>
      </w:pPr>
      <w:r>
        <w:rPr>
          <w:rFonts w:ascii="Times New Roman" w:cs="Times New Roman" w:eastAsia="Times New Roman" w:hAnsi="Times New Roman"/>
          <w:b/>
          <w:bCs/>
          <w:sz w:val="24"/>
          <w:szCs w:val="24"/>
        </w:rPr>
        <w:t xml:space="preserve">Scharpf (1988, 2005)</w:t>
      </w:r>
      <w:r>
        <w:rPr>
          <w:rFonts w:ascii="Times New Roman" w:cs="Times New Roman" w:eastAsia="Times New Roman" w:hAnsi="Times New Roman"/>
          <w:sz w:val="24"/>
          <w:szCs w:val="24"/>
        </w:rPr>
        <w:t xml:space="preserve"> identified the institutional mechanism that locks in the dangerous equilibrium: the </w:t>
      </w:r>
      <w:r>
        <w:rPr>
          <w:rFonts w:ascii="Times New Roman" w:cs="Times New Roman" w:eastAsia="Times New Roman" w:hAnsi="Times New Roman"/>
          <w:i/>
          <w:iCs/>
          <w:sz w:val="24"/>
          <w:szCs w:val="24"/>
        </w:rPr>
        <w:t xml:space="preserve">joint-decision trap</w:t>
      </w:r>
      <w:r>
        <w:rPr>
          <w:rFonts w:ascii="Times New Roman" w:cs="Times New Roman" w:eastAsia="Times New Roman" w:hAnsi="Times New Roman"/>
          <w:sz w:val="24"/>
          <w:szCs w:val="24"/>
        </w:rPr>
        <w:t xml:space="preserve"> (Politikverflechtungsfalle). In systems where reform requires agreement of both levels of government, the status quo defenders have a structural advantage: they need only block, while reformers must coordinate. Germany's Finanzausgleich exemplified this trap for fifteen years (1990–2006) before a partial reform (Föderalismusreform I) that Scharpf himself characterized as quantitatively extensive but substantively limited.</w:t>
      </w:r>
    </w:p>
    <w:p>
      <w:pPr>
        <w:spacing w:after="120" w:line="480"/>
        <w:ind w:firstLine="720"/>
        <w:jc w:val="both"/>
      </w:pPr>
      <w:r>
        <w:rPr>
          <w:rFonts w:ascii="Times New Roman" w:cs="Times New Roman" w:eastAsia="Times New Roman" w:hAnsi="Times New Roman"/>
          <w:b/>
          <w:bCs/>
          <w:sz w:val="24"/>
          <w:szCs w:val="24"/>
        </w:rPr>
        <w:t xml:space="preserve">Gervasoni (2010, 2018, 2023)</w:t>
      </w:r>
      <w:r>
        <w:rPr>
          <w:rFonts w:ascii="Times New Roman" w:cs="Times New Roman" w:eastAsia="Times New Roman" w:hAnsi="Times New Roman"/>
          <w:sz w:val="24"/>
          <w:szCs w:val="24"/>
        </w:rPr>
        <w:t xml:space="preserve"> provided the empirical link to subnational democracy. His "rentier theory of subnational regimes" demonstrated that Argentine provinces receiving disproportionate fiscal transfers exhibit lower democratic quality—measured by an original Subnational Democracy Index (SDI) combining electoral competitiveness, media plurality, institutional checks, and civil liberties. The mechanism Gervasoni identifies—fiscal rents fund patronage, which funds electoral dominance, which perpetuates fiscal dependence—is the causal chain that the FSPI formalizes as a selection-pressure framework.</w:t>
      </w:r>
    </w:p>
    <w:p>
      <w:pPr>
        <w:pStyle w:val="Heading3"/>
        <w:spacing w:after="160" w:before="240" w:line="480"/>
      </w:pPr>
      <w:r>
        <w:rPr>
          <w:rFonts w:ascii="Times New Roman" w:cs="Times New Roman" w:eastAsia="Times New Roman" w:hAnsi="Times New Roman"/>
          <w:b/>
          <w:bCs/>
          <w:i/>
          <w:iCs/>
          <w:sz w:val="24"/>
          <w:szCs w:val="24"/>
        </w:rPr>
        <w:t xml:space="preserve">2.2 The Missing Synthesis</w:t>
      </w:r>
    </w:p>
    <w:p>
      <w:pPr>
        <w:spacing w:after="120" w:line="480"/>
        <w:ind w:firstLine="720"/>
        <w:jc w:val="both"/>
      </w:pPr>
      <w:r>
        <w:rPr>
          <w:rFonts w:ascii="Times New Roman" w:cs="Times New Roman" w:eastAsia="Times New Roman" w:hAnsi="Times New Roman"/>
          <w:sz w:val="24"/>
          <w:szCs w:val="24"/>
        </w:rPr>
        <w:t xml:space="preserve">Despite this convergence, no prior work has:</w:t>
      </w:r>
    </w:p>
    <w:p>
      <w:pPr>
        <w:spacing w:after="120" w:line="480"/>
        <w:ind w:left="720" w:hanging="360"/>
      </w:pPr>
      <w:r>
        <w:rPr>
          <w:rFonts w:ascii="Times New Roman" w:cs="Times New Roman" w:eastAsia="Times New Roman" w:hAnsi="Times New Roman"/>
          <w:b/>
          <w:bCs/>
          <w:sz w:val="24"/>
          <w:szCs w:val="24"/>
        </w:rPr>
        <w:t xml:space="preserve">Unified</w:t>
      </w:r>
      <w:r>
        <w:rPr>
          <w:rFonts w:ascii="Times New Roman" w:cs="Times New Roman" w:eastAsia="Times New Roman" w:hAnsi="Times New Roman"/>
          <w:sz w:val="24"/>
          <w:szCs w:val="24"/>
        </w:rPr>
        <w:t xml:space="preserve"> the fiscal competition literature (Tiebout–Salmon) with the subnational democracy literature (Gervasoni) under a single evolutionary framework.</w:t>
      </w:r>
    </w:p>
    <w:p>
      <w:pPr>
        <w:spacing w:after="120" w:line="480"/>
        <w:ind w:left="720" w:hanging="360"/>
      </w:pPr>
      <w:r>
        <w:rPr>
          <w:rFonts w:ascii="Times New Roman" w:cs="Times New Roman" w:eastAsia="Times New Roman" w:hAnsi="Times New Roman"/>
          <w:b/>
          <w:bCs/>
          <w:sz w:val="24"/>
          <w:szCs w:val="24"/>
        </w:rPr>
        <w:t xml:space="preserve">Formalized</w:t>
      </w:r>
      <w:r>
        <w:rPr>
          <w:rFonts w:ascii="Times New Roman" w:cs="Times New Roman" w:eastAsia="Times New Roman" w:hAnsi="Times New Roman"/>
          <w:sz w:val="24"/>
          <w:szCs w:val="24"/>
        </w:rPr>
        <w:t xml:space="preserve"> the connection between Gould &amp; Vrba's (1982) exaptation and Streeck &amp; Thelen's (2005) institutional conversion, despite their conceptual equivalence—both describe the phenomenon of a structure co-opted for a function distinct from its origin.</w:t>
      </w:r>
    </w:p>
    <w:p>
      <w:pPr>
        <w:spacing w:after="120" w:line="480"/>
        <w:ind w:left="720" w:hanging="360"/>
      </w:pPr>
      <w:r>
        <w:rPr>
          <w:rFonts w:ascii="Times New Roman" w:cs="Times New Roman" w:eastAsia="Times New Roman" w:hAnsi="Times New Roman"/>
          <w:b/>
          <w:bCs/>
          <w:sz w:val="24"/>
          <w:szCs w:val="24"/>
        </w:rPr>
        <w:t xml:space="preserve">Applied</w:t>
      </w:r>
      <w:r>
        <w:rPr>
          <w:rFonts w:ascii="Times New Roman" w:cs="Times New Roman" w:eastAsia="Times New Roman" w:hAnsi="Times New Roman"/>
          <w:sz w:val="24"/>
          <w:szCs w:val="24"/>
        </w:rPr>
        <w:t xml:space="preserve"> Baumgartner &amp; Jones's (1993) punctuated equilibrium theory to cross-national comparison of fiscal reform events, identifying universal preconditions for punctuation.</w:t>
      </w:r>
    </w:p>
    <w:p>
      <w:pPr>
        <w:spacing w:after="120" w:line="480"/>
        <w:ind w:left="720" w:hanging="360"/>
      </w:pPr>
      <w:r>
        <w:rPr>
          <w:rFonts w:ascii="Times New Roman" w:cs="Times New Roman" w:eastAsia="Times New Roman" w:hAnsi="Times New Roman"/>
          <w:b/>
          <w:bCs/>
          <w:sz w:val="24"/>
          <w:szCs w:val="24"/>
        </w:rPr>
        <w:t xml:space="preserve">Connected</w:t>
      </w:r>
      <w:r>
        <w:rPr>
          <w:rFonts w:ascii="Times New Roman" w:cs="Times New Roman" w:eastAsia="Times New Roman" w:hAnsi="Times New Roman"/>
          <w:sz w:val="24"/>
          <w:szCs w:val="24"/>
        </w:rPr>
        <w:t xml:space="preserve"> the judicial dimension—the Supreme Court's role as a micro-level adaptive system operating within a macro-level frozen structure—to the broader dynamics of institutional stasis.</w:t>
      </w:r>
    </w:p>
    <w:p>
      <w:pPr>
        <w:spacing w:after="120" w:line="480"/>
        <w:ind w:firstLine="720"/>
        <w:jc w:val="both"/>
      </w:pPr>
      <w:r>
        <w:rPr>
          <w:rFonts w:ascii="Times New Roman" w:cs="Times New Roman" w:eastAsia="Times New Roman" w:hAnsi="Times New Roman"/>
          <w:sz w:val="24"/>
          <w:szCs w:val="24"/>
        </w:rPr>
        <w:t xml:space="preserve">The FSPI framework integrates these four dimensions under a single theoretical architecture, positioning Argentina's coparticipación as a case of </w:t>
      </w:r>
      <w:r>
        <w:rPr>
          <w:rFonts w:ascii="Times New Roman" w:cs="Times New Roman" w:eastAsia="Times New Roman" w:hAnsi="Times New Roman"/>
          <w:i/>
          <w:iCs/>
          <w:sz w:val="24"/>
          <w:szCs w:val="24"/>
        </w:rPr>
        <w:t xml:space="preserve">subsidized stasis</w:t>
      </w:r>
      <w:r>
        <w:rPr>
          <w:rFonts w:ascii="Times New Roman" w:cs="Times New Roman" w:eastAsia="Times New Roman" w:hAnsi="Times New Roman"/>
          <w:sz w:val="24"/>
          <w:szCs w:val="24"/>
        </w:rPr>
        <w:t xml:space="preserve">: an extended phenotype (Lerer, 2025a) that persists not because it is efficient but because the elimination of selection pressure has rendered it evolutionarily stable.</w:t>
      </w:r>
    </w:p>
    <w:p>
      <w:pPr>
        <w:pStyle w:val="Heading3"/>
        <w:spacing w:after="160" w:before="240" w:line="480"/>
      </w:pPr>
      <w:r>
        <w:rPr>
          <w:rFonts w:ascii="Times New Roman" w:cs="Times New Roman" w:eastAsia="Times New Roman" w:hAnsi="Times New Roman"/>
          <w:b/>
          <w:bCs/>
          <w:i/>
          <w:iCs/>
          <w:sz w:val="24"/>
          <w:szCs w:val="24"/>
        </w:rPr>
        <w:t xml:space="preserve">2.3 From Biology to Institutions: Conceptual Mapping</w:t>
      </w:r>
    </w:p>
    <w:p>
      <w:pPr>
        <w:spacing w:after="120" w:line="480"/>
        <w:ind w:firstLine="720"/>
        <w:jc w:val="both"/>
      </w:pPr>
      <w:r>
        <w:rPr>
          <w:rFonts w:ascii="Times New Roman" w:cs="Times New Roman" w:eastAsia="Times New Roman" w:hAnsi="Times New Roman"/>
          <w:sz w:val="24"/>
          <w:szCs w:val="24"/>
        </w:rPr>
        <w:t xml:space="preserve">The paper employs evolutionary concepts not as metaphors but as analytical tools, following Steinmo's (2008) "Evolutionary Institutionalism" program, which argues that institutions "literally evolve" as instances of Generalized Darwinism (Hodgson &amp; Knudsen, 2010). The mapping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Biological Concept</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Institutional Analog</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Application to Argentine Coparticipación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Selection pressure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Fiscal competition between jurisdictions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FSPI measures the intensity of this pressure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Vestigial organ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Institutional capacity that atrophies under relaxed selection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Provincial capacity for own-source revenue generation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Exaptation (Gould &amp; Vrba)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Institution co-opted for function other than original design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Coparticipación: equalization → political control</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Punctuated equilibrium (Gould &amp; Eldredge)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Long stasis interrupted by rapid reform</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30 years of DT6 non-compliance without punctuation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Between-group selection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Competition between jurisdictions driving institutional quality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Eliminated by unconditional transfers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Fitness landscape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Reform probability space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CLI defines the height of barriers; shock magnitude defines ability to cross them</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This is not mere analogy. The causal structure is homologous: in both biology and institutional evolution, the removal of selection pressure produces predictable degradation of unused capacities. The predictions are testable: if the FSPI framework is correct, provinces with lower fiscal autonomy should exhibit (a) lower democratic quality, (b) higher public employment ratios, (c) higher incumbent reelection rates, and (d) lower private sector development. All four predictions are confirmed in Section 4.</w:t>
      </w:r>
    </w:p>
    <w:p>
      <w:pPr>
        <w:pStyle w:val="Heading1"/>
        <w:spacing w:after="200" w:before="400" w:line="480"/>
      </w:pPr>
      <w:r>
        <w:rPr>
          <w:rFonts w:ascii="Times New Roman" w:cs="Times New Roman" w:eastAsia="Times New Roman" w:hAnsi="Times New Roman"/>
          <w:b/>
          <w:bCs/>
          <w:sz w:val="28"/>
          <w:szCs w:val="28"/>
        </w:rPr>
        <w:t xml:space="preserve">Insert these sections into the appropriate locations in paper_draft.md</w:t>
      </w:r>
    </w:p>
    <w:p>
      <w:pPr>
        <w:pStyle w:val="Heading3"/>
        <w:spacing w:after="160" w:before="240" w:line="480"/>
      </w:pPr>
      <w:r>
        <w:rPr>
          <w:rFonts w:ascii="Times New Roman" w:cs="Times New Roman" w:eastAsia="Times New Roman" w:hAnsi="Times New Roman"/>
          <w:b/>
          <w:bCs/>
          <w:i/>
          <w:iCs/>
          <w:sz w:val="24"/>
          <w:szCs w:val="24"/>
        </w:rPr>
        <w:t xml:space="preserve">2.4 The Fiscal Trilemma and Its Democratic Dimension</w:t>
      </w:r>
    </w:p>
    <w:p>
      <w:pPr>
        <w:spacing w:after="120" w:line="480"/>
        <w:ind w:firstLine="720"/>
        <w:jc w:val="both"/>
      </w:pPr>
      <w:r>
        <w:rPr>
          <w:rFonts w:ascii="Times New Roman" w:cs="Times New Roman" w:eastAsia="Times New Roman" w:hAnsi="Times New Roman"/>
          <w:sz w:val="24"/>
          <w:szCs w:val="24"/>
        </w:rPr>
        <w:t xml:space="preserve">Lerer (2025a) identified an irresoluble Fiscal Trilemma at the heart of Argentina's constitutional architecture: the simultaneous achievement of (1) constitutional compliance with revenue-sharing mandates, (2) fiscal sustainability without hyperinflationary financing, and (3) provincial fiscal autonomy. Any reform that satisfies two of these three objectives necessarily violates the third. Constitutional compliance (new ley-convenio with objective criteria) would redistribute resources away from dependent provinces, threatening either their fiscal sustainability or their autonomy. Fiscal sustainability (balanced budgets without monetary emission) requires reducing transfer dependence, which violates the political equilibrium that provincial governors have constructed around guaranteed revenue flows. And provincial autonomy (genuine fiscal federalism with own-source revenue) would expose dependent provinces to market discipline they are institutionally unprepared to face.</w:t>
      </w:r>
    </w:p>
    <w:p>
      <w:pPr>
        <w:spacing w:after="120" w:line="480"/>
        <w:ind w:firstLine="720"/>
        <w:jc w:val="both"/>
      </w:pPr>
      <w:r>
        <w:rPr>
          <w:rFonts w:ascii="Times New Roman" w:cs="Times New Roman" w:eastAsia="Times New Roman" w:hAnsi="Times New Roman"/>
          <w:sz w:val="24"/>
          <w:szCs w:val="24"/>
        </w:rPr>
        <w:t xml:space="preserve">This trilemma, however, was formulated without explicit attention to its democratic implications. The present paper extends the diagnosis: the trilemma is not merely a technical coordination problem but a mechanism of democratic degradation. When provincial governors resolve the trilemma by maximizing transfers at the expense of constitutional compliance and genuine autonomy, they simultaneously maximize their political survival (through clientelist employment) and minimize democratic accountability (by eliminating fiscal selection pressure). The trilemma, in other words, is not a bug—it is a feature that has been selected for its ability to sustain incumbent power.</w:t>
      </w:r>
    </w:p>
    <w:p>
      <w:pPr>
        <w:spacing w:after="120" w:line="480"/>
        <w:ind w:firstLine="720"/>
        <w:jc w:val="both"/>
      </w:pPr>
      <w:r>
        <w:rPr>
          <w:rFonts w:ascii="Times New Roman" w:cs="Times New Roman" w:eastAsia="Times New Roman" w:hAnsi="Times New Roman"/>
          <w:sz w:val="24"/>
          <w:szCs w:val="24"/>
        </w:rPr>
        <w:t xml:space="preserve">The formal connection between the trilemma and the FSPI is as follows. Let C, S, and A represent constitutional compliance, fiscal sustainability, and provincial autonomy, respectively. The trilemma states that max(C, S, A) is constrained to two of three. In provinces with FSPI &lt; 0.20 (Formosa, Santiago del Estero, Catamarca, La Rioja), the revealed preference is max(S, A) at the expense of C: these provinces maintain fiscal sustainability through transfers and nominal autonomy through clientelist control, while constitutional compliance (the mandated reform of coparticipación) remains permanently violated. The cost of this choice is paid not in fiscal terms but in democratic terms—a dimension the trilemma framework did not originally capture.</w:t>
      </w:r>
    </w:p>
    <w:p>
      <w:pPr>
        <w:pStyle w:val="Heading3"/>
        <w:spacing w:after="160" w:before="240" w:line="480"/>
      </w:pPr>
      <w:r>
        <w:rPr>
          <w:rFonts w:ascii="Times New Roman" w:cs="Times New Roman" w:eastAsia="Times New Roman" w:hAnsi="Times New Roman"/>
          <w:b/>
          <w:bCs/>
          <w:i/>
          <w:iCs/>
          <w:sz w:val="24"/>
          <w:szCs w:val="24"/>
        </w:rPr>
        <w:t xml:space="preserve">2.5 Extended Phenotype, Exaptation, and Institutional Conversion: Clarifying the Conceptual Architecture</w:t>
      </w:r>
    </w:p>
    <w:p>
      <w:pPr>
        <w:spacing w:after="120" w:line="480"/>
        <w:ind w:firstLine="720"/>
        <w:jc w:val="both"/>
      </w:pPr>
      <w:r>
        <w:rPr>
          <w:rFonts w:ascii="Times New Roman" w:cs="Times New Roman" w:eastAsia="Times New Roman" w:hAnsi="Times New Roman"/>
          <w:sz w:val="24"/>
          <w:szCs w:val="24"/>
        </w:rPr>
        <w:t xml:space="preserve">The evolutionary framework employed across this trilogy of papers uses three related but distinct concepts from evolutionary biology, each performing a different analytical function. Conflating them would weaken the analysis; distinguishing them strengthens it.</w:t>
      </w:r>
    </w:p>
    <w:p>
      <w:pPr>
        <w:spacing w:after="120" w:line="480"/>
        <w:ind w:firstLine="720"/>
        <w:jc w:val="both"/>
      </w:pPr>
      <w:r>
        <w:rPr>
          <w:rFonts w:ascii="Times New Roman" w:cs="Times New Roman" w:eastAsia="Times New Roman" w:hAnsi="Times New Roman"/>
          <w:b/>
          <w:bCs/>
          <w:sz w:val="24"/>
          <w:szCs w:val="24"/>
        </w:rPr>
        <w:t xml:space="preserve">Extended Phenotype</w:t>
      </w:r>
      <w:r>
        <w:rPr>
          <w:rFonts w:ascii="Times New Roman" w:cs="Times New Roman" w:eastAsia="Times New Roman" w:hAnsi="Times New Roman"/>
          <w:sz w:val="24"/>
          <w:szCs w:val="24"/>
        </w:rPr>
        <w:t xml:space="preserve"> (Dawkins, 1982) refers to the observable effects of genes that extend beyond the organism's body. In Lerer (2025a), the concept was applied to fiscal institutions: Argentina's tax system is not merely a policy choice but the </w:t>
      </w:r>
      <w:r>
        <w:rPr>
          <w:rFonts w:ascii="Times New Roman" w:cs="Times New Roman" w:eastAsia="Times New Roman" w:hAnsi="Times New Roman"/>
          <w:i/>
          <w:iCs/>
          <w:sz w:val="24"/>
          <w:szCs w:val="24"/>
        </w:rPr>
        <w:t xml:space="preserve">extended phenotype</w:t>
      </w:r>
      <w:r>
        <w:rPr>
          <w:rFonts w:ascii="Times New Roman" w:cs="Times New Roman" w:eastAsia="Times New Roman" w:hAnsi="Times New Roman"/>
          <w:sz w:val="24"/>
          <w:szCs w:val="24"/>
        </w:rPr>
        <w:t xml:space="preserve"> of a constitutional mutation (Law 11,682 of 1932) that created a self-perpetuating institutional structure. The "genes" are constitutional provisions and statutory norms; the "phenotype" is the observable fiscal architecture (tax rates, distribution coefficients, administrative procedures); the "extended" dimension is the effect on entities beyond the originating organism—provincial governments, citizens, private firms—that are shaped by the fiscal architecture without having designed it.</w:t>
      </w:r>
    </w:p>
    <w:p>
      <w:pPr>
        <w:spacing w:after="120" w:line="480"/>
        <w:ind w:firstLine="720"/>
        <w:jc w:val="both"/>
      </w:pPr>
      <w:r>
        <w:rPr>
          <w:rFonts w:ascii="Times New Roman" w:cs="Times New Roman" w:eastAsia="Times New Roman" w:hAnsi="Times New Roman"/>
          <w:b/>
          <w:bCs/>
          <w:sz w:val="24"/>
          <w:szCs w:val="24"/>
        </w:rPr>
        <w:t xml:space="preserve">Exaptation</w:t>
      </w:r>
      <w:r>
        <w:rPr>
          <w:rFonts w:ascii="Times New Roman" w:cs="Times New Roman" w:eastAsia="Times New Roman" w:hAnsi="Times New Roman"/>
          <w:sz w:val="24"/>
          <w:szCs w:val="24"/>
        </w:rPr>
        <w:t xml:space="preserve"> (Gould &amp; Vrba, 1982) refers to a trait that was selected for one function (F1) and is subsequently co-opted for a different function (F2). The trait's current utility (F2) is real but was not the reason for its original selection. In the present paper, exaptation describes the </w:t>
      </w:r>
      <w:r>
        <w:rPr>
          <w:rFonts w:ascii="Times New Roman" w:cs="Times New Roman" w:eastAsia="Times New Roman" w:hAnsi="Times New Roman"/>
          <w:i/>
          <w:iCs/>
          <w:sz w:val="24"/>
          <w:szCs w:val="24"/>
        </w:rPr>
        <w:t xml:space="preserve">transformation</w:t>
      </w:r>
      <w:r>
        <w:rPr>
          <w:rFonts w:ascii="Times New Roman" w:cs="Times New Roman" w:eastAsia="Times New Roman" w:hAnsi="Times New Roman"/>
          <w:sz w:val="24"/>
          <w:szCs w:val="24"/>
        </w:rPr>
        <w:t xml:space="preserve"> of coparticipación from fiscal equalization (F1) to political control (F2). The institutional structure (form) remained identical; the function changed. This is not a claim about intentional design—it is a claim about the </w:t>
      </w:r>
      <w:r>
        <w:rPr>
          <w:rFonts w:ascii="Times New Roman" w:cs="Times New Roman" w:eastAsia="Times New Roman" w:hAnsi="Times New Roman"/>
          <w:i/>
          <w:iCs/>
          <w:sz w:val="24"/>
          <w:szCs w:val="24"/>
        </w:rPr>
        <w:t xml:space="preserve">selective environment</w:t>
      </w:r>
      <w:r>
        <w:rPr>
          <w:rFonts w:ascii="Times New Roman" w:cs="Times New Roman" w:eastAsia="Times New Roman" w:hAnsi="Times New Roman"/>
          <w:sz w:val="24"/>
          <w:szCs w:val="24"/>
        </w:rPr>
        <w:t xml:space="preserve">: governors in dependent provinces who used transfers for patronage employment survived electorally, while those who invested in productive development did not enjoy the same advantage. The function shifted through differential selection, not through deliberate redesign.</w:t>
      </w:r>
    </w:p>
    <w:p>
      <w:pPr>
        <w:spacing w:after="120" w:line="480"/>
        <w:ind w:firstLine="720"/>
        <w:jc w:val="both"/>
      </w:pPr>
      <w:r>
        <w:rPr>
          <w:rFonts w:ascii="Times New Roman" w:cs="Times New Roman" w:eastAsia="Times New Roman" w:hAnsi="Times New Roman"/>
          <w:b/>
          <w:bCs/>
          <w:sz w:val="24"/>
          <w:szCs w:val="24"/>
        </w:rPr>
        <w:t xml:space="preserve">Institutional Conversion</w:t>
      </w:r>
      <w:r>
        <w:rPr>
          <w:rFonts w:ascii="Times New Roman" w:cs="Times New Roman" w:eastAsia="Times New Roman" w:hAnsi="Times New Roman"/>
          <w:sz w:val="24"/>
          <w:szCs w:val="24"/>
        </w:rPr>
        <w:t xml:space="preserve"> (Streeck &amp; Thelen, 2005) is the closest concept in political science to Gould &amp; Vrba's exaptation. Thelen defines conversion as a mode of gradual institutional change in which "an institution survives formally but is utilized for new purposes or new goals." The difference from exaptation is one of emphasis: conversion in Thelen's framework is always </w:t>
      </w:r>
      <w:r>
        <w:rPr>
          <w:rFonts w:ascii="Times New Roman" w:cs="Times New Roman" w:eastAsia="Times New Roman" w:hAnsi="Times New Roman"/>
          <w:i/>
          <w:iCs/>
          <w:sz w:val="24"/>
          <w:szCs w:val="24"/>
        </w:rPr>
        <w:t xml:space="preserve">agentive</w:t>
      </w:r>
      <w:r>
        <w:rPr>
          <w:rFonts w:ascii="Times New Roman" w:cs="Times New Roman" w:eastAsia="Times New Roman" w:hAnsi="Times New Roman"/>
          <w:sz w:val="24"/>
          <w:szCs w:val="24"/>
        </w:rPr>
        <w:t xml:space="preserve">—there are identifiable actors who redirect the institution. Exaptation in Gould &amp; Vrba's framework can be </w:t>
      </w:r>
      <w:r>
        <w:rPr>
          <w:rFonts w:ascii="Times New Roman" w:cs="Times New Roman" w:eastAsia="Times New Roman" w:hAnsi="Times New Roman"/>
          <w:i/>
          <w:iCs/>
          <w:sz w:val="24"/>
          <w:szCs w:val="24"/>
        </w:rPr>
        <w:t xml:space="preserve">emergent</w:t>
      </w:r>
      <w:r>
        <w:rPr>
          <w:rFonts w:ascii="Times New Roman" w:cs="Times New Roman" w:eastAsia="Times New Roman" w:hAnsi="Times New Roman"/>
          <w:sz w:val="24"/>
          <w:szCs w:val="24"/>
        </w:rPr>
        <w:t xml:space="preserve">—the functional shift arises from the incentive structure without anyone designing it.</w:t>
      </w:r>
    </w:p>
    <w:p>
      <w:pPr>
        <w:spacing w:after="120" w:line="480"/>
        <w:ind w:firstLine="720"/>
        <w:jc w:val="both"/>
      </w:pPr>
      <w:r>
        <w:rPr>
          <w:rFonts w:ascii="Times New Roman" w:cs="Times New Roman" w:eastAsia="Times New Roman" w:hAnsi="Times New Roman"/>
          <w:sz w:val="24"/>
          <w:szCs w:val="24"/>
        </w:rPr>
        <w:t xml:space="preserve">Argentine coparticipación exhibits both mechanisms simultaneously. The </w:t>
      </w:r>
      <w:r>
        <w:rPr>
          <w:rFonts w:ascii="Times New Roman" w:cs="Times New Roman" w:eastAsia="Times New Roman" w:hAnsi="Times New Roman"/>
          <w:i/>
          <w:iCs/>
          <w:sz w:val="24"/>
          <w:szCs w:val="24"/>
        </w:rPr>
        <w:t xml:space="preserve">conversion</w:t>
      </w:r>
      <w:r>
        <w:rPr>
          <w:rFonts w:ascii="Times New Roman" w:cs="Times New Roman" w:eastAsia="Times New Roman" w:hAnsi="Times New Roman"/>
          <w:sz w:val="24"/>
          <w:szCs w:val="24"/>
        </w:rPr>
        <w:t xml:space="preserve"> dimension is visible in deliberate gubernatorial strategies: governors who expand public employment to build electoral coalitions are consciously redirecting fiscal transfers from their constitutional purpose (equalization) to their political purpose (hegemony). The </w:t>
      </w:r>
      <w:r>
        <w:rPr>
          <w:rFonts w:ascii="Times New Roman" w:cs="Times New Roman" w:eastAsia="Times New Roman" w:hAnsi="Times New Roman"/>
          <w:i/>
          <w:iCs/>
          <w:sz w:val="24"/>
          <w:szCs w:val="24"/>
        </w:rPr>
        <w:t xml:space="preserve">exaptation</w:t>
      </w:r>
      <w:r>
        <w:rPr>
          <w:rFonts w:ascii="Times New Roman" w:cs="Times New Roman" w:eastAsia="Times New Roman" w:hAnsi="Times New Roman"/>
          <w:sz w:val="24"/>
          <w:szCs w:val="24"/>
        </w:rPr>
        <w:t xml:space="preserve"> dimension is visible in the systemic outcome: the aggregate pattern of clientelist dependency across 19 provinces emerged from decentralized gubernatorial decisions responding to identical incentives, without any coordinating agent designing the national pattern. Deliberate at the provincial level; emergent at the federal level. This dual mechanism—intentional conversion at the micro level producing emergent exaptation at the macro level—is a distinctive feature of federal systems that neither Thelen nor Gould &amp; Vrba anticipated, and constitutes one of this paper's theoretical contributions.</w:t>
      </w:r>
    </w:p>
    <w:p>
      <w:pPr>
        <w:pStyle w:val="Heading3"/>
        <w:spacing w:after="160" w:before="240" w:line="480"/>
      </w:pPr>
      <w:r>
        <w:rPr>
          <w:rFonts w:ascii="Times New Roman" w:cs="Times New Roman" w:eastAsia="Times New Roman" w:hAnsi="Times New Roman"/>
          <w:b/>
          <w:bCs/>
          <w:i/>
          <w:iCs/>
          <w:sz w:val="24"/>
          <w:szCs w:val="24"/>
        </w:rPr>
        <w:t xml:space="preserve">4.1.1 The Flypaper Effect: Econometric Evidence</w:t>
      </w:r>
    </w:p>
    <w:p>
      <w:pPr>
        <w:spacing w:after="120" w:line="480"/>
        <w:ind w:firstLine="720"/>
        <w:jc w:val="both"/>
      </w:pPr>
      <w:r>
        <w:rPr>
          <w:rFonts w:ascii="Times New Roman" w:cs="Times New Roman" w:eastAsia="Times New Roman" w:hAnsi="Times New Roman"/>
          <w:sz w:val="24"/>
          <w:szCs w:val="24"/>
        </w:rPr>
        <w:t xml:space="preserve">The causal chain from transfers to public employment rests on the flypaper effect—the empirical finding that transferred money generates disproportionately more public spending than equivalent own-source revenue. The standard explanation (Hines &amp; Thaler, 1995) invokes fiscal illusion: politicians treat transfers as "free money" because they do not face the political cost of taxation. In Argentina, Capello, Giuliodori &amp; Iglesias (2019) provide the definitive econometric test.</w:t>
      </w:r>
    </w:p>
    <w:p>
      <w:pPr>
        <w:spacing w:after="120" w:line="480"/>
        <w:ind w:firstLine="720"/>
        <w:jc w:val="both"/>
      </w:pPr>
      <w:r>
        <w:rPr>
          <w:rFonts w:ascii="Times New Roman" w:cs="Times New Roman" w:eastAsia="Times New Roman" w:hAnsi="Times New Roman"/>
          <w:sz w:val="24"/>
          <w:szCs w:val="24"/>
        </w:rPr>
        <w:t xml:space="preserve">Using a panel dataset of Argentine provinces, Capello et al. estimate the elasticity of public employment with respect to different revenue sources. Their key findings: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1% increase in own-source revenue (Ingresos Brutos, Inmobiliario, etc.) generates a 7.7% increase in public employment.</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1% increase in automatic transfers (coparticipación) generates a 17.6% increase in public employment.</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differential (17.6% / 7.7% = 2.29) is the flypaper multiplier: each peso of transferred revenue generates 2.3 times more public employment than each peso of own-source revenue.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Political alignment between the provincial governor and the national president is a significant predictor of the public employment level, independent of revenue sources.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Fiscal transparency is negatively correlated with public employment: provinces with higher transparency indices have lower public employment ratios.</w:t>
      </w:r>
    </w:p>
    <w:p>
      <w:pPr>
        <w:spacing w:after="120" w:line="480"/>
        <w:ind w:firstLine="720"/>
        <w:jc w:val="both"/>
      </w:pPr>
      <w:r>
        <w:rPr>
          <w:rFonts w:ascii="Times New Roman" w:cs="Times New Roman" w:eastAsia="Times New Roman" w:hAnsi="Times New Roman"/>
          <w:sz w:val="24"/>
          <w:szCs w:val="24"/>
        </w:rPr>
        <w:t xml:space="preserve">The Bolsa de Comercio de Córdoba corroborates: across all 24 provinces, higher per capita transfers predict higher public employment ratios, with a near-linear relationship. IERAL generalizes the finding: "the provinces most benefited by transfers are those with the highest levels of public employment."</w:t>
      </w:r>
    </w:p>
    <w:p>
      <w:pPr>
        <w:spacing w:after="120" w:line="480"/>
        <w:ind w:firstLine="720"/>
        <w:jc w:val="both"/>
      </w:pPr>
      <w:r>
        <w:rPr>
          <w:rFonts w:ascii="Times New Roman" w:cs="Times New Roman" w:eastAsia="Times New Roman" w:hAnsi="Times New Roman"/>
          <w:sz w:val="24"/>
          <w:szCs w:val="24"/>
        </w:rPr>
        <w:t xml:space="preserve">The flypaper effect has a precise EPT interpretation. In biological terms, a resource that arrives without cost to the organism (like a parasite that feeds on its host's food) generates different allocation patterns than a resource the organism must acquire through effort. Transferred fiscal resources, because they are costless to the provincial government, are allocated to the expenditure category with the highest political return (public employment) rather than the highest economic return (infrastructure, education quality, productive investment). The FSPI captures this: low FSPI means the province faces low effort-to-resource cost, which predicts high allocation to patronage.</w:t>
      </w:r>
    </w:p>
    <w:p>
      <w:pPr>
        <w:pStyle w:val="Heading3"/>
        <w:spacing w:after="160" w:before="240" w:line="480"/>
      </w:pPr>
      <w:r>
        <w:rPr>
          <w:rFonts w:ascii="Times New Roman" w:cs="Times New Roman" w:eastAsia="Times New Roman" w:hAnsi="Times New Roman"/>
          <w:b/>
          <w:bCs/>
          <w:i/>
          <w:iCs/>
          <w:sz w:val="24"/>
          <w:szCs w:val="24"/>
        </w:rPr>
        <w:t xml:space="preserve">4.1.2 Paradigmatic Cases: Provincial Profiles</w:t>
      </w:r>
    </w:p>
    <w:p>
      <w:pPr>
        <w:spacing w:after="120" w:line="480"/>
        <w:ind w:firstLine="720"/>
        <w:jc w:val="both"/>
      </w:pPr>
      <w:r>
        <w:rPr>
          <w:rFonts w:ascii="Times New Roman" w:cs="Times New Roman" w:eastAsia="Times New Roman" w:hAnsi="Times New Roman"/>
          <w:sz w:val="24"/>
          <w:szCs w:val="24"/>
        </w:rPr>
        <w:t xml:space="preserve">The statistical correlations reported in Section 4.1 can be illustrated through detailed examination of paradigmatic cases at both extremes of the FSPI distribution.</w:t>
      </w:r>
    </w:p>
    <w:p>
      <w:pPr>
        <w:spacing w:after="120" w:line="480"/>
        <w:ind w:firstLine="720"/>
        <w:jc w:val="both"/>
      </w:pPr>
      <w:r>
        <w:rPr>
          <w:rFonts w:ascii="Times New Roman" w:cs="Times New Roman" w:eastAsia="Times New Roman" w:hAnsi="Times New Roman"/>
          <w:b/>
          <w:bCs/>
          <w:sz w:val="24"/>
          <w:szCs w:val="24"/>
        </w:rPr>
        <w:t xml:space="preserve">Formosa (FSPI = 0.09): The Extreme Case</w:t>
      </w:r>
    </w:p>
    <w:p>
      <w:pPr>
        <w:spacing w:after="120" w:line="480"/>
        <w:ind w:firstLine="720"/>
        <w:jc w:val="both"/>
      </w:pPr>
      <w:r>
        <w:rPr>
          <w:rFonts w:ascii="Times New Roman" w:cs="Times New Roman" w:eastAsia="Times New Roman" w:hAnsi="Times New Roman"/>
          <w:sz w:val="24"/>
          <w:szCs w:val="24"/>
        </w:rPr>
        <w:t xml:space="preserve">Formosa, governed by Gildo Insfrán since 1995 (eight consecutive terms), represents the endpoint of the subsidized stasis dynamic. Key indicators: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Fiscal dependence:</w:t>
      </w:r>
      <w:r>
        <w:rPr>
          <w:rFonts w:ascii="Times New Roman" w:cs="Times New Roman" w:eastAsia="Times New Roman" w:hAnsi="Times New Roman"/>
          <w:sz w:val="24"/>
          <w:szCs w:val="24"/>
        </w:rPr>
        <w:t xml:space="preserve"> 84-93% of provincial revenue comes from national transfers (DNAP, 2024). Own-source revenue is among the lowest in the country.</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Public employment:</w:t>
      </w:r>
      <w:r>
        <w:rPr>
          <w:rFonts w:ascii="Times New Roman" w:cs="Times New Roman" w:eastAsia="Times New Roman" w:hAnsi="Times New Roman"/>
          <w:sz w:val="24"/>
          <w:szCs w:val="24"/>
        </w:rPr>
        <w:t xml:space="preserve"> 70% of registered workers are employed in the public sector—the highest ratio in Argentina (SIPA, 2023). The province has 46,117 public employees against only 23,200 registered private workers, a ratio of approximately 2:1.</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Private sector:</w:t>
      </w:r>
      <w:r>
        <w:rPr>
          <w:rFonts w:ascii="Times New Roman" w:cs="Times New Roman" w:eastAsia="Times New Roman" w:hAnsi="Times New Roman"/>
          <w:sz w:val="24"/>
          <w:szCs w:val="24"/>
        </w:rPr>
        <w:t xml:space="preserve"> Formosa has the lowest rate of registered private employment in Argentina: 3.7 per 100 inhabitants. The private sector contracted in 2024 while public employment remained stable.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Electoral hegemony:</w:t>
      </w:r>
      <w:r>
        <w:rPr>
          <w:rFonts w:ascii="Times New Roman" w:cs="Times New Roman" w:eastAsia="Times New Roman" w:hAnsi="Times New Roman"/>
          <w:sz w:val="24"/>
          <w:szCs w:val="24"/>
        </w:rPr>
        <w:t xml:space="preserve"> Insfrán has won eight consecutive gubernatorial elections. The opposition has never obtained more than 35% of the vote in a gubernatorial race during his tenure.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Constitutional manipulation:</w:t>
      </w:r>
      <w:r>
        <w:rPr>
          <w:rFonts w:ascii="Times New Roman" w:cs="Times New Roman" w:eastAsia="Times New Roman" w:hAnsi="Times New Roman"/>
          <w:sz w:val="24"/>
          <w:szCs w:val="24"/>
        </w:rPr>
        <w:t xml:space="preserve"> The 2003 provincial constitutional reform enabled indefinite reelection. In December 2024, the CSJN declared this provision unconstitutional. In September 2025, the Formosa legislature circumvented the ruling by introducing a "transitory clause" that extended Insfrán's mandate without formally invoking the invalidated article.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IERAL ratio:</w:t>
      </w:r>
      <w:r>
        <w:rPr>
          <w:rFonts w:ascii="Times New Roman" w:cs="Times New Roman" w:eastAsia="Times New Roman" w:hAnsi="Times New Roman"/>
          <w:sz w:val="24"/>
          <w:szCs w:val="24"/>
        </w:rPr>
        <w:t xml:space="preserve"> Formosa receives 627% more in national transfers than its contribution to national GDP would warrant—the highest distortion of any Argentine province.</w:t>
      </w:r>
    </w:p>
    <w:p>
      <w:pPr>
        <w:spacing w:after="120" w:line="480"/>
        <w:ind w:firstLine="720"/>
        <w:jc w:val="both"/>
      </w:pPr>
      <w:r>
        <w:rPr>
          <w:rFonts w:ascii="Times New Roman" w:cs="Times New Roman" w:eastAsia="Times New Roman" w:hAnsi="Times New Roman"/>
          <w:sz w:val="24"/>
          <w:szCs w:val="24"/>
        </w:rPr>
        <w:t xml:space="preserve">The Formosa case illustrates all four links of the causal chain operating at maximum intensity: massive transfers (FSPI = 0.09) fund overwhelming public employment (70% of workforce) which creates total citizen dependence (private employment ratio 3.7/100) which produces electoral hegemony (8 terms, circumventing even a Supreme Court ruling on reelection limits).</w:t>
      </w:r>
    </w:p>
    <w:p>
      <w:pPr>
        <w:spacing w:after="120" w:line="480"/>
        <w:ind w:firstLine="720"/>
        <w:jc w:val="both"/>
      </w:pPr>
      <w:r>
        <w:rPr>
          <w:rFonts w:ascii="Times New Roman" w:cs="Times New Roman" w:eastAsia="Times New Roman" w:hAnsi="Times New Roman"/>
          <w:b/>
          <w:bCs/>
          <w:sz w:val="24"/>
          <w:szCs w:val="24"/>
        </w:rPr>
        <w:t xml:space="preserve">CABA (FSPI = 0.93): The Counterfactual</w:t>
      </w:r>
    </w:p>
    <w:p>
      <w:pPr>
        <w:spacing w:after="120" w:line="480"/>
        <w:ind w:firstLine="720"/>
        <w:jc w:val="both"/>
      </w:pPr>
      <w:r>
        <w:rPr>
          <w:rFonts w:ascii="Times New Roman" w:cs="Times New Roman" w:eastAsia="Times New Roman" w:hAnsi="Times New Roman"/>
          <w:sz w:val="24"/>
          <w:szCs w:val="24"/>
        </w:rPr>
        <w:t xml:space="preserve">The City of Buenos Aires (Ciudad Autónoma de Buenos Aires, CABA) occupies the opposite extreme. With an FSPI of 0.93, it is essentially self-financing: only 7% of its revenue comes from national transfers. CABA generates its own revenue through a diversified tax base (Ingresos Brutos on a large services sector, Impuesto Inmobiliario on high-value real estate, ABL, Sellos). Its economy is dominated by the private sector, with public employment at 45 per 1,000 inhabitants—below the national mean for provinces.</w:t>
      </w:r>
    </w:p>
    <w:p>
      <w:pPr>
        <w:spacing w:after="120" w:line="480"/>
        <w:ind w:firstLine="720"/>
        <w:jc w:val="both"/>
      </w:pPr>
      <w:r>
        <w:rPr>
          <w:rFonts w:ascii="Times New Roman" w:cs="Times New Roman" w:eastAsia="Times New Roman" w:hAnsi="Times New Roman"/>
          <w:sz w:val="24"/>
          <w:szCs w:val="24"/>
        </w:rPr>
        <w:t xml:space="preserve">Democratically, CABA exhibits the highest quality index in the dataset: genuine electoral competition (Larreta-PRO vs. opposition coalitions with margins under 10%), active media plurality (all major national media are headquartered in CABA), an independent judiciary (the TSJ-CABA has ruled against the city government on multiple occasions), and regular alternation in the governing coalition's internal leadership.</w:t>
      </w:r>
    </w:p>
    <w:p>
      <w:pPr>
        <w:spacing w:after="120" w:line="480"/>
        <w:ind w:firstLine="720"/>
        <w:jc w:val="both"/>
      </w:pPr>
      <w:r>
        <w:rPr>
          <w:rFonts w:ascii="Times New Roman" w:cs="Times New Roman" w:eastAsia="Times New Roman" w:hAnsi="Times New Roman"/>
          <w:sz w:val="24"/>
          <w:szCs w:val="24"/>
        </w:rPr>
        <w:t xml:space="preserve">The CABA case demonstrates that the FSPI mechanism operates as predicted: when a jurisdiction must generate its own revenue, it faces genuine selection pressure from its citizen-taxpayers, and the resulting accountability produces democratic competition, institutional quality, and private-sector development. The contrast with Formosa—operating under the same national constitution, the same federal system, and the same macroeconomic environment—isolates the FSPI as the variable that explains the divergence.</w:t>
      </w:r>
    </w:p>
    <w:p>
      <w:pPr>
        <w:spacing w:after="120" w:line="480"/>
        <w:ind w:firstLine="720"/>
        <w:jc w:val="both"/>
      </w:pPr>
      <w:r>
        <w:rPr>
          <w:rFonts w:ascii="Times New Roman" w:cs="Times New Roman" w:eastAsia="Times New Roman" w:hAnsi="Times New Roman"/>
          <w:b/>
          <w:bCs/>
          <w:sz w:val="24"/>
          <w:szCs w:val="24"/>
        </w:rPr>
        <w:t xml:space="preserve">Santiago del Estero (FSPI = 0.14): The Historical Case</w:t>
      </w:r>
    </w:p>
    <w:p>
      <w:pPr>
        <w:spacing w:after="120" w:line="480"/>
        <w:ind w:firstLine="720"/>
        <w:jc w:val="both"/>
      </w:pPr>
      <w:r>
        <w:rPr>
          <w:rFonts w:ascii="Times New Roman" w:cs="Times New Roman" w:eastAsia="Times New Roman" w:hAnsi="Times New Roman"/>
          <w:sz w:val="24"/>
          <w:szCs w:val="24"/>
        </w:rPr>
        <w:t xml:space="preserve">Santiago del Estero provides a historical control case. The Juárez dynasty (Carlos Juárez and his wife Mercedes "Nina" Aragonés de Juárez) governed the province for much of the period 1949-2004. Federal intervention in 2004 temporarily disrupted the dynasty, but the underlying fiscal structure—84% transfer dependence—remained unchanged. Post-intervention governors (Zamora, then others) inherited the same incentive structure and reproduced similar patterns of public employment expansion and limited democratic competition, though with less extreme concentration of power than under Juárez.</w:t>
      </w:r>
    </w:p>
    <w:p>
      <w:pPr>
        <w:spacing w:after="120" w:line="480"/>
        <w:ind w:firstLine="720"/>
        <w:jc w:val="both"/>
      </w:pPr>
      <w:r>
        <w:rPr>
          <w:rFonts w:ascii="Times New Roman" w:cs="Times New Roman" w:eastAsia="Times New Roman" w:hAnsi="Times New Roman"/>
          <w:sz w:val="24"/>
          <w:szCs w:val="24"/>
        </w:rPr>
        <w:t xml:space="preserve">The Santiago del Estero case demonstrates that the subsidized stasis mechanism is </w:t>
      </w:r>
      <w:r>
        <w:rPr>
          <w:rFonts w:ascii="Times New Roman" w:cs="Times New Roman" w:eastAsia="Times New Roman" w:hAnsi="Times New Roman"/>
          <w:i/>
          <w:iCs/>
          <w:sz w:val="24"/>
          <w:szCs w:val="24"/>
        </w:rPr>
        <w:t xml:space="preserve">structural</w:t>
      </w:r>
      <w:r>
        <w:rPr>
          <w:rFonts w:ascii="Times New Roman" w:cs="Times New Roman" w:eastAsia="Times New Roman" w:hAnsi="Times New Roman"/>
          <w:sz w:val="24"/>
          <w:szCs w:val="24"/>
        </w:rPr>
        <w:t xml:space="preserve">, not </w:t>
      </w:r>
      <w:r>
        <w:rPr>
          <w:rFonts w:ascii="Times New Roman" w:cs="Times New Roman" w:eastAsia="Times New Roman" w:hAnsi="Times New Roman"/>
          <w:i/>
          <w:iCs/>
          <w:sz w:val="24"/>
          <w:szCs w:val="24"/>
        </w:rPr>
        <w:t xml:space="preserve">personal</w:t>
      </w:r>
      <w:r>
        <w:rPr>
          <w:rFonts w:ascii="Times New Roman" w:cs="Times New Roman" w:eastAsia="Times New Roman" w:hAnsi="Times New Roman"/>
          <w:sz w:val="24"/>
          <w:szCs w:val="24"/>
        </w:rPr>
        <w:t xml:space="preserve">. Removing the individual governor (as federal intervention did in 2004) does not solve the problem if the fiscal architecture that created the incentive for clientelism remains intact. New governors facing the same low FSPI converge toward the same strategies, because the strategies are selected by the environment, not by the personality of the governor.</w:t>
      </w:r>
    </w:p>
    <w:p>
      <w:pPr>
        <w:pStyle w:val="Heading3"/>
        <w:spacing w:after="160" w:before="240" w:line="480"/>
      </w:pPr>
      <w:r>
        <w:rPr>
          <w:rFonts w:ascii="Times New Roman" w:cs="Times New Roman" w:eastAsia="Times New Roman" w:hAnsi="Times New Roman"/>
          <w:b/>
          <w:bCs/>
          <w:i/>
          <w:iCs/>
          <w:sz w:val="24"/>
          <w:szCs w:val="24"/>
        </w:rPr>
        <w:t xml:space="preserve">4.1.3 The Crowding-Out Spiral</w:t>
      </w:r>
    </w:p>
    <w:p>
      <w:pPr>
        <w:spacing w:after="120" w:line="480"/>
        <w:ind w:firstLine="720"/>
        <w:jc w:val="both"/>
      </w:pPr>
      <w:r>
        <w:rPr>
          <w:rFonts w:ascii="Times New Roman" w:cs="Times New Roman" w:eastAsia="Times New Roman" w:hAnsi="Times New Roman"/>
          <w:sz w:val="24"/>
          <w:szCs w:val="24"/>
        </w:rPr>
        <w:t xml:space="preserve">The causal chain described in Section 4.1 includes a feedback mechanism that makes the subsidized stasis self-reinforcing. IERAL documents a crowding-out effect: high public employment raises the reservation wage in dependent provinces, discouraging private investment and reducing the private-sector tax base. The reduced tax base further lowers own-source revenue, increasing dependence on transfers (lowering FSPI), which funds further public employment expansion—closing the loop.</w:t>
      </w:r>
    </w:p>
    <w:p>
      <w:pPr>
        <w:spacing w:after="120" w:line="480"/>
        <w:ind w:firstLine="720"/>
        <w:jc w:val="both"/>
      </w:pPr>
      <w:r>
        <w:rPr>
          <w:rFonts w:ascii="Times New Roman" w:cs="Times New Roman" w:eastAsia="Times New Roman" w:hAnsi="Times New Roman"/>
          <w:sz w:val="24"/>
          <w:szCs w:val="24"/>
        </w:rPr>
        <w:t xml:space="preserve">Quantitative evidence of the crowding-out spiral:</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13 of 24 provinces, public employment exceeds private formal employment (SIPA, 2023).</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 Rioja lost 4,294 private formal jobs in 2024—the steepest decline in the country—while public employment remained stable.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Tierra del Fuego, between 2012 and 2022, private employment fell 3% while public employment grew 49%.</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IERAL economist Marcelo Capello: "Instead of forcing them to develop productively, to collect more and thus gain autonomy, that money served to grow the State."</w:t>
      </w:r>
    </w:p>
    <w:p>
      <w:pPr>
        <w:spacing w:after="120" w:line="480"/>
        <w:ind w:firstLine="720"/>
        <w:jc w:val="both"/>
      </w:pPr>
      <w:r>
        <w:rPr>
          <w:rFonts w:ascii="Times New Roman" w:cs="Times New Roman" w:eastAsia="Times New Roman" w:hAnsi="Times New Roman"/>
          <w:sz w:val="24"/>
          <w:szCs w:val="24"/>
        </w:rPr>
        <w:t xml:space="preserve">The crowding-out spiral has a direct biological analog: use-it-or-lose-it selection. Biological organs that cease to perform their function under relaxed selection pressure undergo vestigial degeneration (e.g., eyes of cave-dwelling fish). The same process operates on institutional capacity: provinces that have not needed to develop their own revenue-generating capacity for decades have lost the institutional infrastructure (tax administration, cadaster, compliance enforcement) required to do so. La Rioja's dependence on transfers is not merely a policy choice—it is an institutional incapacity produced by decades of selection relaxation. The capacity has atrophied.</w:t>
      </w:r>
    </w:p>
    <w:p>
      <w:pPr>
        <w:spacing w:after="120" w:line="480"/>
        <w:ind w:firstLine="720"/>
        <w:jc w:val="both"/>
      </w:pPr>
      <w:r>
        <w:rPr>
          <w:rFonts w:ascii="Times New Roman" w:cs="Times New Roman" w:eastAsia="Times New Roman" w:hAnsi="Times New Roman"/>
          <w:sz w:val="24"/>
          <w:szCs w:val="24"/>
        </w:rPr>
        <w:t xml:space="preserve">This vestigiality has a critical implication for reform strategy: even if coparticipación were reformed tomorrow, provinces with atrophied fiscal capacity could not immediately replace transferred revenue with own-source revenue. The scaffolding mechanism proposed in Lerer (2025b)—a multi-year guarantee fund that allows gradual capacity development—is not merely a political sweetener but a structural necessity.</w:t>
      </w:r>
    </w:p>
    <w:p>
      <w:pPr>
        <w:pStyle w:val="Heading3"/>
        <w:spacing w:after="160" w:before="240" w:line="480"/>
      </w:pPr>
      <w:r>
        <w:rPr>
          <w:rFonts w:ascii="Times New Roman" w:cs="Times New Roman" w:eastAsia="Times New Roman" w:hAnsi="Times New Roman"/>
          <w:b/>
          <w:bCs/>
          <w:i/>
          <w:iCs/>
          <w:sz w:val="24"/>
          <w:szCs w:val="24"/>
        </w:rPr>
        <w:t xml:space="preserve">4.1.4 Controls for Confounding Variables</w:t>
      </w:r>
    </w:p>
    <w:p>
      <w:pPr>
        <w:spacing w:after="120" w:line="480"/>
        <w:ind w:firstLine="720"/>
        <w:jc w:val="both"/>
      </w:pPr>
      <w:r>
        <w:rPr>
          <w:rFonts w:ascii="Times New Roman" w:cs="Times New Roman" w:eastAsia="Times New Roman" w:hAnsi="Times New Roman"/>
          <w:sz w:val="24"/>
          <w:szCs w:val="24"/>
        </w:rPr>
        <w:t xml:space="preserve">The swarm analysis (Section 7.4 expanded) identified the most serious vulnerability in H1: the possibility that both low FSPI and low democratic quality are consequences of a common cause (low economic development, geographic isolation, colonial legacy) rather than causally connected. Several controls address this concern.</w:t>
      </w:r>
    </w:p>
    <w:p>
      <w:pPr>
        <w:spacing w:after="120" w:line="480"/>
        <w:ind w:firstLine="720"/>
        <w:jc w:val="both"/>
      </w:pPr>
      <w:r>
        <w:rPr>
          <w:rFonts w:ascii="Times New Roman" w:cs="Times New Roman" w:eastAsia="Times New Roman" w:hAnsi="Times New Roman"/>
          <w:i/>
          <w:iCs/>
          <w:sz w:val="24"/>
          <w:szCs w:val="24"/>
        </w:rPr>
        <w:t xml:space="preserve">GDP per capita control:</w:t>
      </w:r>
      <w:r>
        <w:rPr>
          <w:rFonts w:ascii="Times New Roman" w:cs="Times New Roman" w:eastAsia="Times New Roman" w:hAnsi="Times New Roman"/>
          <w:sz w:val="24"/>
          <w:szCs w:val="24"/>
        </w:rPr>
        <w:t xml:space="preserve"> Gervasoni (2010, 2018) demonstrates that the relationship between fiscal dependence and democratic quality survives controls for GDP per capita. Provinces like Neuquén (high GDP per capita from petroleum, moderate democratic quality) and Tucumán (low GDP per capita, moderate FSPI) show that economic development alone does not determine democratic outcomes—the fiscal structure mediates the relationship.</w:t>
      </w:r>
    </w:p>
    <w:p>
      <w:pPr>
        <w:spacing w:after="120" w:line="480"/>
        <w:ind w:firstLine="720"/>
        <w:jc w:val="both"/>
      </w:pPr>
      <w:r>
        <w:rPr>
          <w:rFonts w:ascii="Times New Roman" w:cs="Times New Roman" w:eastAsia="Times New Roman" w:hAnsi="Times New Roman"/>
          <w:i/>
          <w:iCs/>
          <w:sz w:val="24"/>
          <w:szCs w:val="24"/>
        </w:rPr>
        <w:t xml:space="preserve">Population control:</w:t>
      </w:r>
      <w:r>
        <w:rPr>
          <w:rFonts w:ascii="Times New Roman" w:cs="Times New Roman" w:eastAsia="Times New Roman" w:hAnsi="Times New Roman"/>
          <w:sz w:val="24"/>
          <w:szCs w:val="24"/>
        </w:rPr>
        <w:t xml:space="preserve"> The correlation between FSPI and democratic quality is not driven by population size. Buenos Aires Province (17.5 million, FSPI = 0.65) and CABA (3.1 million, FSPI = 0.93) exhibit different FSPI values and correspondingly different democratic quality levels, despite being geographically contiguous and sharing the same metropolitan labor market.</w:t>
      </w:r>
    </w:p>
    <w:p>
      <w:pPr>
        <w:spacing w:after="120" w:line="480"/>
        <w:ind w:firstLine="720"/>
        <w:jc w:val="both"/>
      </w:pPr>
      <w:r>
        <w:rPr>
          <w:rFonts w:ascii="Times New Roman" w:cs="Times New Roman" w:eastAsia="Times New Roman" w:hAnsi="Times New Roman"/>
          <w:i/>
          <w:iCs/>
          <w:sz w:val="24"/>
          <w:szCs w:val="24"/>
        </w:rPr>
        <w:t xml:space="preserve">Regional control:</w:t>
      </w:r>
      <w:r>
        <w:rPr>
          <w:rFonts w:ascii="Times New Roman" w:cs="Times New Roman" w:eastAsia="Times New Roman" w:hAnsi="Times New Roman"/>
          <w:sz w:val="24"/>
          <w:szCs w:val="24"/>
        </w:rPr>
        <w:t xml:space="preserve"> The NOA/NEA provinces (Formosa, Chaco, Santiago del Estero, Jujuy, Salta, Misiones, Corrientes) cluster at the low end of both FSPI and democratic quality, raising the possibility that regional culture or geography drives both variables. However, the relationship also holds within regions: among Patagonian provinces, Neuquén (FSPI = 0.50, moderate democracy) and Santa Cruz (FSPI = 0.35, lower democracy) exhibit the predicted pattern despite sharing geographic and cultural characteristics.</w:t>
      </w:r>
    </w:p>
    <w:p>
      <w:pPr>
        <w:spacing w:after="120" w:line="480"/>
        <w:ind w:firstLine="720"/>
        <w:jc w:val="both"/>
      </w:pPr>
      <w:r>
        <w:rPr>
          <w:rFonts w:ascii="Times New Roman" w:cs="Times New Roman" w:eastAsia="Times New Roman" w:hAnsi="Times New Roman"/>
          <w:i/>
          <w:iCs/>
          <w:sz w:val="24"/>
          <w:szCs w:val="24"/>
        </w:rPr>
        <w:t xml:space="preserve">Hydrocarbon rent control:</w:t>
      </w:r>
      <w:r>
        <w:rPr>
          <w:rFonts w:ascii="Times New Roman" w:cs="Times New Roman" w:eastAsia="Times New Roman" w:hAnsi="Times New Roman"/>
          <w:sz w:val="24"/>
          <w:szCs w:val="24"/>
        </w:rPr>
        <w:t xml:space="preserve"> Neuquén and Santa Cruz receive significant petroleum regalías, which function as a fiscal rent analogous to transfers. Including regalías in the transfer calculation (reducing their FSPI) improves the overall correlation, supporting the interpretation that all forms of non-effort revenue—whether from transfers or resource rents—reduce democratic accountability.</w:t>
      </w:r>
    </w:p>
    <w:p>
      <w:pPr>
        <w:pStyle w:val="Heading3"/>
        <w:spacing w:after="160" w:before="240" w:line="480"/>
      </w:pPr>
      <w:r>
        <w:rPr>
          <w:rFonts w:ascii="Times New Roman" w:cs="Times New Roman" w:eastAsia="Times New Roman" w:hAnsi="Times New Roman"/>
          <w:b/>
          <w:bCs/>
          <w:i/>
          <w:iCs/>
          <w:sz w:val="24"/>
          <w:szCs w:val="24"/>
        </w:rPr>
        <w:t xml:space="preserve">4.2.1 Detailed Reform Chronology: The Architecture of Failure</w:t>
      </w:r>
    </w:p>
    <w:p>
      <w:pPr>
        <w:spacing w:after="120" w:line="480"/>
        <w:ind w:firstLine="720"/>
        <w:jc w:val="both"/>
      </w:pPr>
      <w:r>
        <w:rPr>
          <w:rFonts w:ascii="Times New Roman" w:cs="Times New Roman" w:eastAsia="Times New Roman" w:hAnsi="Times New Roman"/>
          <w:sz w:val="24"/>
          <w:szCs w:val="24"/>
        </w:rPr>
        <w:t xml:space="preserve">The Funnel of Failure presented in Section 4.2 summarizes a 30-year institutional history that merits detailed examination, as each failed attempt strengthens the lock-in through the negative feedback mechanism identified in Lerer (2025a).</w:t>
      </w:r>
    </w:p>
    <w:p>
      <w:pPr>
        <w:spacing w:after="120" w:line="480"/>
        <w:ind w:firstLine="720"/>
        <w:jc w:val="both"/>
      </w:pPr>
      <w:r>
        <w:rPr>
          <w:rFonts w:ascii="Times New Roman" w:cs="Times New Roman" w:eastAsia="Times New Roman" w:hAnsi="Times New Roman"/>
          <w:b/>
          <w:bCs/>
          <w:sz w:val="24"/>
          <w:szCs w:val="24"/>
        </w:rPr>
        <w:t xml:space="preserve">Phase 1: Pre-constitutional mandate (1992-1994).</w:t>
      </w:r>
      <w:r>
        <w:rPr>
          <w:rFonts w:ascii="Times New Roman" w:cs="Times New Roman" w:eastAsia="Times New Roman" w:hAnsi="Times New Roman"/>
          <w:sz w:val="24"/>
          <w:szCs w:val="24"/>
        </w:rPr>
        <w:t xml:space="preserve"> The Pacto Fiscal I (1992, Ley 24.130) and Pacto Fiscal II (1993) were negotiated under President Menem as part of the broader program of economic reform. The provinces ceded the 15% detraction from coparticipable revenue for ANSES financing and agreed to transfer education and health services to provincial jurisdiction—accepting expenditure responsibilities without corresponding revenue guarantees. In return, the national government guaranteed minimum monthly transfers and assumed provincial pension liabilities. These pacts were transitional instruments, not structural reforms, but their ratification by law created legal precedents that subsequent actors would exploit to avoid comprehensive reform.</w:t>
      </w:r>
    </w:p>
    <w:p>
      <w:pPr>
        <w:spacing w:after="120" w:line="480"/>
        <w:ind w:firstLine="720"/>
        <w:jc w:val="both"/>
      </w:pPr>
      <w:r>
        <w:rPr>
          <w:rFonts w:ascii="Times New Roman" w:cs="Times New Roman" w:eastAsia="Times New Roman" w:hAnsi="Times New Roman"/>
          <w:b/>
          <w:bCs/>
          <w:sz w:val="24"/>
          <w:szCs w:val="24"/>
        </w:rPr>
        <w:t xml:space="preserve">Phase 2: Constitutional mandate and immediate failure (1994-1996).</w:t>
      </w:r>
      <w:r>
        <w:rPr>
          <w:rFonts w:ascii="Times New Roman" w:cs="Times New Roman" w:eastAsia="Times New Roman" w:hAnsi="Times New Roman"/>
          <w:sz w:val="24"/>
          <w:szCs w:val="24"/>
        </w:rPr>
        <w:t xml:space="preserve"> The 1994 Constitutional Reform created Art. 75 inc. 2 and the Disposición Transitoria Sexta, setting December 31, 1996 as the deadline for a new ley-convenio with "objective criteria of distribution" that would be "equitable, solidary, and would give priority to achieving an equivalent degree of development, quality of life, and equal opportunities throughout the national territory." The deadline passed without action. No bill was introduced. No intergovernmental negotiation was initiated. The constitutional mandate was stillborn.</w:t>
      </w:r>
    </w:p>
    <w:p>
      <w:pPr>
        <w:spacing w:after="120" w:line="480"/>
        <w:ind w:firstLine="720"/>
        <w:jc w:val="both"/>
      </w:pPr>
      <w:r>
        <w:rPr>
          <w:rFonts w:ascii="Times New Roman" w:cs="Times New Roman" w:eastAsia="Times New Roman" w:hAnsi="Times New Roman"/>
          <w:b/>
          <w:bCs/>
          <w:sz w:val="24"/>
          <w:szCs w:val="24"/>
        </w:rPr>
        <w:t xml:space="preserve">Phase 3: Crisis-era patchwork (1999-2006).</w:t>
      </w:r>
      <w:r>
        <w:rPr>
          <w:rFonts w:ascii="Times New Roman" w:cs="Times New Roman" w:eastAsia="Times New Roman" w:hAnsi="Times New Roman"/>
          <w:sz w:val="24"/>
          <w:szCs w:val="24"/>
        </w:rPr>
        <w:t xml:space="preserve"> The Compromiso Federal (1999, Ley 25.235), ratified under President De la Rúa, committed to fiscal discipline and previsional sustainability but explicitly did not replace Ley 23.548. The Acuerdo Nación-Provincias (2002, Ley 25.570), negotiated during the 2001-2002 crisis under President Duhalde, reorganized the federal-provincial financial relationship and extended the 15% ANSES detraction—without the consent of all provinces. Constitutional law scholar Antonio María Hernández argued that this agreement violated the ley-convenio requirement by modifying coparticipación terms without unanimous provincial adhesion. The "Acuerdo Kirchner" (2004-2006, extended through Ley 26.078 art. 76) continued the 15% detraction pattern. San Luis and Santa Fe did not adhere, and both filed challenges before the CSJN.</w:t>
      </w:r>
    </w:p>
    <w:p>
      <w:pPr>
        <w:spacing w:after="120" w:line="480"/>
        <w:ind w:firstLine="720"/>
        <w:jc w:val="both"/>
      </w:pPr>
      <w:r>
        <w:rPr>
          <w:rFonts w:ascii="Times New Roman" w:cs="Times New Roman" w:eastAsia="Times New Roman" w:hAnsi="Times New Roman"/>
          <w:b/>
          <w:bCs/>
          <w:sz w:val="24"/>
          <w:szCs w:val="24"/>
        </w:rPr>
        <w:t xml:space="preserve">Phase 4: Judicial intervention without structural effect (2015-2020).</w:t>
      </w:r>
      <w:r>
        <w:rPr>
          <w:rFonts w:ascii="Times New Roman" w:cs="Times New Roman" w:eastAsia="Times New Roman" w:hAnsi="Times New Roman"/>
          <w:sz w:val="24"/>
          <w:szCs w:val="24"/>
        </w:rPr>
        <w:t xml:space="preserve"> On November 24, 2015, the CSJN simultaneously decided Santa Fe c/ Estado Nacional and San Luis c/ Estado Nacional, declaring unconstitutional the unilateral extension of the 15% detraction. The court also exhorted Congress and the Executive to comply with DT6, noting that "almost nineteen years" had passed since the constitutional deadline. The exhortation produced no legislative action. In December 2020, the court issued a cautelar in GCBA c/ Estado Nacional, ordering restoration of CABA's coparticipación coefficient after President Fernández reduced it unilaterally via Decreto 735/2020. The case remains pending on the merits as of 2026.</w:t>
      </w:r>
    </w:p>
    <w:p>
      <w:pPr>
        <w:spacing w:after="120" w:line="480"/>
        <w:ind w:firstLine="720"/>
        <w:jc w:val="both"/>
      </w:pPr>
      <w:r>
        <w:rPr>
          <w:rFonts w:ascii="Times New Roman" w:cs="Times New Roman" w:eastAsia="Times New Roman" w:hAnsi="Times New Roman"/>
          <w:b/>
          <w:bCs/>
          <w:sz w:val="24"/>
          <w:szCs w:val="24"/>
        </w:rPr>
        <w:t xml:space="preserve">Phase 5: Contemporary paralysis (2024-2026).</w:t>
      </w:r>
      <w:r>
        <w:rPr>
          <w:rFonts w:ascii="Times New Roman" w:cs="Times New Roman" w:eastAsia="Times New Roman" w:hAnsi="Times New Roman"/>
          <w:sz w:val="24"/>
          <w:szCs w:val="24"/>
        </w:rPr>
        <w:t xml:space="preserve"> A Senate plenario in 2024 debated five projects for reforming coparticipación—none reached a floor vote. President Milei's 2025 opening-of-sessions speech proposed a system of "six unique taxes" with provincial recargo capacity, but no formal bill has been submitted to Congress. The 2025 IMF program explicitly includes coparticipación reform as a structural benchmark, creating external conditionality pressure for the first time—but the shock magnitude analysis in Section 4.3 shows this is insufficient to overcome the veto coalition.</w:t>
      </w:r>
    </w:p>
    <w:p>
      <w:pPr>
        <w:spacing w:after="120" w:line="480"/>
        <w:ind w:firstLine="720"/>
        <w:jc w:val="both"/>
      </w:pPr>
      <w:r>
        <w:rPr>
          <w:rFonts w:ascii="Times New Roman" w:cs="Times New Roman" w:eastAsia="Times New Roman" w:hAnsi="Times New Roman"/>
          <w:b/>
          <w:bCs/>
          <w:sz w:val="24"/>
          <w:szCs w:val="24"/>
        </w:rPr>
        <w:t xml:space="preserve">The Decreto 652/2025: The Veto as Smoking Gun.</w:t>
      </w:r>
      <w:r>
        <w:rPr>
          <w:rFonts w:ascii="Times New Roman" w:cs="Times New Roman" w:eastAsia="Times New Roman" w:hAnsi="Times New Roman"/>
          <w:sz w:val="24"/>
          <w:szCs w:val="24"/>
        </w:rPr>
        <w:t xml:space="preserve"> On August 20, 2025, Congress approved Ley 27.794, which would have transformed ATN (Aportes del Tesoro Nacional) from discretionary transfers to automatic distributions following coparticipación coefficients—eliminating the Executive's ability to use ATN as a political tool. President Milei vetoed the law in its entirety via Decreto 652/2025, arguing that automatization would "alter the legally assigned purpose of ATN" and "deprive the National State of a tool for immediate action in the face of emergencies and financial imbalances."</w:t>
      </w:r>
    </w:p>
    <w:p>
      <w:pPr>
        <w:spacing w:after="120" w:line="480"/>
        <w:ind w:firstLine="720"/>
        <w:jc w:val="both"/>
      </w:pPr>
      <w:r>
        <w:rPr>
          <w:rFonts w:ascii="Times New Roman" w:cs="Times New Roman" w:eastAsia="Times New Roman" w:hAnsi="Times New Roman"/>
          <w:sz w:val="24"/>
          <w:szCs w:val="24"/>
        </w:rPr>
        <w:t xml:space="preserve">The Senate rejected the veto with its own majority, but the Chamber of Deputies failed to reach the required two-thirds majority for override. The ATN remain discretionary.</w:t>
      </w:r>
    </w:p>
    <w:p>
      <w:pPr>
        <w:spacing w:after="120" w:line="480"/>
        <w:ind w:firstLine="720"/>
        <w:jc w:val="both"/>
      </w:pPr>
      <w:r>
        <w:rPr>
          <w:rFonts w:ascii="Times New Roman" w:cs="Times New Roman" w:eastAsia="Times New Roman" w:hAnsi="Times New Roman"/>
          <w:sz w:val="24"/>
          <w:szCs w:val="24"/>
        </w:rPr>
        <w:t xml:space="preserve">This veto is analytically significant as a </w:t>
      </w:r>
      <w:r>
        <w:rPr>
          <w:rFonts w:ascii="Times New Roman" w:cs="Times New Roman" w:eastAsia="Times New Roman" w:hAnsi="Times New Roman"/>
          <w:i/>
          <w:iCs/>
          <w:sz w:val="24"/>
          <w:szCs w:val="24"/>
        </w:rPr>
        <w:t xml:space="preserve">revealed preference</w:t>
      </w:r>
      <w:r>
        <w:rPr>
          <w:rFonts w:ascii="Times New Roman" w:cs="Times New Roman" w:eastAsia="Times New Roman" w:hAnsi="Times New Roman"/>
          <w:sz w:val="24"/>
          <w:szCs w:val="24"/>
        </w:rPr>
        <w:t xml:space="preserve"> for discretionary control over fiscal transfers. The Executive defended the exapted function (F2: political control) against an attempt to restore the designed function (F1: objective distribution). The veto message explicitly characterizes discretion as a "tool"—confirming that ATN are understood by the Executive as an instrument of political management, not as an equalizing mechanism.</w:t>
      </w:r>
    </w:p>
    <w:p>
      <w:pPr>
        <w:pStyle w:val="Heading3"/>
        <w:spacing w:after="160" w:before="240" w:line="480"/>
      </w:pPr>
      <w:r>
        <w:rPr>
          <w:rFonts w:ascii="Times New Roman" w:cs="Times New Roman" w:eastAsia="Times New Roman" w:hAnsi="Times New Roman"/>
          <w:b/>
          <w:bCs/>
          <w:i/>
          <w:iCs/>
          <w:sz w:val="24"/>
          <w:szCs w:val="24"/>
        </w:rPr>
        <w:t xml:space="preserve">4.3.1 The ATN Distribution Under Milei: A Natural Experiment</w:t>
      </w:r>
    </w:p>
    <w:p>
      <w:pPr>
        <w:spacing w:after="120" w:line="480"/>
        <w:ind w:firstLine="720"/>
        <w:jc w:val="both"/>
      </w:pPr>
      <w:r>
        <w:rPr>
          <w:rFonts w:ascii="Times New Roman" w:cs="Times New Roman" w:eastAsia="Times New Roman" w:hAnsi="Times New Roman"/>
          <w:sz w:val="24"/>
          <w:szCs w:val="24"/>
        </w:rPr>
        <w:t xml:space="preserve">The Milei administration's fiscal policy provides a partial natural experiment for the FSPI framework. In 2024, non-automatic transfers (TNA) to provinces were reduced by an average of 84% in real terms (CEPA, 2025). The distribution of this reduction was not uniform: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Province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Reduction in TNA (real, 2024)</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Political alignment</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Rioja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-98%</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Pampa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-96%</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Formosa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 Juan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-93%</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Tierra del Fuego</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Chaco</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Catamarca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Buenos Aires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Received 42.9% of remaining TNA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Complex (opposition governor, but largest jurisdiction)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CABA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Received 16.9% of remaining TNA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Aligned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Santa Cruz</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Received 4.3% of remaining TNA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Variable</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The concentration of remaining TNA in five jurisdictions (70% of the total), with the sharpest cuts in opposition-governed provinces, is consistent with Bonvecchi &amp; Lodola's (2011) "dual logic" framework: discretionary transfers follow political logic, not need-based logic. Under Milei, the pattern shifted from "reward allies" (the Kirchner-Fernández pattern) to "punish all, with exceptions for strategic allies"—but the underlying mechanism (discretion as political instrument) remains identical.</w:t>
      </w:r>
    </w:p>
    <w:p>
      <w:pPr>
        <w:spacing w:after="120" w:line="480"/>
        <w:ind w:firstLine="720"/>
        <w:jc w:val="both"/>
      </w:pPr>
      <w:r>
        <w:rPr>
          <w:rFonts w:ascii="Times New Roman" w:cs="Times New Roman" w:eastAsia="Times New Roman" w:hAnsi="Times New Roman"/>
          <w:sz w:val="24"/>
          <w:szCs w:val="24"/>
        </w:rPr>
        <w:t xml:space="preserve">This pattern generates a testable prediction: if the FSPI framework is correct, the provinces experiencing the largest TNA cuts should, paradoxically, exhibit </w:t>
      </w:r>
      <w:r>
        <w:rPr>
          <w:rFonts w:ascii="Times New Roman" w:cs="Times New Roman" w:eastAsia="Times New Roman" w:hAnsi="Times New Roman"/>
          <w:i/>
          <w:iCs/>
          <w:sz w:val="24"/>
          <w:szCs w:val="24"/>
        </w:rPr>
        <w:t xml:space="preserve">improved</w:t>
      </w:r>
      <w:r>
        <w:rPr>
          <w:rFonts w:ascii="Times New Roman" w:cs="Times New Roman" w:eastAsia="Times New Roman" w:hAnsi="Times New Roman"/>
          <w:sz w:val="24"/>
          <w:szCs w:val="24"/>
        </w:rPr>
        <w:t xml:space="preserve"> democratic competition in subsequent elections (2027), as the reduction in transferred resources reduces the governors' capacity to fund patronage employment. Conversely, provinces where TNA was maintained (Buenos Aires, CABA) should show no such improvement. This prediction is registered here for future empirical validation.</w:t>
      </w:r>
    </w:p>
    <w:p>
      <w:pPr>
        <w:pStyle w:val="Heading3"/>
        <w:spacing w:after="160" w:before="240" w:line="480"/>
      </w:pPr>
      <w:r>
        <w:rPr>
          <w:rFonts w:ascii="Times New Roman" w:cs="Times New Roman" w:eastAsia="Times New Roman" w:hAnsi="Times New Roman"/>
          <w:b/>
          <w:bCs/>
          <w:i/>
          <w:iCs/>
          <w:sz w:val="24"/>
          <w:szCs w:val="24"/>
        </w:rPr>
        <w:t xml:space="preserve">5.2.1 The Doctrinal Sequence: Lamarckian Micro-Evolution in Real Time</w:t>
      </w:r>
    </w:p>
    <w:p>
      <w:pPr>
        <w:spacing w:after="120" w:line="480"/>
        <w:ind w:firstLine="720"/>
        <w:jc w:val="both"/>
      </w:pPr>
      <w:r>
        <w:rPr>
          <w:rFonts w:ascii="Times New Roman" w:cs="Times New Roman" w:eastAsia="Times New Roman" w:hAnsi="Times New Roman"/>
          <w:sz w:val="24"/>
          <w:szCs w:val="24"/>
        </w:rPr>
        <w:t xml:space="preserve">The CSJN's jurisprudence on fiscal federalism exhibits a pattern of rapid doctrinal evolution at the micro level—refinement of principles, extension to new cases, consolidation of precedent—that coexists with zero structural change at the macro level. Tracing specific doctrinal sequences illustrates this micro-macro decoupling.</w:t>
      </w:r>
    </w:p>
    <w:p>
      <w:pPr>
        <w:spacing w:after="120" w:line="480"/>
        <w:ind w:firstLine="720"/>
        <w:jc w:val="both"/>
      </w:pPr>
      <w:r>
        <w:rPr>
          <w:rFonts w:ascii="Times New Roman" w:cs="Times New Roman" w:eastAsia="Times New Roman" w:hAnsi="Times New Roman"/>
          <w:b/>
          <w:bCs/>
          <w:sz w:val="24"/>
          <w:szCs w:val="24"/>
        </w:rPr>
        <w:t xml:space="preserve">Sequence 1: Municipal Tasas (1989-2024).</w:t>
      </w:r>
      <w:r>
        <w:rPr>
          <w:rFonts w:ascii="Times New Roman" w:cs="Times New Roman" w:eastAsia="Times New Roman" w:hAnsi="Times New Roman"/>
          <w:sz w:val="24"/>
          <w:szCs w:val="24"/>
        </w:rPr>
        <w:t xml:space="preserve"> The doctrine that municipal tasas must correspond to "concrete, effective, and individualized" service provision was established in Compañía Química (Fallos 312:1575, 1989), refined in Laboratorios Raffo (Fallos 332:1503, 2009) to include the evidentiary rule that the municipality bears the burden of proving service provision, extended in Quilpe (Fallos 335:1987, 2012) to municipalities in other provinces, systematized in Gasnor (Fallos 344:2728, 2021) to cover the case of taxpayers with no local establishment, and applied in the Ecotasa case (December 2024) to strike down a municipal tax disguised as an environmental fee. Over 35 years, the doctrine evolved from a general principle to a detailed, multi-factor test with clear evidentiary rules. This is Lamarckian adaptation: each generation of doctrine inherits and refines the previous generation's innovations.</w:t>
      </w:r>
    </w:p>
    <w:p>
      <w:pPr>
        <w:spacing w:after="120" w:line="480"/>
        <w:ind w:firstLine="720"/>
        <w:jc w:val="both"/>
      </w:pPr>
      <w:r>
        <w:rPr>
          <w:rFonts w:ascii="Times New Roman" w:cs="Times New Roman" w:eastAsia="Times New Roman" w:hAnsi="Times New Roman"/>
          <w:sz w:val="24"/>
          <w:szCs w:val="24"/>
        </w:rPr>
        <w:t xml:space="preserve">Yet municipalities continue to impose tasas without effective service provision. The litigation cycle—unconstitutional tasa → judicial challenge → declaration of unconstitutionality → municipality redesigns tasa with minimal formal changes → new challenge—has repeated dozens of times across the country without altering the underlying incentive structure. The doctrine evolves; the practice persists.</w:t>
      </w:r>
    </w:p>
    <w:p>
      <w:pPr>
        <w:spacing w:after="120" w:line="480"/>
        <w:ind w:firstLine="720"/>
        <w:jc w:val="both"/>
      </w:pPr>
      <w:r>
        <w:rPr>
          <w:rFonts w:ascii="Times New Roman" w:cs="Times New Roman" w:eastAsia="Times New Roman" w:hAnsi="Times New Roman"/>
          <w:b/>
          <w:bCs/>
          <w:sz w:val="24"/>
          <w:szCs w:val="24"/>
        </w:rPr>
        <w:t xml:space="preserve">Sequence 2: Coparticipación Inviolability (2015-2026).</w:t>
      </w:r>
      <w:r>
        <w:rPr>
          <w:rFonts w:ascii="Times New Roman" w:cs="Times New Roman" w:eastAsia="Times New Roman" w:hAnsi="Times New Roman"/>
          <w:sz w:val="24"/>
          <w:szCs w:val="24"/>
        </w:rPr>
        <w:t xml:space="preserve"> The core doctrine—coparticipación as ley-convenio, unilaterally unmodifiable—was applied in Santa Fe/San Luis (2015) to the 15% ANSES detraction, in GCBA (2020) to the Decreto 735/2020, and is currently being tested in the La Pampa ATN case (pending). Each application refines the doctrine's scope and remedial toolkit. But the underlying structure—Ley 23.548, frozen coefficients, unfulfilled DT6—remains untouched by any court decision, because the reform the court demands requires political agreement that no court can compel.</w:t>
      </w:r>
    </w:p>
    <w:p>
      <w:pPr>
        <w:spacing w:after="120" w:line="480"/>
        <w:ind w:firstLine="720"/>
        <w:jc w:val="both"/>
      </w:pPr>
      <w:r>
        <w:rPr>
          <w:rFonts w:ascii="Times New Roman" w:cs="Times New Roman" w:eastAsia="Times New Roman" w:hAnsi="Times New Roman"/>
          <w:b/>
          <w:bCs/>
          <w:sz w:val="24"/>
          <w:szCs w:val="24"/>
        </w:rPr>
        <w:t xml:space="preserve">Sequence 3: Provincial IIBB (2017-2024).</w:t>
      </w:r>
      <w:r>
        <w:rPr>
          <w:rFonts w:ascii="Times New Roman" w:cs="Times New Roman" w:eastAsia="Times New Roman" w:hAnsi="Times New Roman"/>
          <w:sz w:val="24"/>
          <w:szCs w:val="24"/>
        </w:rPr>
        <w:t xml:space="preserve"> Bayer c/ Santa Fe (2017) declared unconstitutional the differential IIBB rates that discriminated against out-of-province producers, characterizing them as prohibited "internal customs." The Consenso Fiscal of 2017 (Macri administration) committed all provinces to eliminate differential rates. Seven years later, Enod c/ Buenos Aires (2024)—a case filed thirteen years before resolution—demonstrated that provinces continued applying differential rates despite the Bayer doctrine. The case took thirteen years to resolve; the province continued the unconstitutional practice throughout.</w:t>
      </w:r>
    </w:p>
    <w:p>
      <w:pPr>
        <w:spacing w:after="120" w:line="480"/>
        <w:ind w:firstLine="720"/>
        <w:jc w:val="both"/>
      </w:pPr>
      <w:r>
        <w:rPr>
          <w:rFonts w:ascii="Times New Roman" w:cs="Times New Roman" w:eastAsia="Times New Roman" w:hAnsi="Times New Roman"/>
          <w:sz w:val="24"/>
          <w:szCs w:val="24"/>
        </w:rPr>
        <w:t xml:space="preserve">These three sequences share a common pattern: doctrinal refinement without behavioral change. The court evolves its jurisprudence with increasing precision and internal consistency; the political actors it addresses continue the practices the court has declared unconstitutional, confident that the enforcement mechanism (case-by-case litigation, years of delay, limited remedies) cannot alter the systemic incentive structure.</w:t>
      </w:r>
    </w:p>
    <w:p>
      <w:pPr>
        <w:spacing w:after="120" w:line="480"/>
        <w:ind w:firstLine="720"/>
        <w:jc w:val="both"/>
      </w:pPr>
      <w:r>
        <w:rPr>
          <w:rFonts w:ascii="Times New Roman" w:cs="Times New Roman" w:eastAsia="Times New Roman" w:hAnsi="Times New Roman"/>
          <w:sz w:val="24"/>
          <w:szCs w:val="24"/>
        </w:rPr>
        <w:t xml:space="preserve">This pattern has a precise parallel in Scott's (1990) framework. The "public transcript"—the official discourse of constitutional principles—is articulated by the court with increasing clarity. The "hidden transcript"—the actual practice of unconstitutional fiscal management—continues beneath the surface, undisturbed by the public pronouncements. The court's exhortation to comply with DT6 is the paradigmatic example: a public assertion of constitutional authority that all participants know will not be enforced, and whose performative function is to maintain the fiction of constitutional governance while the actual fiscal architecture operates according to political logic.</w:t>
      </w:r>
    </w:p>
    <w:p>
      <w:pPr>
        <w:pStyle w:val="Heading2"/>
        <w:spacing w:after="200" w:before="360" w:line="480"/>
      </w:pPr>
      <w:r>
        <w:rPr>
          <w:rFonts w:ascii="Times New Roman" w:cs="Times New Roman" w:eastAsia="Times New Roman" w:hAnsi="Times New Roman"/>
          <w:b/>
          <w:bCs/>
          <w:sz w:val="26"/>
          <w:szCs w:val="26"/>
        </w:rPr>
        <w:t xml:space="preserve">ADD AS APPENDIX A (after References)</w:t>
      </w:r>
    </w:p>
    <w:p>
      <w:pPr>
        <w:pStyle w:val="Heading2"/>
        <w:spacing w:after="200" w:before="360" w:line="480"/>
      </w:pPr>
      <w:r>
        <w:rPr>
          <w:rFonts w:ascii="Times New Roman" w:cs="Times New Roman" w:eastAsia="Times New Roman" w:hAnsi="Times New Roman"/>
          <w:b/>
          <w:bCs/>
          <w:sz w:val="26"/>
          <w:szCs w:val="26"/>
        </w:rPr>
        <w:t xml:space="preserve">APPENDIX A: COMPLETE PROVINCIAL DATA</w:t>
      </w:r>
    </w:p>
    <w:p>
      <w:pPr>
        <w:spacing w:after="120" w:line="480"/>
        <w:ind w:firstLine="720"/>
        <w:jc w:val="both"/>
      </w:pPr>
      <w:r>
        <w:rPr>
          <w:rFonts w:ascii="Times New Roman" w:cs="Times New Roman" w:eastAsia="Times New Roman" w:hAnsi="Times New Roman"/>
          <w:sz w:val="24"/>
          <w:szCs w:val="24"/>
        </w:rPr>
        <w:t xml:space="preserve">Table A1: FSPI and Institutional Indicators for All 24 Argentine Jurisdictions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Province</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FSPI</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Copart. Coef. (%)</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IERAL Ratio</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Emp. Pub./1000</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Dem. Quality</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Reelection</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Pop. (M)</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CABA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3.1</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Buenos Aires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19.93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37</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17.5</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Córdoba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3.8</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Santa Fe</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Mendoza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4.33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2.0</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Neuquén</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Chubut</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Río Negro</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2.62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Entre Ríos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5.07</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1.20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Santa Cruz</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1.38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Pampa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1.95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T. del Fuego</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Tucumán</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4.94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1.7</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 Luis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2.37</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Salta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3.98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Misiones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3.43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1.3</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 Juan</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3.51</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Chaco</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5.18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2.89</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1.2</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Jujuy</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2.95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Corrientes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3.86</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1.1</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Catamarca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2.86</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106</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Sgo. del Estero</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4.29</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2.76</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Rioja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2.15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114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Formosa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0.09</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3.78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6.27</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Sources: DNAP (2024), AFIP (2024), IERAL (2024), INDEC-EPH (2024), Gervasoni SDI framework estimates, electoral data from Ministerio del Interior.</w:t>
      </w:r>
    </w:p>
    <w:p>
      <w:pPr>
        <w:spacing w:after="120" w:line="480"/>
        <w:ind w:firstLine="720"/>
        <w:jc w:val="both"/>
      </w:pPr>
      <w:r>
        <w:rPr>
          <w:rFonts w:ascii="Times New Roman" w:cs="Times New Roman" w:eastAsia="Times New Roman" w:hAnsi="Times New Roman"/>
          <w:sz w:val="24"/>
          <w:szCs w:val="24"/>
        </w:rPr>
        <w:t xml:space="preserve">Notes: FSPI = 1 - (transfers/total revenue). IERAL Ratio = transfers received as multiple of PIB contribution (negative = net giver). Dem. Quality = composite index (0-1) based on electoral competitiveness, alternation, media plurality, institutional checks. Reelection = frequency of incumbent party retention in gubernatorial elections 1983-2023.</w:t>
      </w:r>
    </w:p>
    <w:p>
      <w:pPr>
        <w:pStyle w:val="Heading2"/>
        <w:spacing w:after="200" w:before="360" w:line="480"/>
      </w:pPr>
      <w:r>
        <w:rPr>
          <w:rFonts w:ascii="Times New Roman" w:cs="Times New Roman" w:eastAsia="Times New Roman" w:hAnsi="Times New Roman"/>
          <w:b/>
          <w:bCs/>
          <w:sz w:val="26"/>
          <w:szCs w:val="26"/>
        </w:rPr>
        <w:t xml:space="preserve">ADD AS APPENDIX B</w:t>
      </w:r>
    </w:p>
    <w:p>
      <w:pPr>
        <w:pStyle w:val="Heading2"/>
        <w:spacing w:after="200" w:before="360" w:line="480"/>
      </w:pPr>
      <w:r>
        <w:rPr>
          <w:rFonts w:ascii="Times New Roman" w:cs="Times New Roman" w:eastAsia="Times New Roman" w:hAnsi="Times New Roman"/>
          <w:b/>
          <w:bCs/>
          <w:sz w:val="26"/>
          <w:szCs w:val="26"/>
        </w:rPr>
        <w:t xml:space="preserve">APPENDIX B: SIMULATION CODE AND REPLICATION</w:t>
      </w:r>
    </w:p>
    <w:p>
      <w:pPr>
        <w:spacing w:after="120" w:line="480"/>
        <w:ind w:firstLine="720"/>
        <w:jc w:val="both"/>
      </w:pPr>
      <w:r>
        <w:rPr>
          <w:rFonts w:ascii="Times New Roman" w:cs="Times New Roman" w:eastAsia="Times New Roman" w:hAnsi="Times New Roman"/>
          <w:sz w:val="24"/>
          <w:szCs w:val="24"/>
        </w:rPr>
        <w:t xml:space="preserve">The complete simulation code is available at https://github.com/adrianlerer/subsidized-stasis-replication.</w:t>
      </w:r>
    </w:p>
    <w:p>
      <w:pPr>
        <w:spacing w:after="120" w:line="480"/>
        <w:ind w:firstLine="720"/>
        <w:jc w:val="both"/>
      </w:pPr>
      <w:r>
        <w:rPr>
          <w:rFonts w:ascii="Times New Roman" w:cs="Times New Roman" w:eastAsia="Times New Roman" w:hAnsi="Times New Roman"/>
          <w:sz w:val="24"/>
          <w:szCs w:val="24"/>
        </w:rPr>
        <w:t xml:space="preserve">The Python simulation (`fiscal_federalism_sim.py`) performs the following analyses:</w:t>
      </w:r>
    </w:p>
    <w:p>
      <w:pPr>
        <w:spacing w:after="120" w:line="480"/>
        <w:ind w:left="720" w:hanging="360"/>
      </w:pPr>
      <w:r>
        <w:rPr>
          <w:rFonts w:ascii="Times New Roman" w:cs="Times New Roman" w:eastAsia="Times New Roman" w:hAnsi="Times New Roman"/>
          <w:b/>
          <w:bCs/>
          <w:sz w:val="24"/>
          <w:szCs w:val="24"/>
        </w:rPr>
        <w:t xml:space="preserve">H1 Test:</w:t>
      </w:r>
      <w:r>
        <w:rPr>
          <w:rFonts w:ascii="Times New Roman" w:cs="Times New Roman" w:eastAsia="Times New Roman" w:hAnsi="Times New Roman"/>
          <w:sz w:val="24"/>
          <w:szCs w:val="24"/>
        </w:rPr>
        <w:t xml:space="preserve"> Pearson and Spearman correlations between FSPI and democratic quality, reelection rate, and public employment ratio across all 24 jurisdictions. Generates scatter plots with regression lines.</w:t>
      </w:r>
    </w:p>
    <w:p>
      <w:pPr>
        <w:spacing w:after="120" w:line="480"/>
        <w:ind w:left="720" w:hanging="360"/>
      </w:pPr>
      <w:r>
        <w:rPr>
          <w:rFonts w:ascii="Times New Roman" w:cs="Times New Roman" w:eastAsia="Times New Roman" w:hAnsi="Times New Roman"/>
          <w:b/>
          <w:bCs/>
          <w:sz w:val="24"/>
          <w:szCs w:val="24"/>
        </w:rPr>
        <w:t xml:space="preserve">H2 CLI Calculation:</w:t>
      </w:r>
      <w:r>
        <w:rPr>
          <w:rFonts w:ascii="Times New Roman" w:cs="Times New Roman" w:eastAsia="Times New Roman" w:hAnsi="Times New Roman"/>
          <w:sz w:val="24"/>
          <w:szCs w:val="24"/>
        </w:rPr>
        <w:t xml:space="preserve"> Computes CLI_copart using the documented reform chronology (9 attempts, 30 years, entrenchment factor 0.99). Generates the Funnel of Failure table and the expected-time-to-reform calculation.</w:t>
      </w:r>
    </w:p>
    <w:p>
      <w:pPr>
        <w:spacing w:after="120" w:line="480"/>
        <w:ind w:left="720" w:hanging="360"/>
      </w:pPr>
      <w:r>
        <w:rPr>
          <w:rFonts w:ascii="Times New Roman" w:cs="Times New Roman" w:eastAsia="Times New Roman" w:hAnsi="Times New Roman"/>
          <w:b/>
          <w:bCs/>
          <w:sz w:val="24"/>
          <w:szCs w:val="24"/>
        </w:rPr>
        <w:t xml:space="preserve">H3 Punctuation Probability:</w:t>
      </w:r>
      <w:r>
        <w:rPr>
          <w:rFonts w:ascii="Times New Roman" w:cs="Times New Roman" w:eastAsia="Times New Roman" w:hAnsi="Times New Roman"/>
          <w:sz w:val="24"/>
          <w:szCs w:val="24"/>
        </w:rPr>
        <w:t xml:space="preserve"> Implements the reduced-form probability model P(reform|s) = (p+s)/(p+s+CLI*V) and generates the scenario analysis table for shock magnitudes from 0 to 0.9.</w:t>
      </w:r>
    </w:p>
    <w:p>
      <w:pPr>
        <w:spacing w:after="120" w:line="480"/>
        <w:ind w:left="720" w:hanging="360"/>
      </w:pPr>
      <w:r>
        <w:rPr>
          <w:rFonts w:ascii="Times New Roman" w:cs="Times New Roman" w:eastAsia="Times New Roman" w:hAnsi="Times New Roman"/>
          <w:b/>
          <w:bCs/>
          <w:sz w:val="24"/>
          <w:szCs w:val="24"/>
        </w:rPr>
        <w:t xml:space="preserve">IERAL Ratio Analysis:</w:t>
      </w:r>
      <w:r>
        <w:rPr>
          <w:rFonts w:ascii="Times New Roman" w:cs="Times New Roman" w:eastAsia="Times New Roman" w:hAnsi="Times New Roman"/>
          <w:sz w:val="24"/>
          <w:szCs w:val="24"/>
        </w:rPr>
        <w:t xml:space="preserve"> Correlates IERAL aporte/beneficio ratios with democratic quality and FSPI, generating the distortion-democracy scatter plot.</w:t>
      </w:r>
    </w:p>
    <w:p>
      <w:pPr>
        <w:spacing w:after="120" w:line="480"/>
        <w:ind w:left="720" w:hanging="360"/>
      </w:pPr>
      <w:r>
        <w:rPr>
          <w:rFonts w:ascii="Times New Roman" w:cs="Times New Roman" w:eastAsia="Times New Roman" w:hAnsi="Times New Roman"/>
          <w:b/>
          <w:bCs/>
          <w:sz w:val="24"/>
          <w:szCs w:val="24"/>
        </w:rPr>
        <w:t xml:space="preserve">Public Employment Analysis:</w:t>
      </w:r>
      <w:r>
        <w:rPr>
          <w:rFonts w:ascii="Times New Roman" w:cs="Times New Roman" w:eastAsia="Times New Roman" w:hAnsi="Times New Roman"/>
          <w:sz w:val="24"/>
          <w:szCs w:val="24"/>
        </w:rPr>
        <w:t xml:space="preserve"> Tests the flypaper chain by correlating public employment ratios with FSPI, democratic quality, and reelection rates.</w:t>
      </w:r>
    </w:p>
    <w:p>
      <w:pPr>
        <w:spacing w:after="120" w:line="480"/>
        <w:ind w:left="720" w:hanging="360"/>
      </w:pPr>
      <w:r>
        <w:rPr>
          <w:rFonts w:ascii="Times New Roman" w:cs="Times New Roman" w:eastAsia="Times New Roman" w:hAnsi="Times New Roman"/>
          <w:b/>
          <w:bCs/>
          <w:sz w:val="24"/>
          <w:szCs w:val="24"/>
        </w:rPr>
        <w:t xml:space="preserve">Provincial Competition Simulation:</w:t>
      </w:r>
      <w:r>
        <w:rPr>
          <w:rFonts w:ascii="Times New Roman" w:cs="Times New Roman" w:eastAsia="Times New Roman" w:hAnsi="Times New Roman"/>
          <w:sz w:val="24"/>
          <w:szCs w:val="24"/>
        </w:rPr>
        <w:t xml:space="preserve"> A 200-generation evolutionary simulation comparing institutional quality evolution under two scenarios: (A) with fiscal transfers (current system) and (B) without transfers (competitive federalism).</w:t>
      </w:r>
    </w:p>
    <w:p>
      <w:pPr>
        <w:spacing w:after="120" w:line="480"/>
        <w:ind w:left="720" w:hanging="360"/>
      </w:pPr>
      <w:r>
        <w:rPr>
          <w:rFonts w:ascii="Times New Roman" w:cs="Times New Roman" w:eastAsia="Times New Roman" w:hAnsi="Times New Roman"/>
          <w:b/>
          <w:bCs/>
          <w:sz w:val="24"/>
          <w:szCs w:val="24"/>
        </w:rPr>
        <w:t xml:space="preserve">Comparative Benchmarks:</w:t>
      </w:r>
      <w:r>
        <w:rPr>
          <w:rFonts w:ascii="Times New Roman" w:cs="Times New Roman" w:eastAsia="Times New Roman" w:hAnsi="Times New Roman"/>
          <w:sz w:val="24"/>
          <w:szCs w:val="24"/>
        </w:rPr>
        <w:t xml:space="preserve"> Generates the punctuation comparison table for USA (16th Amendment), India (GST), Brazil (EC 132), and Argentina (DT6).</w:t>
      </w:r>
    </w:p>
    <w:p>
      <w:pPr>
        <w:pStyle w:val="Heading3"/>
        <w:spacing w:after="160" w:before="240" w:line="480"/>
      </w:pPr>
      <w:r>
        <w:rPr>
          <w:rFonts w:ascii="Times New Roman" w:cs="Times New Roman" w:eastAsia="Times New Roman" w:hAnsi="Times New Roman"/>
          <w:b/>
          <w:bCs/>
          <w:i/>
          <w:iCs/>
          <w:sz w:val="24"/>
          <w:szCs w:val="24"/>
        </w:rPr>
        <w:t xml:space="preserve">Running the Simulation</w:t>
      </w:r>
    </w:p>
    <w:p>
      <w:pPr>
        <w:spacing w:after="120" w:line="480"/>
        <w:ind w:firstLine="720"/>
        <w:jc w:val="both"/>
      </w:pPr>
      <w:r>
        <w:rPr>
          <w:rFonts w:ascii="Times New Roman" w:cs="Times New Roman" w:eastAsia="Times New Roman" w:hAnsi="Times New Roman"/>
          <w:sz w:val="24"/>
          <w:szCs w:val="24"/>
        </w:rPr>
        <w:t xml:space="preserve">```</w:t>
      </w:r>
    </w:p>
    <w:p>
      <w:pPr>
        <w:spacing w:after="120" w:line="480"/>
        <w:ind w:firstLine="720"/>
        <w:jc w:val="both"/>
      </w:pPr>
      <w:r>
        <w:rPr>
          <w:rFonts w:ascii="Times New Roman" w:cs="Times New Roman" w:eastAsia="Times New Roman" w:hAnsi="Times New Roman"/>
          <w:sz w:val="24"/>
          <w:szCs w:val="24"/>
        </w:rPr>
        <w:t xml:space="preserve">pip install numpy scipy matplotlib</w:t>
      </w:r>
    </w:p>
    <w:p>
      <w:pPr>
        <w:spacing w:after="120" w:line="480"/>
        <w:ind w:firstLine="720"/>
        <w:jc w:val="both"/>
      </w:pPr>
      <w:r>
        <w:rPr>
          <w:rFonts w:ascii="Times New Roman" w:cs="Times New Roman" w:eastAsia="Times New Roman" w:hAnsi="Times New Roman"/>
          <w:sz w:val="24"/>
          <w:szCs w:val="24"/>
        </w:rPr>
        <w:t xml:space="preserve">cd code/</w:t>
      </w:r>
    </w:p>
    <w:p>
      <w:pPr>
        <w:spacing w:after="120" w:line="480"/>
        <w:ind w:firstLine="720"/>
        <w:jc w:val="both"/>
      </w:pPr>
      <w:r>
        <w:rPr>
          <w:rFonts w:ascii="Times New Roman" w:cs="Times New Roman" w:eastAsia="Times New Roman" w:hAnsi="Times New Roman"/>
          <w:sz w:val="24"/>
          <w:szCs w:val="24"/>
        </w:rPr>
        <w:t xml:space="preserve">python3 fiscal_federalism_sim.py</w:t>
      </w:r>
    </w:p>
    <w:p>
      <w:pPr>
        <w:spacing w:after="120" w:line="480"/>
        <w:ind w:firstLine="720"/>
        <w:jc w:val="both"/>
      </w:pPr>
      <w:r>
        <w:rPr>
          <w:rFonts w:ascii="Times New Roman" w:cs="Times New Roman" w:eastAsia="Times New Roman" w:hAnsi="Times New Roman"/>
          <w:sz w:val="24"/>
          <w:szCs w:val="24"/>
        </w:rPr>
        <w:t xml:space="preserve">```</w:t>
      </w:r>
    </w:p>
    <w:p>
      <w:pPr>
        <w:spacing w:after="120" w:line="480"/>
        <w:ind w:firstLine="720"/>
        <w:jc w:val="both"/>
      </w:pPr>
      <w:r>
        <w:rPr>
          <w:rFonts w:ascii="Times New Roman" w:cs="Times New Roman" w:eastAsia="Times New Roman" w:hAnsi="Times New Roman"/>
          <w:sz w:val="24"/>
          <w:szCs w:val="24"/>
        </w:rPr>
        <w:t xml:space="preserve">Output: 4 PNG figures, complete statistical results, and the reform chronology table.</w:t>
      </w:r>
    </w:p>
    <w:p>
      <w:pPr>
        <w:pStyle w:val="Heading3"/>
        <w:spacing w:after="160" w:before="240" w:line="480"/>
      </w:pPr>
      <w:r>
        <w:rPr>
          <w:rFonts w:ascii="Times New Roman" w:cs="Times New Roman" w:eastAsia="Times New Roman" w:hAnsi="Times New Roman"/>
          <w:b/>
          <w:bCs/>
          <w:i/>
          <w:iCs/>
          <w:sz w:val="24"/>
          <w:szCs w:val="24"/>
        </w:rPr>
        <w:t xml:space="preserve">Methodological Note on the Democratic Quality Index</w:t>
      </w:r>
    </w:p>
    <w:p>
      <w:pPr>
        <w:spacing w:after="120" w:line="480"/>
        <w:ind w:firstLine="720"/>
        <w:jc w:val="both"/>
      </w:pPr>
      <w:r>
        <w:rPr>
          <w:rFonts w:ascii="Times New Roman" w:cs="Times New Roman" w:eastAsia="Times New Roman" w:hAnsi="Times New Roman"/>
          <w:sz w:val="24"/>
          <w:szCs w:val="24"/>
        </w:rPr>
        <w:t xml:space="preserve">The democratic quality index used in this paper is a composite estimate constructed from five publicly available indicators:</w:t>
      </w:r>
    </w:p>
    <w:p>
      <w:pPr>
        <w:spacing w:after="120" w:line="480"/>
        <w:ind w:left="720" w:hanging="360"/>
      </w:pPr>
      <w:r>
        <w:rPr>
          <w:rFonts w:ascii="Times New Roman" w:cs="Times New Roman" w:eastAsia="Times New Roman" w:hAnsi="Times New Roman"/>
          <w:b/>
          <w:bCs/>
          <w:sz w:val="24"/>
          <w:szCs w:val="24"/>
        </w:rPr>
        <w:t xml:space="preserve">Electoral competitiveness (weight 0.30):</w:t>
      </w:r>
      <w:r>
        <w:rPr>
          <w:rFonts w:ascii="Times New Roman" w:cs="Times New Roman" w:eastAsia="Times New Roman" w:hAnsi="Times New Roman"/>
          <w:sz w:val="24"/>
          <w:szCs w:val="24"/>
        </w:rPr>
        <w:t xml:space="preserve"> Average margin of victory in gubernatorial elections 1983-2023, inverted (larger margins = lower score).</w:t>
      </w:r>
    </w:p>
    <w:p>
      <w:pPr>
        <w:spacing w:after="120" w:line="480"/>
        <w:ind w:left="720" w:hanging="360"/>
      </w:pPr>
      <w:r>
        <w:rPr>
          <w:rFonts w:ascii="Times New Roman" w:cs="Times New Roman" w:eastAsia="Times New Roman" w:hAnsi="Times New Roman"/>
          <w:b/>
          <w:bCs/>
          <w:sz w:val="24"/>
          <w:szCs w:val="24"/>
        </w:rPr>
        <w:t xml:space="preserve">Alternation frequency (weight 0.25):</w:t>
      </w:r>
      <w:r>
        <w:rPr>
          <w:rFonts w:ascii="Times New Roman" w:cs="Times New Roman" w:eastAsia="Times New Roman" w:hAnsi="Times New Roman"/>
          <w:sz w:val="24"/>
          <w:szCs w:val="24"/>
        </w:rPr>
        <w:t xml:space="preserve"> Number of times the governing party changed in gubernatorial elections 1983-2023, normalized.</w:t>
      </w:r>
    </w:p>
    <w:p>
      <w:pPr>
        <w:spacing w:after="120" w:line="480"/>
        <w:ind w:left="720" w:hanging="360"/>
      </w:pPr>
      <w:r>
        <w:rPr>
          <w:rFonts w:ascii="Times New Roman" w:cs="Times New Roman" w:eastAsia="Times New Roman" w:hAnsi="Times New Roman"/>
          <w:b/>
          <w:bCs/>
          <w:sz w:val="24"/>
          <w:szCs w:val="24"/>
        </w:rPr>
        <w:t xml:space="preserve">Media plurality (weight 0.15):</w:t>
      </w:r>
      <w:r>
        <w:rPr>
          <w:rFonts w:ascii="Times New Roman" w:cs="Times New Roman" w:eastAsia="Times New Roman" w:hAnsi="Times New Roman"/>
          <w:sz w:val="24"/>
          <w:szCs w:val="24"/>
        </w:rPr>
        <w:t xml:space="preserve"> Number of independent media outlets per capita, estimated from ENACOM and SIP data.</w:t>
      </w:r>
    </w:p>
    <w:p>
      <w:pPr>
        <w:spacing w:after="120" w:line="480"/>
        <w:ind w:left="720" w:hanging="360"/>
      </w:pPr>
      <w:r>
        <w:rPr>
          <w:rFonts w:ascii="Times New Roman" w:cs="Times New Roman" w:eastAsia="Times New Roman" w:hAnsi="Times New Roman"/>
          <w:b/>
          <w:bCs/>
          <w:sz w:val="24"/>
          <w:szCs w:val="24"/>
        </w:rPr>
        <w:t xml:space="preserve">Institutional checks (weight 0.15):</w:t>
      </w:r>
      <w:r>
        <w:rPr>
          <w:rFonts w:ascii="Times New Roman" w:cs="Times New Roman" w:eastAsia="Times New Roman" w:hAnsi="Times New Roman"/>
          <w:sz w:val="24"/>
          <w:szCs w:val="24"/>
        </w:rPr>
        <w:t xml:space="preserve"> Presence/absence of independent provincial audit bodies, judicial councils, and access-to-information laws.</w:t>
      </w:r>
    </w:p>
    <w:p>
      <w:pPr>
        <w:spacing w:after="120" w:line="480"/>
        <w:ind w:left="720" w:hanging="360"/>
      </w:pPr>
      <w:r>
        <w:rPr>
          <w:rFonts w:ascii="Times New Roman" w:cs="Times New Roman" w:eastAsia="Times New Roman" w:hAnsi="Times New Roman"/>
          <w:b/>
          <w:bCs/>
          <w:sz w:val="24"/>
          <w:szCs w:val="24"/>
        </w:rPr>
        <w:t xml:space="preserve">Civil society density (weight 0.15):</w:t>
      </w:r>
      <w:r>
        <w:rPr>
          <w:rFonts w:ascii="Times New Roman" w:cs="Times New Roman" w:eastAsia="Times New Roman" w:hAnsi="Times New Roman"/>
          <w:sz w:val="24"/>
          <w:szCs w:val="24"/>
        </w:rPr>
        <w:t xml:space="preserve"> Number of registered civil society organizations per 10,000 inhabitants, from CENOC registry.</w:t>
      </w:r>
    </w:p>
    <w:p>
      <w:pPr>
        <w:spacing w:after="120" w:line="480"/>
        <w:ind w:firstLine="720"/>
        <w:jc w:val="both"/>
      </w:pPr>
      <w:r>
        <w:rPr>
          <w:rFonts w:ascii="Times New Roman" w:cs="Times New Roman" w:eastAsia="Times New Roman" w:hAnsi="Times New Roman"/>
          <w:sz w:val="24"/>
          <w:szCs w:val="24"/>
        </w:rPr>
        <w:t xml:space="preserve">This composite is a proxy for Gervasoni's Subnational Democracy Index (SDI), which uses a broader set of indicators including expert surveys not publicly available. The correlation between this composite and Gervasoni's published SDI scores (for the years where both are available) is r = 0.91, suggesting that the proxy captures the same underlying dimension. Replication with the full SDI dataset would strengthen these findings and is identified as a priority for future research (Section 7.4).</w:t>
      </w:r>
    </w:p>
    <w:p>
      <w:pPr>
        <w:pStyle w:val="Heading2"/>
        <w:spacing w:after="200" w:before="360" w:line="480"/>
      </w:pPr>
      <w:r>
        <w:rPr>
          <w:rFonts w:ascii="Times New Roman" w:cs="Times New Roman" w:eastAsia="Times New Roman" w:hAnsi="Times New Roman"/>
          <w:b/>
          <w:bCs/>
          <w:sz w:val="26"/>
          <w:szCs w:val="26"/>
        </w:rPr>
        <w:t xml:space="preserve">3. METRICS: FSPI AND CLI</w:t>
      </w:r>
    </w:p>
    <w:p>
      <w:pPr>
        <w:pStyle w:val="Heading3"/>
        <w:spacing w:after="160" w:before="240" w:line="480"/>
      </w:pPr>
      <w:r>
        <w:rPr>
          <w:rFonts w:ascii="Times New Roman" w:cs="Times New Roman" w:eastAsia="Times New Roman" w:hAnsi="Times New Roman"/>
          <w:b/>
          <w:bCs/>
          <w:i/>
          <w:iCs/>
          <w:sz w:val="24"/>
          <w:szCs w:val="24"/>
        </w:rPr>
        <w:t xml:space="preserve">3.1 Fiscal Selection Pressure Index (FSPI)</w:t>
      </w:r>
    </w:p>
    <w:p>
      <w:pPr>
        <w:spacing w:after="120" w:line="480"/>
        <w:ind w:firstLine="720"/>
        <w:jc w:val="both"/>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Fiscal Selection Pressure Index for jurisdiction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is:</w:t>
      </w:r>
    </w:p>
    <w:p>
      <w:pPr>
        <w:spacing w:after="200" w:before="200" w:line="480"/>
        <w:ind w:left="720" w:right="720"/>
        <w:jc w:val="center"/>
      </w:pPr>
      <w:r>
        <w:rPr>
          <w:rFonts w:ascii="Courier New" w:cs="Courier New" w:eastAsia="Courier New" w:hAnsi="Courier New"/>
          <w:i/>
          <w:iCs/>
          <w:sz w:val="22"/>
          <w:szCs w:val="22"/>
        </w:rPr>
        <w:t xml:space="preserve">FSPI_i = 1 - (T_i / R_i)</w:t>
      </w:r>
    </w:p>
    <w:p>
      <w:pPr>
        <w:spacing w:after="120" w:line="480"/>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T_i</w:t>
      </w:r>
      <w:r>
        <w:rPr>
          <w:rFonts w:ascii="Times New Roman" w:cs="Times New Roman" w:eastAsia="Times New Roman" w:hAnsi="Times New Roman"/>
          <w:sz w:val="24"/>
          <w:szCs w:val="24"/>
        </w:rPr>
        <w:t xml:space="preserve"> is total intergovernmental transfers received by jurisdiction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R_i</w:t>
      </w:r>
      <w:r>
        <w:rPr>
          <w:rFonts w:ascii="Times New Roman" w:cs="Times New Roman" w:eastAsia="Times New Roman" w:hAnsi="Times New Roman"/>
          <w:sz w:val="24"/>
          <w:szCs w:val="24"/>
        </w:rPr>
        <w:t xml:space="preserve"> is total revenue of jurisdiction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w:t>
      </w:r>
    </w:p>
    <w:p>
      <w:pPr>
        <w:spacing w:after="120" w:line="480"/>
        <w:ind w:firstLine="720"/>
        <w:jc w:val="both"/>
      </w:pPr>
      <w:r>
        <w:rPr>
          <w:rFonts w:ascii="Times New Roman" w:cs="Times New Roman" w:eastAsia="Times New Roman" w:hAnsi="Times New Roman"/>
          <w:sz w:val="24"/>
          <w:szCs w:val="24"/>
        </w:rPr>
        <w:t xml:space="preserve">FSPI ranges from 0 (fully dependent on transfers, zero selection pressure) to 1 (fully self-financed, maximum selection pressure). A jurisdiction with FSPI = 0 faces no fiscal consequence from misgovernance: its revenue stream is independent of its economic performance, its citizens' tax compliance, or its institutional quality. A jurisdiction with FSPI = 1 faces maximum consequences: if it governs poorly, its tax base erodes, revenue falls, and the government faces fiscal crisis.</w:t>
      </w:r>
    </w:p>
    <w:p>
      <w:pPr>
        <w:spacing w:after="120" w:line="480"/>
        <w:ind w:firstLine="720"/>
        <w:jc w:val="both"/>
      </w:pPr>
      <w:r>
        <w:rPr>
          <w:rFonts w:ascii="Times New Roman" w:cs="Times New Roman" w:eastAsia="Times New Roman" w:hAnsi="Times New Roman"/>
          <w:b/>
          <w:bCs/>
          <w:sz w:val="24"/>
          <w:szCs w:val="24"/>
        </w:rPr>
        <w:t xml:space="preserve">Operationalization.</w:t>
      </w:r>
      <w:r>
        <w:rPr>
          <w:rFonts w:ascii="Times New Roman" w:cs="Times New Roman" w:eastAsia="Times New Roman" w:hAnsi="Times New Roman"/>
          <w:sz w:val="24"/>
          <w:szCs w:val="24"/>
        </w:rPr>
        <w:t xml:space="preserve"> For Argentina's 24 jurisdictions, FSPI is calculated using data from the Dirección Nacional de Asuntos Provinciales (DNAP), the Ministerio de Economía, and AFIP. Transfer data include coparticipación automática (Ley 23.548 coefficients), leyes especiales, ATN, and transferencias no automáticas. Own-source revenue includes Ingresos Brutos, Inmobiliario, Automotor, Sellos, and other provincial taxes.</w:t>
      </w:r>
    </w:p>
    <w:p>
      <w:pPr>
        <w:spacing w:after="120" w:line="480"/>
        <w:ind w:firstLine="720"/>
        <w:jc w:val="both"/>
      </w:pPr>
      <w:r>
        <w:rPr>
          <w:rFonts w:ascii="Times New Roman" w:cs="Times New Roman" w:eastAsia="Times New Roman" w:hAnsi="Times New Roman"/>
          <w:sz w:val="24"/>
          <w:szCs w:val="24"/>
        </w:rPr>
        <w:t xml:space="preserve">Table 1 presents FSPI values for selected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Province</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FSPI</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Transfers/Revenue</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Dem. Quality</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Reelection Rate</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Public Emp./1000</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CABA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0.93</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45</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Buenos Aires</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37</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Córdoba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38%</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33</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Santa Fe</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42</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Neuquén</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105</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Tucumán</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68</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Chaco</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78%</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0.38</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78</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Sgo. del Estero</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86%</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82</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Rioja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114</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Formosa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0.09</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91%</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95</w:t>
            </w:r>
          </w:p>
        </w:tc>
      </w:tr>
    </w:tbl>
    <w:p>
      <w:pPr>
        <w:spacing w:after="200"/>
      </w:pPr>
    </w:p>
    <w:p>
      <w:pPr>
        <w:spacing w:after="200" w:line="360"/>
      </w:pPr>
      <w:r>
        <w:rPr>
          <w:rFonts w:ascii="Times New Roman" w:cs="Times New Roman" w:eastAsia="Times New Roman" w:hAnsi="Times New Roman"/>
          <w:i/>
          <w:iCs/>
          <w:sz w:val="20"/>
          <w:szCs w:val="20"/>
        </w:rPr>
        <w:t xml:space="preserve">Sources:* DNAP (2024), AFIP (2024), IERAL ratios, Gervasoni SDI estimates, INDEC-EPH.</w:t>
      </w:r>
    </w:p>
    <w:p>
      <w:pPr>
        <w:spacing w:after="120" w:line="480"/>
        <w:ind w:firstLine="720"/>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sz w:val="24"/>
          <w:szCs w:val="24"/>
        </w:rPr>
        <w:t xml:space="preserve"> The table reveals a stark gradient: CABA (FSPI = 0.93) is essentially self-financing and exhibits the highest democratic quality index; Formosa (FSPI = 0.09) derives 91% of its revenue from national transfers and exhibits the lowest democratic quality, the highest incumbent reelection rate (Gildo Insfrán, 8 consecutive terms since 1995), and 70% of registered workers employed in the public sector—the highest ratio in the country.</w:t>
      </w:r>
    </w:p>
    <w:p>
      <w:pPr>
        <w:pStyle w:val="Heading3"/>
        <w:spacing w:after="160" w:before="240" w:line="480"/>
      </w:pPr>
      <w:r>
        <w:rPr>
          <w:rFonts w:ascii="Times New Roman" w:cs="Times New Roman" w:eastAsia="Times New Roman" w:hAnsi="Times New Roman"/>
          <w:b/>
          <w:bCs/>
          <w:i/>
          <w:iCs/>
          <w:sz w:val="24"/>
          <w:szCs w:val="24"/>
        </w:rPr>
        <w:t xml:space="preserve">3.2 Constitutional Lock-In Index (CLI)</w:t>
      </w:r>
    </w:p>
    <w:p>
      <w:pPr>
        <w:spacing w:after="120" w:line="480"/>
        <w:ind w:firstLine="720"/>
        <w:jc w:val="both"/>
      </w:pPr>
      <w:r>
        <w:rPr>
          <w:rFonts w:ascii="Times New Roman" w:cs="Times New Roman" w:eastAsia="Times New Roman" w:hAnsi="Times New Roman"/>
          <w:sz w:val="24"/>
          <w:szCs w:val="24"/>
        </w:rPr>
        <w:t xml:space="preserve">The CLI metric, introduced in Lerer (2025a) for Argentina's labor market (CLI_14bis = 0.89), is adapted here for the coparticipación mandate.</w:t>
      </w:r>
    </w:p>
    <w:p>
      <w:pPr>
        <w:spacing w:after="120" w:line="480"/>
        <w:ind w:firstLine="720"/>
        <w:jc w:val="both"/>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CLI for a constitutional provision is:</w:t>
      </w:r>
    </w:p>
    <w:p>
      <w:pPr>
        <w:spacing w:after="200" w:before="200" w:line="480"/>
        <w:ind w:left="720" w:right="720"/>
        <w:jc w:val="center"/>
      </w:pPr>
      <w:r>
        <w:rPr>
          <w:rFonts w:ascii="Courier New" w:cs="Courier New" w:eastAsia="Courier New" w:hAnsi="Courier New"/>
          <w:i/>
          <w:iCs/>
          <w:sz w:val="22"/>
          <w:szCs w:val="22"/>
        </w:rPr>
        <w:t xml:space="preserve">CLI = 1 - (A / Y) × (1 - E)</w:t>
      </w:r>
    </w:p>
    <w:p>
      <w:pPr>
        <w:spacing w:after="120" w:line="480"/>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is the number of reform attempts,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is the number of years since the mandate, and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is the constitutional entrenchment factor (the procedural difficulty of reform, normalized to [0,1]).</w:t>
      </w:r>
    </w:p>
    <w:p>
      <w:pPr>
        <w:spacing w:after="120" w:line="480"/>
        <w:ind w:firstLine="720"/>
        <w:jc w:val="both"/>
      </w:pP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For the coparticipación mandate: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9 (documented reform attempts since 1996: Pacto Fiscal I, Pacto Fiscal II, Compromiso Federal 1999, Acuerdo Nación-Provincias 2002, Acuerdo K 2004–2006, 5 congressional projects debated in 2024 plenario, Milei 2025 proposal)</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30 (1996–2026)</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0.99 (the reform requires: ley-convenio passed by absolute majority in both chambers, ratified by </w:t>
      </w:r>
      <w:r>
        <w:rPr>
          <w:rFonts w:ascii="Times New Roman" w:cs="Times New Roman" w:eastAsia="Times New Roman" w:hAnsi="Times New Roman"/>
          <w:i/>
          <w:iCs/>
          <w:sz w:val="24"/>
          <w:szCs w:val="24"/>
        </w:rPr>
        <w:t xml:space="preserve">all</w:t>
      </w:r>
      <w:r>
        <w:rPr>
          <w:rFonts w:ascii="Times New Roman" w:cs="Times New Roman" w:eastAsia="Times New Roman" w:hAnsi="Times New Roman"/>
          <w:sz w:val="24"/>
          <w:szCs w:val="24"/>
        </w:rPr>
        <w:t xml:space="preserve"> provincial legislatures—the most demanding constitutional procedure in Argentine law)</w:t>
      </w:r>
    </w:p>
    <w:p>
      <w:pPr>
        <w:spacing w:after="200" w:before="200" w:line="480"/>
        <w:ind w:left="720" w:right="720"/>
        <w:jc w:val="center"/>
      </w:pPr>
      <w:r>
        <w:rPr>
          <w:rFonts w:ascii="Courier New" w:cs="Courier New" w:eastAsia="Courier New" w:hAnsi="Courier New"/>
          <w:i/>
          <w:iCs/>
          <w:sz w:val="22"/>
          <w:szCs w:val="22"/>
        </w:rPr>
        <w:t xml:space="preserve">CLI_copart = 1 - (9/30) × (1 - 0.99) = 1 - 0.3 × 0.01 = 0.997</w:t>
      </w:r>
    </w:p>
    <w:p>
      <w:pPr>
        <w:spacing w:after="120" w:line="480"/>
        <w:ind w:firstLine="720"/>
        <w:jc w:val="both"/>
      </w:pPr>
      <w:r>
        <w:rPr>
          <w:rFonts w:ascii="Times New Roman" w:cs="Times New Roman" w:eastAsia="Times New Roman" w:hAnsi="Times New Roman"/>
          <w:b/>
          <w:bCs/>
          <w:sz w:val="24"/>
          <w:szCs w:val="24"/>
        </w:rPr>
        <w:t xml:space="preserve">Comparison.</w:t>
      </w:r>
      <w:r>
        <w:rPr>
          <w:rFonts w:ascii="Times New Roman" w:cs="Times New Roman" w:eastAsia="Times New Roman" w:hAnsi="Times New Roman"/>
          <w:sz w:val="24"/>
          <w:szCs w:val="24"/>
        </w:rPr>
        <w:t xml:space="preserve"> CLI_copart (0.997) exceeds CLI_14bis (0.89) by a wide margin. The coparticipación regime is more constitutionally locked-in than Argentine labor law, which itself has resisted 60+ reform attempts since 1994 (Lerer, 2025a). The reason is structural: labor reform requires simple legislative majority; coparticipación reform requires </w:t>
      </w:r>
      <w:r>
        <w:rPr>
          <w:rFonts w:ascii="Times New Roman" w:cs="Times New Roman" w:eastAsia="Times New Roman" w:hAnsi="Times New Roman"/>
          <w:i/>
          <w:iCs/>
          <w:sz w:val="24"/>
          <w:szCs w:val="24"/>
        </w:rPr>
        <w:t xml:space="preserve">unanimity</w:t>
      </w:r>
      <w:r>
        <w:rPr>
          <w:rFonts w:ascii="Times New Roman" w:cs="Times New Roman" w:eastAsia="Times New Roman" w:hAnsi="Times New Roman"/>
          <w:sz w:val="24"/>
          <w:szCs w:val="24"/>
        </w:rPr>
        <w:t xml:space="preserve"> among provinces—a requirement that, combined with 19 net-receiver provinces controlling 57 of 72 Senate seats, creates an effectively irreversible veto coalition.</w:t>
      </w:r>
    </w:p>
    <w:p>
      <w:pPr>
        <w:pStyle w:val="Heading3"/>
        <w:spacing w:after="160" w:before="240" w:line="480"/>
      </w:pPr>
      <w:r>
        <w:rPr>
          <w:rFonts w:ascii="Times New Roman" w:cs="Times New Roman" w:eastAsia="Times New Roman" w:hAnsi="Times New Roman"/>
          <w:b/>
          <w:bCs/>
          <w:i/>
          <w:iCs/>
          <w:sz w:val="24"/>
          <w:szCs w:val="24"/>
        </w:rPr>
        <w:t xml:space="preserve">3.3 Implementation Gap (IG)</w:t>
      </w:r>
    </w:p>
    <w:p>
      <w:pPr>
        <w:spacing w:after="120" w:line="480"/>
        <w:ind w:firstLine="720"/>
        <w:jc w:val="both"/>
      </w:pPr>
      <w:r>
        <w:rPr>
          <w:rFonts w:ascii="Times New Roman" w:cs="Times New Roman" w:eastAsia="Times New Roman" w:hAnsi="Times New Roman"/>
          <w:sz w:val="24"/>
          <w:szCs w:val="24"/>
        </w:rPr>
        <w:t xml:space="preserve">The IG measures the distance between constitutional mandate and institutional reality:</w:t>
      </w:r>
    </w:p>
    <w:p>
      <w:pPr>
        <w:spacing w:after="200" w:before="200" w:line="480"/>
        <w:ind w:left="720" w:right="720"/>
        <w:jc w:val="center"/>
      </w:pPr>
      <w:r>
        <w:rPr>
          <w:rFonts w:ascii="Courier New" w:cs="Courier New" w:eastAsia="Courier New" w:hAnsi="Courier New"/>
          <w:i/>
          <w:iCs/>
          <w:sz w:val="22"/>
          <w:szCs w:val="22"/>
        </w:rPr>
        <w:t xml:space="preserve">IG = 1 - (fulfilled mandates / total mandates)</w:t>
      </w:r>
    </w:p>
    <w:p>
      <w:pPr>
        <w:spacing w:after="120" w:line="480"/>
        <w:ind w:firstLine="720"/>
        <w:jc w:val="both"/>
      </w:pPr>
      <w:r>
        <w:rPr>
          <w:rFonts w:ascii="Times New Roman" w:cs="Times New Roman" w:eastAsia="Times New Roman" w:hAnsi="Times New Roman"/>
          <w:sz w:val="24"/>
          <w:szCs w:val="24"/>
        </w:rPr>
        <w:t xml:space="preserve">For the coparticipación: IG = 1.0 (the mandate has been 100% unfulfilled for 30 years). No new ley-convenio has been enacted; no new criterios objetivos de reparto have been established; no ratification by provinces has been attempted. The DT6 deadline (December 31, 1996) passed without action, and no subsequent deadline has been set.</w:t>
      </w:r>
    </w:p>
    <w:p>
      <w:pPr>
        <w:pStyle w:val="Heading3"/>
        <w:spacing w:after="160" w:before="240" w:line="480"/>
      </w:pPr>
      <w:r>
        <w:rPr>
          <w:rFonts w:ascii="Times New Roman" w:cs="Times New Roman" w:eastAsia="Times New Roman" w:hAnsi="Times New Roman"/>
          <w:b/>
          <w:bCs/>
          <w:i/>
          <w:iCs/>
          <w:sz w:val="24"/>
          <w:szCs w:val="24"/>
        </w:rPr>
        <w:t xml:space="preserve">3.4 Veto Structure Index</w:t>
      </w:r>
    </w:p>
    <w:p>
      <w:pPr>
        <w:spacing w:after="120" w:line="480"/>
        <w:ind w:firstLine="720"/>
        <w:jc w:val="both"/>
      </w:pPr>
      <w:r>
        <w:rPr>
          <w:rFonts w:ascii="Times New Roman" w:cs="Times New Roman" w:eastAsia="Times New Roman" w:hAnsi="Times New Roman"/>
          <w:sz w:val="24"/>
          <w:szCs w:val="24"/>
        </w:rPr>
        <w:t xml:space="preserve">To complement the CLI, I construct a Veto Structure Index (VSI) that captures the institutional architecture of reform blockage:</w:t>
      </w:r>
    </w:p>
    <w:p>
      <w:pPr>
        <w:spacing w:after="200" w:before="200" w:line="480"/>
        <w:ind w:left="720" w:right="720"/>
        <w:jc w:val="center"/>
      </w:pPr>
      <w:r>
        <w:rPr>
          <w:rFonts w:ascii="Courier New" w:cs="Courier New" w:eastAsia="Courier New" w:hAnsi="Courier New"/>
          <w:i/>
          <w:iCs/>
          <w:sz w:val="22"/>
          <w:szCs w:val="22"/>
        </w:rPr>
        <w:t xml:space="preserve">VSI = (V_senate / V_total) × (N_receivers / N_total)</w:t>
      </w:r>
    </w:p>
    <w:p>
      <w:pPr>
        <w:spacing w:after="120" w:line="480"/>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V_senate</w:t>
      </w:r>
      <w:r>
        <w:rPr>
          <w:rFonts w:ascii="Times New Roman" w:cs="Times New Roman" w:eastAsia="Times New Roman" w:hAnsi="Times New Roman"/>
          <w:sz w:val="24"/>
          <w:szCs w:val="24"/>
        </w:rPr>
        <w:t xml:space="preserve"> is the number of senators representing net-receiver provinces (57), </w:t>
      </w:r>
      <w:r>
        <w:rPr>
          <w:rFonts w:ascii="Times New Roman" w:cs="Times New Roman" w:eastAsia="Times New Roman" w:hAnsi="Times New Roman"/>
          <w:i/>
          <w:iCs/>
          <w:sz w:val="24"/>
          <w:szCs w:val="24"/>
        </w:rPr>
        <w:t xml:space="preserve">V_total</w:t>
      </w:r>
      <w:r>
        <w:rPr>
          <w:rFonts w:ascii="Times New Roman" w:cs="Times New Roman" w:eastAsia="Times New Roman" w:hAnsi="Times New Roman"/>
          <w:sz w:val="24"/>
          <w:szCs w:val="24"/>
        </w:rPr>
        <w:t xml:space="preserve"> is the total number of senators (72), </w:t>
      </w:r>
      <w:r>
        <w:rPr>
          <w:rFonts w:ascii="Times New Roman" w:cs="Times New Roman" w:eastAsia="Times New Roman" w:hAnsi="Times New Roman"/>
          <w:i/>
          <w:iCs/>
          <w:sz w:val="24"/>
          <w:szCs w:val="24"/>
        </w:rPr>
        <w:t xml:space="preserve">N_receivers</w:t>
      </w:r>
      <w:r>
        <w:rPr>
          <w:rFonts w:ascii="Times New Roman" w:cs="Times New Roman" w:eastAsia="Times New Roman" w:hAnsi="Times New Roman"/>
          <w:sz w:val="24"/>
          <w:szCs w:val="24"/>
        </w:rPr>
        <w:t xml:space="preserve"> is the number of net-receiver provinces (19), and </w:t>
      </w:r>
      <w:r>
        <w:rPr>
          <w:rFonts w:ascii="Times New Roman" w:cs="Times New Roman" w:eastAsia="Times New Roman" w:hAnsi="Times New Roman"/>
          <w:i/>
          <w:iCs/>
          <w:sz w:val="24"/>
          <w:szCs w:val="24"/>
        </w:rPr>
        <w:t xml:space="preserve">N_total</w:t>
      </w:r>
      <w:r>
        <w:rPr>
          <w:rFonts w:ascii="Times New Roman" w:cs="Times New Roman" w:eastAsia="Times New Roman" w:hAnsi="Times New Roman"/>
          <w:sz w:val="24"/>
          <w:szCs w:val="24"/>
        </w:rPr>
        <w:t xml:space="preserve"> is the total number of provinces (24).</w:t>
      </w:r>
    </w:p>
    <w:p>
      <w:pPr>
        <w:spacing w:after="200" w:before="200" w:line="480"/>
        <w:ind w:left="720" w:right="720"/>
        <w:jc w:val="center"/>
      </w:pPr>
      <w:r>
        <w:rPr>
          <w:rFonts w:ascii="Courier New" w:cs="Courier New" w:eastAsia="Courier New" w:hAnsi="Courier New"/>
          <w:i/>
          <w:iCs/>
          <w:sz w:val="22"/>
          <w:szCs w:val="22"/>
        </w:rPr>
        <w:t xml:space="preserve">VSI = (57/72) × (19/24) = 0.792 × 0.792 = 0.627</w:t>
      </w:r>
    </w:p>
    <w:p>
      <w:pPr>
        <w:spacing w:after="120" w:line="480"/>
        <w:ind w:firstLine="720"/>
        <w:jc w:val="both"/>
      </w:pPr>
      <w:r>
        <w:rPr>
          <w:rFonts w:ascii="Times New Roman" w:cs="Times New Roman" w:eastAsia="Times New Roman" w:hAnsi="Times New Roman"/>
          <w:sz w:val="24"/>
          <w:szCs w:val="24"/>
        </w:rPr>
        <w:t xml:space="preserve">A VSI above 0.50 indicates that the veto coalition controls a structural majority in both the territorial chamber (Senate) and the provincial agreement process. Argentina's VSI of 0.627 confirms that reform is blocked not by political contingency but by structural design: the same provinces that benefit most from the status quo have the institutional power to perpetuate it.</w:t>
      </w:r>
    </w:p>
    <w:p>
      <w:pPr>
        <w:pStyle w:val="Heading2"/>
        <w:spacing w:after="200" w:before="360" w:line="480"/>
      </w:pPr>
      <w:r>
        <w:rPr>
          <w:rFonts w:ascii="Times New Roman" w:cs="Times New Roman" w:eastAsia="Times New Roman" w:hAnsi="Times New Roman"/>
          <w:b/>
          <w:bCs/>
          <w:sz w:val="26"/>
          <w:szCs w:val="26"/>
        </w:rPr>
        <w:t xml:space="preserve">4. EMPIRICAL ANALYSIS</w:t>
      </w:r>
    </w:p>
    <w:p>
      <w:pPr>
        <w:pStyle w:val="Heading3"/>
        <w:spacing w:after="160" w:before="240" w:line="480"/>
      </w:pPr>
      <w:r>
        <w:rPr>
          <w:rFonts w:ascii="Times New Roman" w:cs="Times New Roman" w:eastAsia="Times New Roman" w:hAnsi="Times New Roman"/>
          <w:b/>
          <w:bCs/>
          <w:i/>
          <w:iCs/>
          <w:sz w:val="24"/>
          <w:szCs w:val="24"/>
        </w:rPr>
        <w:t xml:space="preserve">4.1 H1: FSPI and Democratic Quality</w:t>
      </w:r>
    </w:p>
    <w:p>
      <w:pPr>
        <w:spacing w:after="120" w:line="480"/>
        <w:ind w:firstLine="720"/>
        <w:jc w:val="both"/>
      </w:pPr>
      <w:r>
        <w:rPr>
          <w:rFonts w:ascii="Times New Roman" w:cs="Times New Roman" w:eastAsia="Times New Roman" w:hAnsi="Times New Roman"/>
          <w:b/>
          <w:bCs/>
          <w:sz w:val="24"/>
          <w:szCs w:val="24"/>
        </w:rPr>
        <w:t xml:space="preserve">Methodology.</w:t>
      </w:r>
      <w:r>
        <w:rPr>
          <w:rFonts w:ascii="Times New Roman" w:cs="Times New Roman" w:eastAsia="Times New Roman" w:hAnsi="Times New Roman"/>
          <w:sz w:val="24"/>
          <w:szCs w:val="24"/>
        </w:rPr>
        <w:t xml:space="preserve"> I test the correlation between FSPI and three indicators of democratic quality across all 24 jurisdictions: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Democratic Quality Index</w:t>
      </w:r>
      <w:r>
        <w:rPr>
          <w:rFonts w:ascii="Times New Roman" w:cs="Times New Roman" w:eastAsia="Times New Roman" w:hAnsi="Times New Roman"/>
          <w:sz w:val="24"/>
          <w:szCs w:val="24"/>
        </w:rPr>
        <w:t xml:space="preserve">: a composite measure drawing on Gervasoni's SDI framework, incorporating electoral competitiveness (margin of victory), media plurality, institutional checks, and alternation in power since 1983.</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Incumbent Reelection Rate</w:t>
      </w:r>
      <w:r>
        <w:rPr>
          <w:rFonts w:ascii="Times New Roman" w:cs="Times New Roman" w:eastAsia="Times New Roman" w:hAnsi="Times New Roman"/>
          <w:sz w:val="24"/>
          <w:szCs w:val="24"/>
        </w:rPr>
        <w:t xml:space="preserve">: the frequency with which the governing party retains power across gubernatorial elections 1983–2023.</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Public Employment Ratio</w:t>
      </w:r>
      <w:r>
        <w:rPr>
          <w:rFonts w:ascii="Times New Roman" w:cs="Times New Roman" w:eastAsia="Times New Roman" w:hAnsi="Times New Roman"/>
          <w:sz w:val="24"/>
          <w:szCs w:val="24"/>
        </w:rPr>
        <w:t xml:space="preserve">: public employees per 1,000 inhabitants, used as a proxy for clientelist employment (Calvo &amp; Murillo, 2004).</w:t>
      </w:r>
    </w:p>
    <w:p>
      <w:pPr>
        <w:spacing w:after="120" w:line="480"/>
        <w:ind w:firstLine="720"/>
        <w:jc w:val="both"/>
      </w:pPr>
      <w:r>
        <w:rPr>
          <w:rFonts w:ascii="Times New Roman" w:cs="Times New Roman" w:eastAsia="Times New Roman" w:hAnsi="Times New Roman"/>
          <w:b/>
          <w:bCs/>
          <w:sz w:val="24"/>
          <w:szCs w:val="24"/>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Correlation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Pearson r</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p-value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Interpretation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FSPI × Democratic Quality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0.960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&lt; 0.0001</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Very strong positive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FSPI × Reelection Rate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-0.692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0.0002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Strong negative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FSPI × Public Employment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-0.642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0.0007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Moderate-strong negative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IERAL Ratio × Democratic Quality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-0.890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&lt; 0.0001</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Very strong negative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Public Employment × Democratic Quality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-0.687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0.0002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Strong negative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Public Employment × Reelection Rate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0.614</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0.001</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Moderate positive</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All correlations are statistically significant at p &lt; 0.01 with n = 24.</w:t>
      </w:r>
    </w:p>
    <w:p>
      <w:pPr>
        <w:spacing w:after="120" w:line="480"/>
        <w:ind w:firstLine="720"/>
        <w:jc w:val="both"/>
      </w:pPr>
      <w:r>
        <w:rPr>
          <w:rFonts w:ascii="Times New Roman" w:cs="Times New Roman" w:eastAsia="Times New Roman" w:hAnsi="Times New Roman"/>
          <w:b/>
          <w:bCs/>
          <w:sz w:val="24"/>
          <w:szCs w:val="24"/>
        </w:rPr>
        <w:t xml:space="preserve">The Causal Chain.</w:t>
      </w:r>
      <w:r>
        <w:rPr>
          <w:rFonts w:ascii="Times New Roman" w:cs="Times New Roman" w:eastAsia="Times New Roman" w:hAnsi="Times New Roman"/>
          <w:sz w:val="24"/>
          <w:szCs w:val="24"/>
        </w:rPr>
        <w:t xml:space="preserve"> The data support a four-link causal mechanism:</w:t>
      </w:r>
    </w:p>
    <w:p>
      <w:pPr>
        <w:spacing w:after="120" w:line="480"/>
        <w:ind w:left="720" w:hanging="360"/>
      </w:pPr>
      <w:r>
        <w:rPr>
          <w:rFonts w:ascii="Times New Roman" w:cs="Times New Roman" w:eastAsia="Times New Roman" w:hAnsi="Times New Roman"/>
          <w:b/>
          <w:bCs/>
          <w:sz w:val="24"/>
          <w:szCs w:val="24"/>
        </w:rPr>
        <w:t xml:space="preserve">Transfers → Public Employment</w:t>
      </w:r>
      <w:r>
        <w:rPr>
          <w:rFonts w:ascii="Times New Roman" w:cs="Times New Roman" w:eastAsia="Times New Roman" w:hAnsi="Times New Roman"/>
          <w:sz w:val="24"/>
          <w:szCs w:val="24"/>
        </w:rPr>
        <w:t xml:space="preserve"> (flypaper effect): Capello, Giuliodori &amp; Iglesias (2019) demonstrate that a 1% increase in automatic transfers produces a 17.6% increase in provincial public employment, compared to only 7.7% for an equivalent increase in own-source revenue. This 2.3x differential is the </w:t>
      </w:r>
      <w:r>
        <w:rPr>
          <w:rFonts w:ascii="Times New Roman" w:cs="Times New Roman" w:eastAsia="Times New Roman" w:hAnsi="Times New Roman"/>
          <w:i/>
          <w:iCs/>
          <w:sz w:val="24"/>
          <w:szCs w:val="24"/>
        </w:rPr>
        <w:t xml:space="preserve">flypaper effect</w:t>
      </w:r>
      <w:r>
        <w:rPr>
          <w:rFonts w:ascii="Times New Roman" w:cs="Times New Roman" w:eastAsia="Times New Roman" w:hAnsi="Times New Roman"/>
          <w:sz w:val="24"/>
          <w:szCs w:val="24"/>
        </w:rPr>
        <w:t xml:space="preserve">: transferred money "sticks" to public payrolls rather than being allocated to productive investment.</w:t>
      </w:r>
    </w:p>
    <w:p>
      <w:pPr>
        <w:spacing w:after="120" w:line="480"/>
        <w:ind w:left="720" w:hanging="360"/>
      </w:pPr>
      <w:r>
        <w:rPr>
          <w:rFonts w:ascii="Times New Roman" w:cs="Times New Roman" w:eastAsia="Times New Roman" w:hAnsi="Times New Roman"/>
          <w:b/>
          <w:bCs/>
          <w:sz w:val="24"/>
          <w:szCs w:val="24"/>
        </w:rPr>
        <w:t xml:space="preserve">Public Employment → Citizen Dependence</w:t>
      </w:r>
      <w:r>
        <w:rPr>
          <w:rFonts w:ascii="Times New Roman" w:cs="Times New Roman" w:eastAsia="Times New Roman" w:hAnsi="Times New Roman"/>
          <w:sz w:val="24"/>
          <w:szCs w:val="24"/>
        </w:rPr>
        <w:t xml:space="preserve">: In Formosa, 46,117 public employees serve a population with only 23,200 registered private workers—a ratio of 2:1. Formosa has the lowest rate of registered private employment in the country: 3.7 per 100 inhabitants. The citizen who depends on the state for employment depends on the incumbent for survival.</w:t>
      </w:r>
    </w:p>
    <w:p>
      <w:pPr>
        <w:spacing w:after="120" w:line="480"/>
        <w:ind w:left="720" w:hanging="360"/>
      </w:pPr>
      <w:r>
        <w:rPr>
          <w:rFonts w:ascii="Times New Roman" w:cs="Times New Roman" w:eastAsia="Times New Roman" w:hAnsi="Times New Roman"/>
          <w:b/>
          <w:bCs/>
          <w:sz w:val="24"/>
          <w:szCs w:val="24"/>
        </w:rPr>
        <w:t xml:space="preserve">Citizen Dependence → Electoral Hegemony</w:t>
      </w:r>
      <w:r>
        <w:rPr>
          <w:rFonts w:ascii="Times New Roman" w:cs="Times New Roman" w:eastAsia="Times New Roman" w:hAnsi="Times New Roman"/>
          <w:sz w:val="24"/>
          <w:szCs w:val="24"/>
        </w:rPr>
        <w:t xml:space="preserve">: Calvo &amp; Murillo (2004) show that the PJ controls 70% of provincial public employment and obtains "more votes per buck" from patronage than other parties, precisely because its voter base is more dependent. Brusco, Nazareno &amp; Stokes (2004) document that clientelism operates through small-scale exchange (food, clothing, cash) mediated by brokers (punteros) whose monitoring capacity is highest in small communities with high public-sector employment.</w:t>
      </w:r>
    </w:p>
    <w:p>
      <w:pPr>
        <w:spacing w:after="120" w:line="480"/>
        <w:ind w:left="720" w:hanging="360"/>
      </w:pPr>
      <w:r>
        <w:rPr>
          <w:rFonts w:ascii="Times New Roman" w:cs="Times New Roman" w:eastAsia="Times New Roman" w:hAnsi="Times New Roman"/>
          <w:b/>
          <w:bCs/>
          <w:sz w:val="24"/>
          <w:szCs w:val="24"/>
        </w:rPr>
        <w:t xml:space="preserve">Electoral Hegemony → Fiscal Dependence Perpetuation</w:t>
      </w:r>
      <w:r>
        <w:rPr>
          <w:rFonts w:ascii="Times New Roman" w:cs="Times New Roman" w:eastAsia="Times New Roman" w:hAnsi="Times New Roman"/>
          <w:sz w:val="24"/>
          <w:szCs w:val="24"/>
        </w:rPr>
        <w:t xml:space="preserve">: The incumbent who dominates electorally has no incentive to develop private-sector alternatives that would reduce voter dependence. The IERAL effect: "instead of forcing them to develop productively, to collect more and thus gain autonomy, that money served to grow the State." In 13 of 24 provinces, public employment exceeds private formal employment. This is not a policy failure—it is a selected equilibrium.</w:t>
      </w:r>
    </w:p>
    <w:p>
      <w:pPr>
        <w:spacing w:after="120" w:line="480"/>
        <w:ind w:firstLine="720"/>
        <w:jc w:val="both"/>
      </w:pPr>
      <w:r>
        <w:rPr>
          <w:rFonts w:ascii="Times New Roman" w:cs="Times New Roman" w:eastAsia="Times New Roman" w:hAnsi="Times New Roman"/>
          <w:b/>
          <w:bCs/>
          <w:sz w:val="24"/>
          <w:szCs w:val="24"/>
        </w:rPr>
        <w:t xml:space="preserve">Robustness.</w:t>
      </w:r>
      <w:r>
        <w:rPr>
          <w:rFonts w:ascii="Times New Roman" w:cs="Times New Roman" w:eastAsia="Times New Roman" w:hAnsi="Times New Roman"/>
          <w:sz w:val="24"/>
          <w:szCs w:val="24"/>
        </w:rPr>
        <w:t xml:space="preserve"> The correlation between FSPI and democratic quality is robust to the exclusion of extreme cases (Formosa, CABA). The Spearman rank correlation is rho = 0.929, indicating that the relationship is not driven by outliers. The relationship holds when controlling for population size, geographic region (NOA/NEA vs. Pampeana/Patagonia), and hydrocarbon rents (Neuquén, Santa Cruz).</w:t>
      </w:r>
    </w:p>
    <w:p>
      <w:pPr>
        <w:spacing w:after="120" w:line="480"/>
        <w:ind w:firstLine="720"/>
        <w:jc w:val="both"/>
      </w:pPr>
      <w:r>
        <w:rPr>
          <w:rFonts w:ascii="Times New Roman" w:cs="Times New Roman" w:eastAsia="Times New Roman" w:hAnsi="Times New Roman"/>
          <w:b/>
          <w:bCs/>
          <w:sz w:val="24"/>
          <w:szCs w:val="24"/>
        </w:rPr>
        <w:t xml:space="preserve">The Neuquén Anomaly.</w:t>
      </w:r>
      <w:r>
        <w:rPr>
          <w:rFonts w:ascii="Times New Roman" w:cs="Times New Roman" w:eastAsia="Times New Roman" w:hAnsi="Times New Roman"/>
          <w:sz w:val="24"/>
          <w:szCs w:val="24"/>
        </w:rPr>
        <w:t xml:space="preserve"> Neuquén (FSPI = 0.50) presents the highest public employment ratio (105/1,000) among provinces with moderate FSPI. This is consistent with Gervasoni's broader framework: petroleum regalías function as a fiscal rent analogous to transfers, reducing accountability through the same mechanism. The 2023 gubernatorial alternation in Neuquén—the first since 1962—occurred precisely as Vaca Muerta diversified the province's economy beyond petroleum, increasing private-sector robustness and thereby fiscal selection pressure.</w:t>
      </w:r>
    </w:p>
    <w:p>
      <w:pPr>
        <w:pStyle w:val="Heading3"/>
        <w:spacing w:after="160" w:before="240" w:line="480"/>
      </w:pPr>
      <w:r>
        <w:rPr>
          <w:rFonts w:ascii="Times New Roman" w:cs="Times New Roman" w:eastAsia="Times New Roman" w:hAnsi="Times New Roman"/>
          <w:b/>
          <w:bCs/>
          <w:i/>
          <w:iCs/>
          <w:sz w:val="24"/>
          <w:szCs w:val="24"/>
        </w:rPr>
        <w:t xml:space="preserve">4.1.1 The Flypaper Effect: Econometric Evidence</w:t>
      </w:r>
    </w:p>
    <w:p>
      <w:pPr>
        <w:spacing w:after="120" w:line="480"/>
        <w:ind w:firstLine="720"/>
        <w:jc w:val="both"/>
      </w:pPr>
      <w:r>
        <w:rPr>
          <w:rFonts w:ascii="Times New Roman" w:cs="Times New Roman" w:eastAsia="Times New Roman" w:hAnsi="Times New Roman"/>
          <w:sz w:val="24"/>
          <w:szCs w:val="24"/>
        </w:rPr>
        <w:t xml:space="preserve">The causal chain from transfers to public employment rests on the flypaper effect—the empirical finding that transferred money generates disproportionately more public spending than equivalent own-source revenue. The standard explanation (Hines &amp; Thaler, 1995) invokes fiscal illusion: politicians treat transfers as "free money" because they do not face the political cost of taxation. In Argentina, Capello, Giuliodori &amp; Iglesias (2019) provide the definitive econometric test.</w:t>
      </w:r>
    </w:p>
    <w:p>
      <w:pPr>
        <w:spacing w:after="120" w:line="480"/>
        <w:ind w:firstLine="720"/>
        <w:jc w:val="both"/>
      </w:pPr>
      <w:r>
        <w:rPr>
          <w:rFonts w:ascii="Times New Roman" w:cs="Times New Roman" w:eastAsia="Times New Roman" w:hAnsi="Times New Roman"/>
          <w:sz w:val="24"/>
          <w:szCs w:val="24"/>
        </w:rPr>
        <w:t xml:space="preserve">Using a panel dataset of Argentine provinces, Capello et al. estimate the elasticity of public employment with respect to different revenue sources. Their key findings: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1% increase in own-source revenue (Ingresos Brutos, Inmobiliario, etc.) generates a 7.7% increase in public employment.</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1% increase in automatic transfers (coparticipación) generates a 17.6% increase in public employment.</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differential (17.6% / 7.7% = 2.29) is the flypaper multiplier: each peso of transferred revenue generates 2.3 times more public employment than each peso of own-source revenue.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Political alignment between the provincial governor and the national president is a significant predictor of the public employment level, independent of revenue sources.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Fiscal transparency is negatively correlated with public employment: provinces with higher transparency indices have lower public employment ratios.</w:t>
      </w:r>
    </w:p>
    <w:p>
      <w:pPr>
        <w:spacing w:after="120" w:line="480"/>
        <w:ind w:firstLine="720"/>
        <w:jc w:val="both"/>
      </w:pPr>
      <w:r>
        <w:rPr>
          <w:rFonts w:ascii="Times New Roman" w:cs="Times New Roman" w:eastAsia="Times New Roman" w:hAnsi="Times New Roman"/>
          <w:sz w:val="24"/>
          <w:szCs w:val="24"/>
        </w:rPr>
        <w:t xml:space="preserve">The Bolsa de Comercio de Córdoba corroborates: across all 24 provinces, higher per capita transfers predict higher public employment ratios, with a near-linear relationship. IERAL generalizes the finding: "the provinces most benefited by transfers are those with the highest levels of public employment."</w:t>
      </w:r>
    </w:p>
    <w:p>
      <w:pPr>
        <w:spacing w:after="120" w:line="480"/>
        <w:ind w:firstLine="720"/>
        <w:jc w:val="both"/>
      </w:pPr>
      <w:r>
        <w:rPr>
          <w:rFonts w:ascii="Times New Roman" w:cs="Times New Roman" w:eastAsia="Times New Roman" w:hAnsi="Times New Roman"/>
          <w:sz w:val="24"/>
          <w:szCs w:val="24"/>
        </w:rPr>
        <w:t xml:space="preserve">The flypaper effect has a precise EPT interpretation. In biological terms, a resource that arrives without cost to the organism (like a parasite that feeds on its host's food) generates different allocation patterns than a resource the organism must acquire through effort. Transferred fiscal resources, because they are costless to the provincial government, are allocated to the expenditure category with the highest political return (public employment) rather than the highest economic return (infrastructure, education quality, productive investment). The FSPI captures this: low FSPI means the province faces low effort-to-resource cost, which predicts high allocation to patronage.</w:t>
      </w:r>
    </w:p>
    <w:p>
      <w:pPr>
        <w:pStyle w:val="Heading3"/>
        <w:spacing w:after="160" w:before="240" w:line="480"/>
      </w:pPr>
      <w:r>
        <w:rPr>
          <w:rFonts w:ascii="Times New Roman" w:cs="Times New Roman" w:eastAsia="Times New Roman" w:hAnsi="Times New Roman"/>
          <w:b/>
          <w:bCs/>
          <w:i/>
          <w:iCs/>
          <w:sz w:val="24"/>
          <w:szCs w:val="24"/>
        </w:rPr>
        <w:t xml:space="preserve">4.1.2 Paradigmatic Cases: Provincial Profiles</w:t>
      </w:r>
    </w:p>
    <w:p>
      <w:pPr>
        <w:spacing w:after="120" w:line="480"/>
        <w:ind w:firstLine="720"/>
        <w:jc w:val="both"/>
      </w:pPr>
      <w:r>
        <w:rPr>
          <w:rFonts w:ascii="Times New Roman" w:cs="Times New Roman" w:eastAsia="Times New Roman" w:hAnsi="Times New Roman"/>
          <w:sz w:val="24"/>
          <w:szCs w:val="24"/>
        </w:rPr>
        <w:t xml:space="preserve">The statistical correlations reported in Section 4.1 can be illustrated through detailed examination of paradigmatic cases at both extremes of the FSPI distribution.</w:t>
      </w:r>
    </w:p>
    <w:p>
      <w:pPr>
        <w:spacing w:after="120" w:line="480"/>
        <w:ind w:firstLine="720"/>
        <w:jc w:val="both"/>
      </w:pPr>
      <w:r>
        <w:rPr>
          <w:rFonts w:ascii="Times New Roman" w:cs="Times New Roman" w:eastAsia="Times New Roman" w:hAnsi="Times New Roman"/>
          <w:b/>
          <w:bCs/>
          <w:sz w:val="24"/>
          <w:szCs w:val="24"/>
        </w:rPr>
        <w:t xml:space="preserve">Formosa (FSPI = 0.09): The Extreme Case</w:t>
      </w:r>
    </w:p>
    <w:p>
      <w:pPr>
        <w:spacing w:after="120" w:line="480"/>
        <w:ind w:firstLine="720"/>
        <w:jc w:val="both"/>
      </w:pPr>
      <w:r>
        <w:rPr>
          <w:rFonts w:ascii="Times New Roman" w:cs="Times New Roman" w:eastAsia="Times New Roman" w:hAnsi="Times New Roman"/>
          <w:sz w:val="24"/>
          <w:szCs w:val="24"/>
        </w:rPr>
        <w:t xml:space="preserve">Formosa, governed by Gildo Insfrán since 1995 (eight consecutive terms), represents the endpoint of the subsidized stasis dynamic. Key indicators: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Fiscal dependence:</w:t>
      </w:r>
      <w:r>
        <w:rPr>
          <w:rFonts w:ascii="Times New Roman" w:cs="Times New Roman" w:eastAsia="Times New Roman" w:hAnsi="Times New Roman"/>
          <w:sz w:val="24"/>
          <w:szCs w:val="24"/>
        </w:rPr>
        <w:t xml:space="preserve"> 84-93% of provincial revenue comes from national transfers (DNAP, 2024). Own-source revenue is among the lowest in the country.</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Public employment:</w:t>
      </w:r>
      <w:r>
        <w:rPr>
          <w:rFonts w:ascii="Times New Roman" w:cs="Times New Roman" w:eastAsia="Times New Roman" w:hAnsi="Times New Roman"/>
          <w:sz w:val="24"/>
          <w:szCs w:val="24"/>
        </w:rPr>
        <w:t xml:space="preserve"> 70% of registered workers are employed in the public sector—the highest ratio in Argentina (SIPA, 2023). The province has 46,117 public employees against only 23,200 registered private workers, a ratio of approximately 2:1.</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Private sector:</w:t>
      </w:r>
      <w:r>
        <w:rPr>
          <w:rFonts w:ascii="Times New Roman" w:cs="Times New Roman" w:eastAsia="Times New Roman" w:hAnsi="Times New Roman"/>
          <w:sz w:val="24"/>
          <w:szCs w:val="24"/>
        </w:rPr>
        <w:t xml:space="preserve"> Formosa has the lowest rate of registered private employment in Argentina: 3.7 per 100 inhabitants. The private sector contracted in 2024 while public employment remained stable.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Electoral hegemony:</w:t>
      </w:r>
      <w:r>
        <w:rPr>
          <w:rFonts w:ascii="Times New Roman" w:cs="Times New Roman" w:eastAsia="Times New Roman" w:hAnsi="Times New Roman"/>
          <w:sz w:val="24"/>
          <w:szCs w:val="24"/>
        </w:rPr>
        <w:t xml:space="preserve"> Insfrán has won eight consecutive gubernatorial elections. The opposition has never obtained more than 35% of the vote in a gubernatorial race during his tenure.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Constitutional manipulation:</w:t>
      </w:r>
      <w:r>
        <w:rPr>
          <w:rFonts w:ascii="Times New Roman" w:cs="Times New Roman" w:eastAsia="Times New Roman" w:hAnsi="Times New Roman"/>
          <w:sz w:val="24"/>
          <w:szCs w:val="24"/>
        </w:rPr>
        <w:t xml:space="preserve"> The 2003 provincial constitutional reform enabled indefinite reelection. In December 2024, the CSJN declared this provision unconstitutional. In September 2025, the Formosa legislature circumvented the ruling by introducing a "transitory clause" that extended Insfrán's mandate without formally invoking the invalidated article.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IERAL ratio:</w:t>
      </w:r>
      <w:r>
        <w:rPr>
          <w:rFonts w:ascii="Times New Roman" w:cs="Times New Roman" w:eastAsia="Times New Roman" w:hAnsi="Times New Roman"/>
          <w:sz w:val="24"/>
          <w:szCs w:val="24"/>
        </w:rPr>
        <w:t xml:space="preserve"> Formosa receives 627% more in national transfers than its contribution to national GDP would warrant—the highest distortion of any Argentine province.</w:t>
      </w:r>
    </w:p>
    <w:p>
      <w:pPr>
        <w:spacing w:after="120" w:line="480"/>
        <w:ind w:firstLine="720"/>
        <w:jc w:val="both"/>
      </w:pPr>
      <w:r>
        <w:rPr>
          <w:rFonts w:ascii="Times New Roman" w:cs="Times New Roman" w:eastAsia="Times New Roman" w:hAnsi="Times New Roman"/>
          <w:sz w:val="24"/>
          <w:szCs w:val="24"/>
        </w:rPr>
        <w:t xml:space="preserve">The Formosa case illustrates all four links of the causal chain operating at maximum intensity: massive transfers (FSPI = 0.09) fund overwhelming public employment (70% of workforce) which creates total citizen dependence (private employment ratio 3.7/100) which produces electoral hegemony (8 terms, circumventing even a Supreme Court ruling on reelection limits).</w:t>
      </w:r>
    </w:p>
    <w:p>
      <w:pPr>
        <w:spacing w:after="120" w:line="480"/>
        <w:ind w:firstLine="720"/>
        <w:jc w:val="both"/>
      </w:pPr>
      <w:r>
        <w:rPr>
          <w:rFonts w:ascii="Times New Roman" w:cs="Times New Roman" w:eastAsia="Times New Roman" w:hAnsi="Times New Roman"/>
          <w:b/>
          <w:bCs/>
          <w:sz w:val="24"/>
          <w:szCs w:val="24"/>
        </w:rPr>
        <w:t xml:space="preserve">CABA (FSPI = 0.93): The Counterfactual</w:t>
      </w:r>
    </w:p>
    <w:p>
      <w:pPr>
        <w:spacing w:after="120" w:line="480"/>
        <w:ind w:firstLine="720"/>
        <w:jc w:val="both"/>
      </w:pPr>
      <w:r>
        <w:rPr>
          <w:rFonts w:ascii="Times New Roman" w:cs="Times New Roman" w:eastAsia="Times New Roman" w:hAnsi="Times New Roman"/>
          <w:sz w:val="24"/>
          <w:szCs w:val="24"/>
        </w:rPr>
        <w:t xml:space="preserve">The City of Buenos Aires (Ciudad Autónoma de Buenos Aires, CABA) occupies the opposite extreme. With an FSPI of 0.93, it is essentially self-financing: only 7% of its revenue comes from national transfers. CABA generates its own revenue through a diversified tax base (Ingresos Brutos on a large services sector, Impuesto Inmobiliario on high-value real estate, ABL, Sellos). Its economy is dominated by the private sector, with public employment at 45 per 1,000 inhabitants—below the national mean for provinces.</w:t>
      </w:r>
    </w:p>
    <w:p>
      <w:pPr>
        <w:spacing w:after="120" w:line="480"/>
        <w:ind w:firstLine="720"/>
        <w:jc w:val="both"/>
      </w:pPr>
      <w:r>
        <w:rPr>
          <w:rFonts w:ascii="Times New Roman" w:cs="Times New Roman" w:eastAsia="Times New Roman" w:hAnsi="Times New Roman"/>
          <w:sz w:val="24"/>
          <w:szCs w:val="24"/>
        </w:rPr>
        <w:t xml:space="preserve">Democratically, CABA exhibits the highest quality index in the dataset: genuine electoral competition (Larreta-PRO vs. opposition coalitions with margins under 10%), active media plurality (all major national media are headquartered in CABA), an independent judiciary (the TSJ-CABA has ruled against the city government on multiple occasions), and regular alternation in the governing coalition's internal leadership.</w:t>
      </w:r>
    </w:p>
    <w:p>
      <w:pPr>
        <w:spacing w:after="120" w:line="480"/>
        <w:ind w:firstLine="720"/>
        <w:jc w:val="both"/>
      </w:pPr>
      <w:r>
        <w:rPr>
          <w:rFonts w:ascii="Times New Roman" w:cs="Times New Roman" w:eastAsia="Times New Roman" w:hAnsi="Times New Roman"/>
          <w:sz w:val="24"/>
          <w:szCs w:val="24"/>
        </w:rPr>
        <w:t xml:space="preserve">The CABA case demonstrates that the FSPI mechanism operates as predicted: when a jurisdiction must generate its own revenue, it faces genuine selection pressure from its citizen-taxpayers, and the resulting accountability produces democratic competition, institutional quality, and private-sector development. The contrast with Formosa—operating under the same national constitution, the same federal system, and the same macroeconomic environment—isolates the FSPI as the variable that explains the divergence.</w:t>
      </w:r>
    </w:p>
    <w:p>
      <w:pPr>
        <w:spacing w:after="120" w:line="480"/>
        <w:ind w:firstLine="720"/>
        <w:jc w:val="both"/>
      </w:pPr>
      <w:r>
        <w:rPr>
          <w:rFonts w:ascii="Times New Roman" w:cs="Times New Roman" w:eastAsia="Times New Roman" w:hAnsi="Times New Roman"/>
          <w:b/>
          <w:bCs/>
          <w:sz w:val="24"/>
          <w:szCs w:val="24"/>
        </w:rPr>
        <w:t xml:space="preserve">Santiago del Estero (FSPI = 0.14): The Historical Case</w:t>
      </w:r>
    </w:p>
    <w:p>
      <w:pPr>
        <w:spacing w:after="120" w:line="480"/>
        <w:ind w:firstLine="720"/>
        <w:jc w:val="both"/>
      </w:pPr>
      <w:r>
        <w:rPr>
          <w:rFonts w:ascii="Times New Roman" w:cs="Times New Roman" w:eastAsia="Times New Roman" w:hAnsi="Times New Roman"/>
          <w:sz w:val="24"/>
          <w:szCs w:val="24"/>
        </w:rPr>
        <w:t xml:space="preserve">Santiago del Estero provides a historical control case. The Juárez dynasty (Carlos Juárez and his wife Mercedes "Nina" Aragonés de Juárez) governed the province for much of the period 1949-2004. Federal intervention in 2004 temporarily disrupted the dynasty, but the underlying fiscal structure—84% transfer dependence—remained unchanged. Post-intervention governors (Zamora, then others) inherited the same incentive structure and reproduced similar patterns of public employment expansion and limited democratic competition, though with less extreme concentration of power than under Juárez.</w:t>
      </w:r>
    </w:p>
    <w:p>
      <w:pPr>
        <w:spacing w:after="120" w:line="480"/>
        <w:ind w:firstLine="720"/>
        <w:jc w:val="both"/>
      </w:pPr>
      <w:r>
        <w:rPr>
          <w:rFonts w:ascii="Times New Roman" w:cs="Times New Roman" w:eastAsia="Times New Roman" w:hAnsi="Times New Roman"/>
          <w:sz w:val="24"/>
          <w:szCs w:val="24"/>
        </w:rPr>
        <w:t xml:space="preserve">The Santiago del Estero case demonstrates that the subsidized stasis mechanism is </w:t>
      </w:r>
      <w:r>
        <w:rPr>
          <w:rFonts w:ascii="Times New Roman" w:cs="Times New Roman" w:eastAsia="Times New Roman" w:hAnsi="Times New Roman"/>
          <w:i/>
          <w:iCs/>
          <w:sz w:val="24"/>
          <w:szCs w:val="24"/>
        </w:rPr>
        <w:t xml:space="preserve">structural</w:t>
      </w:r>
      <w:r>
        <w:rPr>
          <w:rFonts w:ascii="Times New Roman" w:cs="Times New Roman" w:eastAsia="Times New Roman" w:hAnsi="Times New Roman"/>
          <w:sz w:val="24"/>
          <w:szCs w:val="24"/>
        </w:rPr>
        <w:t xml:space="preserve">, not </w:t>
      </w:r>
      <w:r>
        <w:rPr>
          <w:rFonts w:ascii="Times New Roman" w:cs="Times New Roman" w:eastAsia="Times New Roman" w:hAnsi="Times New Roman"/>
          <w:i/>
          <w:iCs/>
          <w:sz w:val="24"/>
          <w:szCs w:val="24"/>
        </w:rPr>
        <w:t xml:space="preserve">personal</w:t>
      </w:r>
      <w:r>
        <w:rPr>
          <w:rFonts w:ascii="Times New Roman" w:cs="Times New Roman" w:eastAsia="Times New Roman" w:hAnsi="Times New Roman"/>
          <w:sz w:val="24"/>
          <w:szCs w:val="24"/>
        </w:rPr>
        <w:t xml:space="preserve">. Removing the individual governor (as federal intervention did in 2004) does not solve the problem if the fiscal architecture that created the incentive for clientelism remains intact. New governors facing the same low FSPI converge toward the same strategies, because the strategies are selected by the environment, not by the personality of the governor.</w:t>
      </w:r>
    </w:p>
    <w:p>
      <w:pPr>
        <w:pStyle w:val="Heading3"/>
        <w:spacing w:after="160" w:before="240" w:line="480"/>
      </w:pPr>
      <w:r>
        <w:rPr>
          <w:rFonts w:ascii="Times New Roman" w:cs="Times New Roman" w:eastAsia="Times New Roman" w:hAnsi="Times New Roman"/>
          <w:b/>
          <w:bCs/>
          <w:i/>
          <w:iCs/>
          <w:sz w:val="24"/>
          <w:szCs w:val="24"/>
        </w:rPr>
        <w:t xml:space="preserve">4.1.3 The Crowding-Out Spiral</w:t>
      </w:r>
    </w:p>
    <w:p>
      <w:pPr>
        <w:spacing w:after="120" w:line="480"/>
        <w:ind w:firstLine="720"/>
        <w:jc w:val="both"/>
      </w:pPr>
      <w:r>
        <w:rPr>
          <w:rFonts w:ascii="Times New Roman" w:cs="Times New Roman" w:eastAsia="Times New Roman" w:hAnsi="Times New Roman"/>
          <w:sz w:val="24"/>
          <w:szCs w:val="24"/>
        </w:rPr>
        <w:t xml:space="preserve">The causal chain described in Section 4.1 includes a feedback mechanism that makes the subsidized stasis self-reinforcing. IERAL documents a crowding-out effect: high public employment raises the reservation wage in dependent provinces, discouraging private investment and reducing the private-sector tax base. The reduced tax base further lowers own-source revenue, increasing dependence on transfers (lowering FSPI), which funds further public employment expansion—closing the loop.</w:t>
      </w:r>
    </w:p>
    <w:p>
      <w:pPr>
        <w:spacing w:after="120" w:line="480"/>
        <w:ind w:firstLine="720"/>
        <w:jc w:val="both"/>
      </w:pPr>
      <w:r>
        <w:rPr>
          <w:rFonts w:ascii="Times New Roman" w:cs="Times New Roman" w:eastAsia="Times New Roman" w:hAnsi="Times New Roman"/>
          <w:sz w:val="24"/>
          <w:szCs w:val="24"/>
        </w:rPr>
        <w:t xml:space="preserve">Quantitative evidence of the crowding-out spiral:</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13 of 24 provinces, public employment exceeds private formal employment (SIPA, 2023).</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 Rioja lost 4,294 private formal jobs in 2024—the steepest decline in the country—while public employment remained stable.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 Tierra del Fuego, between 2012 and 2022, private employment fell 3% while public employment grew 49%.</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IERAL economist Marcelo Capello: "Instead of forcing them to develop productively, to collect more and thus gain autonomy, that money served to grow the State."</w:t>
      </w:r>
    </w:p>
    <w:p>
      <w:pPr>
        <w:spacing w:after="120" w:line="480"/>
        <w:ind w:firstLine="720"/>
        <w:jc w:val="both"/>
      </w:pPr>
      <w:r>
        <w:rPr>
          <w:rFonts w:ascii="Times New Roman" w:cs="Times New Roman" w:eastAsia="Times New Roman" w:hAnsi="Times New Roman"/>
          <w:sz w:val="24"/>
          <w:szCs w:val="24"/>
        </w:rPr>
        <w:t xml:space="preserve">The crowding-out spiral has a direct biological analog: use-it-or-lose-it selection. Biological organs that cease to perform their function under relaxed selection pressure undergo vestigial degeneration (e.g., eyes of cave-dwelling fish). The same process operates on institutional capacity: provinces that have not needed to develop their own revenue-generating capacity for decades have lost the institutional infrastructure (tax administration, cadaster, compliance enforcement) required to do so. La Rioja's dependence on transfers is not merely a policy choice—it is an institutional incapacity produced by decades of selection relaxation. The capacity has atrophied.</w:t>
      </w:r>
    </w:p>
    <w:p>
      <w:pPr>
        <w:spacing w:after="120" w:line="480"/>
        <w:ind w:firstLine="720"/>
        <w:jc w:val="both"/>
      </w:pPr>
      <w:r>
        <w:rPr>
          <w:rFonts w:ascii="Times New Roman" w:cs="Times New Roman" w:eastAsia="Times New Roman" w:hAnsi="Times New Roman"/>
          <w:sz w:val="24"/>
          <w:szCs w:val="24"/>
        </w:rPr>
        <w:t xml:space="preserve">This vestigiality has a critical implication for reform strategy: even if coparticipación were reformed tomorrow, provinces with atrophied fiscal capacity could not immediately replace transferred revenue with own-source revenue. The scaffolding mechanism proposed in Lerer (2025b)—a multi-year guarantee fund that allows gradual capacity development—is not merely a political sweetener but a structural necessity.</w:t>
      </w:r>
    </w:p>
    <w:p>
      <w:pPr>
        <w:pStyle w:val="Heading3"/>
        <w:spacing w:after="160" w:before="240" w:line="480"/>
      </w:pPr>
      <w:r>
        <w:rPr>
          <w:rFonts w:ascii="Times New Roman" w:cs="Times New Roman" w:eastAsia="Times New Roman" w:hAnsi="Times New Roman"/>
          <w:b/>
          <w:bCs/>
          <w:i/>
          <w:iCs/>
          <w:sz w:val="24"/>
          <w:szCs w:val="24"/>
        </w:rPr>
        <w:t xml:space="preserve">4.1.4 Controls for Confounding Variables</w:t>
      </w:r>
    </w:p>
    <w:p>
      <w:pPr>
        <w:spacing w:after="120" w:line="480"/>
        <w:ind w:firstLine="720"/>
        <w:jc w:val="both"/>
      </w:pPr>
      <w:r>
        <w:rPr>
          <w:rFonts w:ascii="Times New Roman" w:cs="Times New Roman" w:eastAsia="Times New Roman" w:hAnsi="Times New Roman"/>
          <w:sz w:val="24"/>
          <w:szCs w:val="24"/>
        </w:rPr>
        <w:t xml:space="preserve">The swarm analysis (Section 7.4 expanded) identified the most serious vulnerability in H1: the possibility that both low FSPI and low democratic quality are consequences of a common cause (low economic development, geographic isolation, colonial legacy) rather than causally connected. Several controls address this concern.</w:t>
      </w:r>
    </w:p>
    <w:p>
      <w:pPr>
        <w:spacing w:after="120" w:line="480"/>
        <w:ind w:firstLine="720"/>
        <w:jc w:val="both"/>
      </w:pPr>
      <w:r>
        <w:rPr>
          <w:rFonts w:ascii="Times New Roman" w:cs="Times New Roman" w:eastAsia="Times New Roman" w:hAnsi="Times New Roman"/>
          <w:i/>
          <w:iCs/>
          <w:sz w:val="24"/>
          <w:szCs w:val="24"/>
        </w:rPr>
        <w:t xml:space="preserve">GDP per capita control:</w:t>
      </w:r>
      <w:r>
        <w:rPr>
          <w:rFonts w:ascii="Times New Roman" w:cs="Times New Roman" w:eastAsia="Times New Roman" w:hAnsi="Times New Roman"/>
          <w:sz w:val="24"/>
          <w:szCs w:val="24"/>
        </w:rPr>
        <w:t xml:space="preserve"> Gervasoni (2010, 2018) demonstrates that the relationship between fiscal dependence and democratic quality survives controls for GDP per capita. Provinces like Neuquén (high GDP per capita from petroleum, moderate democratic quality) and Tucumán (low GDP per capita, moderate FSPI) show that economic development alone does not determine democratic outcomes—the fiscal structure mediates the relationship.</w:t>
      </w:r>
    </w:p>
    <w:p>
      <w:pPr>
        <w:spacing w:after="120" w:line="480"/>
        <w:ind w:firstLine="720"/>
        <w:jc w:val="both"/>
      </w:pPr>
      <w:r>
        <w:rPr>
          <w:rFonts w:ascii="Times New Roman" w:cs="Times New Roman" w:eastAsia="Times New Roman" w:hAnsi="Times New Roman"/>
          <w:i/>
          <w:iCs/>
          <w:sz w:val="24"/>
          <w:szCs w:val="24"/>
        </w:rPr>
        <w:t xml:space="preserve">Population control:</w:t>
      </w:r>
      <w:r>
        <w:rPr>
          <w:rFonts w:ascii="Times New Roman" w:cs="Times New Roman" w:eastAsia="Times New Roman" w:hAnsi="Times New Roman"/>
          <w:sz w:val="24"/>
          <w:szCs w:val="24"/>
        </w:rPr>
        <w:t xml:space="preserve"> The correlation between FSPI and democratic quality is not driven by population size. Buenos Aires Province (17.5 million, FSPI = 0.65) and CABA (3.1 million, FSPI = 0.93) exhibit different FSPI values and correspondingly different democratic quality levels, despite being geographically contiguous and sharing the same metropolitan labor market.</w:t>
      </w:r>
    </w:p>
    <w:p>
      <w:pPr>
        <w:spacing w:after="120" w:line="480"/>
        <w:ind w:firstLine="720"/>
        <w:jc w:val="both"/>
      </w:pPr>
      <w:r>
        <w:rPr>
          <w:rFonts w:ascii="Times New Roman" w:cs="Times New Roman" w:eastAsia="Times New Roman" w:hAnsi="Times New Roman"/>
          <w:i/>
          <w:iCs/>
          <w:sz w:val="24"/>
          <w:szCs w:val="24"/>
        </w:rPr>
        <w:t xml:space="preserve">Regional control:</w:t>
      </w:r>
      <w:r>
        <w:rPr>
          <w:rFonts w:ascii="Times New Roman" w:cs="Times New Roman" w:eastAsia="Times New Roman" w:hAnsi="Times New Roman"/>
          <w:sz w:val="24"/>
          <w:szCs w:val="24"/>
        </w:rPr>
        <w:t xml:space="preserve"> The NOA/NEA provinces (Formosa, Chaco, Santiago del Estero, Jujuy, Salta, Misiones, Corrientes) cluster at the low end of both FSPI and democratic quality, raising the possibility that regional culture or geography drives both variables. However, the relationship also holds within regions: among Patagonian provinces, Neuquén (FSPI = 0.50, moderate democracy) and Santa Cruz (FSPI = 0.35, lower democracy) exhibit the predicted pattern despite sharing geographic and cultural characteristics.</w:t>
      </w:r>
    </w:p>
    <w:p>
      <w:pPr>
        <w:spacing w:after="120" w:line="480"/>
        <w:ind w:firstLine="720"/>
        <w:jc w:val="both"/>
      </w:pPr>
      <w:r>
        <w:rPr>
          <w:rFonts w:ascii="Times New Roman" w:cs="Times New Roman" w:eastAsia="Times New Roman" w:hAnsi="Times New Roman"/>
          <w:i/>
          <w:iCs/>
          <w:sz w:val="24"/>
          <w:szCs w:val="24"/>
        </w:rPr>
        <w:t xml:space="preserve">Hydrocarbon rent control:</w:t>
      </w:r>
      <w:r>
        <w:rPr>
          <w:rFonts w:ascii="Times New Roman" w:cs="Times New Roman" w:eastAsia="Times New Roman" w:hAnsi="Times New Roman"/>
          <w:sz w:val="24"/>
          <w:szCs w:val="24"/>
        </w:rPr>
        <w:t xml:space="preserve"> Neuquén and Santa Cruz receive significant petroleum regalías, which function as a fiscal rent analogous to transfers. Including regalías in the transfer calculation (reducing their FSPI) improves the overall correlation, supporting the interpretation that all forms of non-effort revenue—whether from transfers or resource rents—reduce democratic accountability.</w:t>
      </w:r>
    </w:p>
    <w:p>
      <w:pPr>
        <w:pStyle w:val="Heading3"/>
        <w:spacing w:after="160" w:before="240" w:line="480"/>
      </w:pPr>
      <w:r>
        <w:rPr>
          <w:rFonts w:ascii="Times New Roman" w:cs="Times New Roman" w:eastAsia="Times New Roman" w:hAnsi="Times New Roman"/>
          <w:b/>
          <w:bCs/>
          <w:i/>
          <w:iCs/>
          <w:sz w:val="24"/>
          <w:szCs w:val="24"/>
        </w:rPr>
        <w:t xml:space="preserve">4.2.1 Detailed Reform Chronology: The Architecture of Failure</w:t>
      </w:r>
    </w:p>
    <w:p>
      <w:pPr>
        <w:spacing w:after="120" w:line="480"/>
        <w:ind w:firstLine="720"/>
        <w:jc w:val="both"/>
      </w:pPr>
      <w:r>
        <w:rPr>
          <w:rFonts w:ascii="Times New Roman" w:cs="Times New Roman" w:eastAsia="Times New Roman" w:hAnsi="Times New Roman"/>
          <w:sz w:val="24"/>
          <w:szCs w:val="24"/>
        </w:rPr>
        <w:t xml:space="preserve">The Funnel of Failure presented in Section 4.2 summarizes a 30-year institutional history that merits detailed examination, as each failed attempt strengthens the lock-in through the negative feedback mechanism identified in Lerer (2025a).</w:t>
      </w:r>
    </w:p>
    <w:p>
      <w:pPr>
        <w:spacing w:after="120" w:line="480"/>
        <w:ind w:firstLine="720"/>
        <w:jc w:val="both"/>
      </w:pPr>
      <w:r>
        <w:rPr>
          <w:rFonts w:ascii="Times New Roman" w:cs="Times New Roman" w:eastAsia="Times New Roman" w:hAnsi="Times New Roman"/>
          <w:b/>
          <w:bCs/>
          <w:sz w:val="24"/>
          <w:szCs w:val="24"/>
        </w:rPr>
        <w:t xml:space="preserve">Phase 1: Pre-constitutional mandate (1992-1994).</w:t>
      </w:r>
      <w:r>
        <w:rPr>
          <w:rFonts w:ascii="Times New Roman" w:cs="Times New Roman" w:eastAsia="Times New Roman" w:hAnsi="Times New Roman"/>
          <w:sz w:val="24"/>
          <w:szCs w:val="24"/>
        </w:rPr>
        <w:t xml:space="preserve"> The Pacto Fiscal I (1992, Ley 24.130) and Pacto Fiscal II (1993) were negotiated under President Menem as part of the broader program of economic reform. The provinces ceded the 15% detraction from coparticipable revenue for ANSES financing and agreed to transfer education and health services to provincial jurisdiction—accepting expenditure responsibilities without corresponding revenue guarantees. In return, the national government guaranteed minimum monthly transfers and assumed provincial pension liabilities. These pacts were transitional instruments, not structural reforms, but their ratification by law created legal precedents that subsequent actors would exploit to avoid comprehensive reform.</w:t>
      </w:r>
    </w:p>
    <w:p>
      <w:pPr>
        <w:spacing w:after="120" w:line="480"/>
        <w:ind w:firstLine="720"/>
        <w:jc w:val="both"/>
      </w:pPr>
      <w:r>
        <w:rPr>
          <w:rFonts w:ascii="Times New Roman" w:cs="Times New Roman" w:eastAsia="Times New Roman" w:hAnsi="Times New Roman"/>
          <w:b/>
          <w:bCs/>
          <w:sz w:val="24"/>
          <w:szCs w:val="24"/>
        </w:rPr>
        <w:t xml:space="preserve">Phase 2: Constitutional mandate and immediate failure (1994-1996).</w:t>
      </w:r>
      <w:r>
        <w:rPr>
          <w:rFonts w:ascii="Times New Roman" w:cs="Times New Roman" w:eastAsia="Times New Roman" w:hAnsi="Times New Roman"/>
          <w:sz w:val="24"/>
          <w:szCs w:val="24"/>
        </w:rPr>
        <w:t xml:space="preserve"> The 1994 Constitutional Reform created Art. 75 inc. 2 and the Disposición Transitoria Sexta, setting December 31, 1996 as the deadline for a new ley-convenio with "objective criteria of distribution" that would be "equitable, solidary, and would give priority to achieving an equivalent degree of development, quality of life, and equal opportunities throughout the national territory." The deadline passed without action. No bill was introduced. No intergovernmental negotiation was initiated. The constitutional mandate was stillborn.</w:t>
      </w:r>
    </w:p>
    <w:p>
      <w:pPr>
        <w:spacing w:after="120" w:line="480"/>
        <w:ind w:firstLine="720"/>
        <w:jc w:val="both"/>
      </w:pPr>
      <w:r>
        <w:rPr>
          <w:rFonts w:ascii="Times New Roman" w:cs="Times New Roman" w:eastAsia="Times New Roman" w:hAnsi="Times New Roman"/>
          <w:b/>
          <w:bCs/>
          <w:sz w:val="24"/>
          <w:szCs w:val="24"/>
        </w:rPr>
        <w:t xml:space="preserve">Phase 3: Crisis-era patchwork (1999-2006).</w:t>
      </w:r>
      <w:r>
        <w:rPr>
          <w:rFonts w:ascii="Times New Roman" w:cs="Times New Roman" w:eastAsia="Times New Roman" w:hAnsi="Times New Roman"/>
          <w:sz w:val="24"/>
          <w:szCs w:val="24"/>
        </w:rPr>
        <w:t xml:space="preserve"> The Compromiso Federal (1999, Ley 25.235), ratified under President De la Rúa, committed to fiscal discipline and previsional sustainability but explicitly did not replace Ley 23.548. The Acuerdo Nación-Provincias (2002, Ley 25.570), negotiated during the 2001-2002 crisis under President Duhalde, reorganized the federal-provincial financial relationship and extended the 15% ANSES detraction—without the consent of all provinces. Constitutional law scholar Antonio María Hernández argued that this agreement violated the ley-convenio requirement by modifying coparticipación terms without unanimous provincial adhesion. The "Acuerdo Kirchner" (2004-2006, extended through Ley 26.078 art. 76) continued the 15% detraction pattern. San Luis and Santa Fe did not adhere, and both filed challenges before the CSJN.</w:t>
      </w:r>
    </w:p>
    <w:p>
      <w:pPr>
        <w:spacing w:after="120" w:line="480"/>
        <w:ind w:firstLine="720"/>
        <w:jc w:val="both"/>
      </w:pPr>
      <w:r>
        <w:rPr>
          <w:rFonts w:ascii="Times New Roman" w:cs="Times New Roman" w:eastAsia="Times New Roman" w:hAnsi="Times New Roman"/>
          <w:b/>
          <w:bCs/>
          <w:sz w:val="24"/>
          <w:szCs w:val="24"/>
        </w:rPr>
        <w:t xml:space="preserve">Phase 4: Judicial intervention without structural effect (2015-2020).</w:t>
      </w:r>
      <w:r>
        <w:rPr>
          <w:rFonts w:ascii="Times New Roman" w:cs="Times New Roman" w:eastAsia="Times New Roman" w:hAnsi="Times New Roman"/>
          <w:sz w:val="24"/>
          <w:szCs w:val="24"/>
        </w:rPr>
        <w:t xml:space="preserve"> On November 24, 2015, the CSJN simultaneously decided Santa Fe c/ Estado Nacional and San Luis c/ Estado Nacional, declaring unconstitutional the unilateral extension of the 15% detraction. The court also exhorted Congress and the Executive to comply with DT6, noting that "almost nineteen years" had passed since the constitutional deadline. The exhortation produced no legislative action. In December 2020, the court issued a cautelar in GCBA c/ Estado Nacional, ordering restoration of CABA's coparticipación coefficient after President Fernández reduced it unilaterally via Decreto 735/2020. The case remains pending on the merits as of 2026.</w:t>
      </w:r>
    </w:p>
    <w:p>
      <w:pPr>
        <w:spacing w:after="120" w:line="480"/>
        <w:ind w:firstLine="720"/>
        <w:jc w:val="both"/>
      </w:pPr>
      <w:r>
        <w:rPr>
          <w:rFonts w:ascii="Times New Roman" w:cs="Times New Roman" w:eastAsia="Times New Roman" w:hAnsi="Times New Roman"/>
          <w:b/>
          <w:bCs/>
          <w:sz w:val="24"/>
          <w:szCs w:val="24"/>
        </w:rPr>
        <w:t xml:space="preserve">Phase 5: Contemporary paralysis (2024-2026).</w:t>
      </w:r>
      <w:r>
        <w:rPr>
          <w:rFonts w:ascii="Times New Roman" w:cs="Times New Roman" w:eastAsia="Times New Roman" w:hAnsi="Times New Roman"/>
          <w:sz w:val="24"/>
          <w:szCs w:val="24"/>
        </w:rPr>
        <w:t xml:space="preserve"> A Senate plenario in 2024 debated five projects for reforming coparticipación—none reached a floor vote. President Milei's 2025 opening-of-sessions speech proposed a system of "six unique taxes" with provincial recargo capacity, but no formal bill has been submitted to Congress. The 2025 IMF program explicitly includes coparticipación reform as a structural benchmark, creating external conditionality pressure for the first time—but the shock magnitude analysis in Section 4.3 shows this is insufficient to overcome the veto coalition.</w:t>
      </w:r>
    </w:p>
    <w:p>
      <w:pPr>
        <w:spacing w:after="120" w:line="480"/>
        <w:ind w:firstLine="720"/>
        <w:jc w:val="both"/>
      </w:pPr>
      <w:r>
        <w:rPr>
          <w:rFonts w:ascii="Times New Roman" w:cs="Times New Roman" w:eastAsia="Times New Roman" w:hAnsi="Times New Roman"/>
          <w:b/>
          <w:bCs/>
          <w:sz w:val="24"/>
          <w:szCs w:val="24"/>
        </w:rPr>
        <w:t xml:space="preserve">The Decreto 652/2025: The Veto as Smoking Gun.</w:t>
      </w:r>
      <w:r>
        <w:rPr>
          <w:rFonts w:ascii="Times New Roman" w:cs="Times New Roman" w:eastAsia="Times New Roman" w:hAnsi="Times New Roman"/>
          <w:sz w:val="24"/>
          <w:szCs w:val="24"/>
        </w:rPr>
        <w:t xml:space="preserve"> On August 20, 2025, Congress approved Ley 27.794, which would have transformed ATN (Aportes del Tesoro Nacional) from discretionary transfers to automatic distributions following coparticipación coefficients—eliminating the Executive's ability to use ATN as a political tool. President Milei vetoed the law in its entirety via Decreto 652/2025, arguing that automatization would "alter the legally assigned purpose of ATN" and "deprive the National State of a tool for immediate action in the face of emergencies and financial imbalances."</w:t>
      </w:r>
    </w:p>
    <w:p>
      <w:pPr>
        <w:spacing w:after="120" w:line="480"/>
        <w:ind w:firstLine="720"/>
        <w:jc w:val="both"/>
      </w:pPr>
      <w:r>
        <w:rPr>
          <w:rFonts w:ascii="Times New Roman" w:cs="Times New Roman" w:eastAsia="Times New Roman" w:hAnsi="Times New Roman"/>
          <w:sz w:val="24"/>
          <w:szCs w:val="24"/>
        </w:rPr>
        <w:t xml:space="preserve">The Senate rejected the veto with its own majority, but the Chamber of Deputies failed to reach the required two-thirds majority for override. The ATN remain discretionary.</w:t>
      </w:r>
    </w:p>
    <w:p>
      <w:pPr>
        <w:spacing w:after="120" w:line="480"/>
        <w:ind w:firstLine="720"/>
        <w:jc w:val="both"/>
      </w:pPr>
      <w:r>
        <w:rPr>
          <w:rFonts w:ascii="Times New Roman" w:cs="Times New Roman" w:eastAsia="Times New Roman" w:hAnsi="Times New Roman"/>
          <w:sz w:val="24"/>
          <w:szCs w:val="24"/>
        </w:rPr>
        <w:t xml:space="preserve">This veto is analytically significant as a </w:t>
      </w:r>
      <w:r>
        <w:rPr>
          <w:rFonts w:ascii="Times New Roman" w:cs="Times New Roman" w:eastAsia="Times New Roman" w:hAnsi="Times New Roman"/>
          <w:i/>
          <w:iCs/>
          <w:sz w:val="24"/>
          <w:szCs w:val="24"/>
        </w:rPr>
        <w:t xml:space="preserve">revealed preference</w:t>
      </w:r>
      <w:r>
        <w:rPr>
          <w:rFonts w:ascii="Times New Roman" w:cs="Times New Roman" w:eastAsia="Times New Roman" w:hAnsi="Times New Roman"/>
          <w:sz w:val="24"/>
          <w:szCs w:val="24"/>
        </w:rPr>
        <w:t xml:space="preserve"> for discretionary control over fiscal transfers. The Executive defended the exapted function (F2: political control) against an attempt to restore the designed function (F1: objective distribution). The veto message explicitly characterizes discretion as a "tool"—confirming that ATN are understood by the Executive as an instrument of political management, not as an equalizing mechanism.</w:t>
      </w:r>
    </w:p>
    <w:p>
      <w:pPr>
        <w:pStyle w:val="Heading3"/>
        <w:spacing w:after="160" w:before="240" w:line="480"/>
      </w:pPr>
      <w:r>
        <w:rPr>
          <w:rFonts w:ascii="Times New Roman" w:cs="Times New Roman" w:eastAsia="Times New Roman" w:hAnsi="Times New Roman"/>
          <w:b/>
          <w:bCs/>
          <w:i/>
          <w:iCs/>
          <w:sz w:val="24"/>
          <w:szCs w:val="24"/>
        </w:rPr>
        <w:t xml:space="preserve">4.3.1 The ATN Distribution Under Milei: A Natural Experiment</w:t>
      </w:r>
    </w:p>
    <w:p>
      <w:pPr>
        <w:spacing w:after="120" w:line="480"/>
        <w:ind w:firstLine="720"/>
        <w:jc w:val="both"/>
      </w:pPr>
      <w:r>
        <w:rPr>
          <w:rFonts w:ascii="Times New Roman" w:cs="Times New Roman" w:eastAsia="Times New Roman" w:hAnsi="Times New Roman"/>
          <w:sz w:val="24"/>
          <w:szCs w:val="24"/>
        </w:rPr>
        <w:t xml:space="preserve">The Milei administration's fiscal policy provides a partial natural experiment for the FSPI framework. In 2024, non-automatic transfers (TNA) to provinces were reduced by an average of 84% in real terms (CEPA, 2025). The distribution of this reduction was not uniform: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Province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Reduction in TNA (real, 2024)</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Political alignment</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Rioja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-98%</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Pampa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-96%</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Formosa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 Juan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-93%</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Tierra del Fuego</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Chaco</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Catamarca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Opposition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Buenos Aires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Received 42.9% of remaining TNA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Complex (opposition governor, but largest jurisdiction)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CABA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Received 16.9% of remaining TNA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Aligned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Santa Cruz</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Received 4.3% of remaining TNA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Variable</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The concentration of remaining TNA in five jurisdictions (70% of the total), with the sharpest cuts in opposition-governed provinces, is consistent with Bonvecchi &amp; Lodola's (2011) "dual logic" framework: discretionary transfers follow political logic, not need-based logic. Under Milei, the pattern shifted from "reward allies" (the Kirchner-Fernández pattern) to "punish all, with exceptions for strategic allies"—but the underlying mechanism (discretion as political instrument) remains identical.</w:t>
      </w:r>
    </w:p>
    <w:p>
      <w:pPr>
        <w:spacing w:after="120" w:line="480"/>
        <w:ind w:firstLine="720"/>
        <w:jc w:val="both"/>
      </w:pPr>
      <w:r>
        <w:rPr>
          <w:rFonts w:ascii="Times New Roman" w:cs="Times New Roman" w:eastAsia="Times New Roman" w:hAnsi="Times New Roman"/>
          <w:sz w:val="24"/>
          <w:szCs w:val="24"/>
        </w:rPr>
        <w:t xml:space="preserve">This pattern generates a testable prediction: if the FSPI framework is correct, the provinces experiencing the largest TNA cuts should, paradoxically, exhibit </w:t>
      </w:r>
      <w:r>
        <w:rPr>
          <w:rFonts w:ascii="Times New Roman" w:cs="Times New Roman" w:eastAsia="Times New Roman" w:hAnsi="Times New Roman"/>
          <w:i/>
          <w:iCs/>
          <w:sz w:val="24"/>
          <w:szCs w:val="24"/>
        </w:rPr>
        <w:t xml:space="preserve">improved</w:t>
      </w:r>
      <w:r>
        <w:rPr>
          <w:rFonts w:ascii="Times New Roman" w:cs="Times New Roman" w:eastAsia="Times New Roman" w:hAnsi="Times New Roman"/>
          <w:sz w:val="24"/>
          <w:szCs w:val="24"/>
        </w:rPr>
        <w:t xml:space="preserve"> democratic competition in subsequent elections (2027), as the reduction in transferred resources reduces the governors' capacity to fund patronage employment. Conversely, provinces where TNA was maintained (Buenos Aires, CABA) should show no such improvement. This prediction is registered here for future empirical validation.</w:t>
      </w:r>
    </w:p>
    <w:p>
      <w:pPr>
        <w:pStyle w:val="Heading3"/>
        <w:spacing w:after="160" w:before="240" w:line="480"/>
      </w:pPr>
      <w:r>
        <w:rPr>
          <w:rFonts w:ascii="Times New Roman" w:cs="Times New Roman" w:eastAsia="Times New Roman" w:hAnsi="Times New Roman"/>
          <w:b/>
          <w:bCs/>
          <w:i/>
          <w:iCs/>
          <w:sz w:val="24"/>
          <w:szCs w:val="24"/>
        </w:rPr>
        <w:t xml:space="preserve">5.2.1 The Doctrinal Sequence: Lamarckian Micro-Evolution in Real Time</w:t>
      </w:r>
    </w:p>
    <w:p>
      <w:pPr>
        <w:spacing w:after="120" w:line="480"/>
        <w:ind w:firstLine="720"/>
        <w:jc w:val="both"/>
      </w:pPr>
      <w:r>
        <w:rPr>
          <w:rFonts w:ascii="Times New Roman" w:cs="Times New Roman" w:eastAsia="Times New Roman" w:hAnsi="Times New Roman"/>
          <w:sz w:val="24"/>
          <w:szCs w:val="24"/>
        </w:rPr>
        <w:t xml:space="preserve">The CSJN's jurisprudence on fiscal federalism exhibits a pattern of rapid doctrinal evolution at the micro level—refinement of principles, extension to new cases, consolidation of precedent—that coexists with zero structural change at the macro level. Tracing specific doctrinal sequences illustrates this micro-macro decoupling.</w:t>
      </w:r>
    </w:p>
    <w:p>
      <w:pPr>
        <w:spacing w:after="120" w:line="480"/>
        <w:ind w:firstLine="720"/>
        <w:jc w:val="both"/>
      </w:pPr>
      <w:r>
        <w:rPr>
          <w:rFonts w:ascii="Times New Roman" w:cs="Times New Roman" w:eastAsia="Times New Roman" w:hAnsi="Times New Roman"/>
          <w:b/>
          <w:bCs/>
          <w:sz w:val="24"/>
          <w:szCs w:val="24"/>
        </w:rPr>
        <w:t xml:space="preserve">Sequence 1: Municipal Tasas (1989-2024).</w:t>
      </w:r>
      <w:r>
        <w:rPr>
          <w:rFonts w:ascii="Times New Roman" w:cs="Times New Roman" w:eastAsia="Times New Roman" w:hAnsi="Times New Roman"/>
          <w:sz w:val="24"/>
          <w:szCs w:val="24"/>
        </w:rPr>
        <w:t xml:space="preserve"> The doctrine that municipal tasas must correspond to "concrete, effective, and individualized" service provision was established in Compañía Química (Fallos 312:1575, 1989), refined in Laboratorios Raffo (Fallos 332:1503, 2009) to include the evidentiary rule that the municipality bears the burden of proving service provision, extended in Quilpe (Fallos 335:1987, 2012) to municipalities in other provinces, systematized in Gasnor (Fallos 344:2728, 2021) to cover the case of taxpayers with no local establishment, and applied in the Ecotasa case (December 2024) to strike down a municipal tax disguised as an environmental fee. Over 35 years, the doctrine evolved from a general principle to a detailed, multi-factor test with clear evidentiary rules. This is Lamarckian adaptation: each generation of doctrine inherits and refines the previous generation's innovations.</w:t>
      </w:r>
    </w:p>
    <w:p>
      <w:pPr>
        <w:spacing w:after="120" w:line="480"/>
        <w:ind w:firstLine="720"/>
        <w:jc w:val="both"/>
      </w:pPr>
      <w:r>
        <w:rPr>
          <w:rFonts w:ascii="Times New Roman" w:cs="Times New Roman" w:eastAsia="Times New Roman" w:hAnsi="Times New Roman"/>
          <w:sz w:val="24"/>
          <w:szCs w:val="24"/>
        </w:rPr>
        <w:t xml:space="preserve">Yet municipalities continue to impose tasas without effective service provision. The litigation cycle—unconstitutional tasa → judicial challenge → declaration of unconstitutionality → municipality redesigns tasa with minimal formal changes → new challenge—has repeated dozens of times across the country without altering the underlying incentive structure. The doctrine evolves; the practice persists.</w:t>
      </w:r>
    </w:p>
    <w:p>
      <w:pPr>
        <w:spacing w:after="120" w:line="480"/>
        <w:ind w:firstLine="720"/>
        <w:jc w:val="both"/>
      </w:pPr>
      <w:r>
        <w:rPr>
          <w:rFonts w:ascii="Times New Roman" w:cs="Times New Roman" w:eastAsia="Times New Roman" w:hAnsi="Times New Roman"/>
          <w:b/>
          <w:bCs/>
          <w:sz w:val="24"/>
          <w:szCs w:val="24"/>
        </w:rPr>
        <w:t xml:space="preserve">Sequence 2: Coparticipación Inviolability (2015-2026).</w:t>
      </w:r>
      <w:r>
        <w:rPr>
          <w:rFonts w:ascii="Times New Roman" w:cs="Times New Roman" w:eastAsia="Times New Roman" w:hAnsi="Times New Roman"/>
          <w:sz w:val="24"/>
          <w:szCs w:val="24"/>
        </w:rPr>
        <w:t xml:space="preserve"> The core doctrine—coparticipación as ley-convenio, unilaterally unmodifiable—was applied in Santa Fe/San Luis (2015) to the 15% ANSES detraction, in GCBA (2020) to the Decreto 735/2020, and is currently being tested in the La Pampa ATN case (pending). Each application refines the doctrine's scope and remedial toolkit. But the underlying structure—Ley 23.548, frozen coefficients, unfulfilled DT6—remains untouched by any court decision, because the reform the court demands requires political agreement that no court can compel.</w:t>
      </w:r>
    </w:p>
    <w:p>
      <w:pPr>
        <w:spacing w:after="120" w:line="480"/>
        <w:ind w:firstLine="720"/>
        <w:jc w:val="both"/>
      </w:pPr>
      <w:r>
        <w:rPr>
          <w:rFonts w:ascii="Times New Roman" w:cs="Times New Roman" w:eastAsia="Times New Roman" w:hAnsi="Times New Roman"/>
          <w:b/>
          <w:bCs/>
          <w:sz w:val="24"/>
          <w:szCs w:val="24"/>
        </w:rPr>
        <w:t xml:space="preserve">Sequence 3: Provincial IIBB (2017-2024).</w:t>
      </w:r>
      <w:r>
        <w:rPr>
          <w:rFonts w:ascii="Times New Roman" w:cs="Times New Roman" w:eastAsia="Times New Roman" w:hAnsi="Times New Roman"/>
          <w:sz w:val="24"/>
          <w:szCs w:val="24"/>
        </w:rPr>
        <w:t xml:space="preserve"> Bayer c/ Santa Fe (2017) declared unconstitutional the differential IIBB rates that discriminated against out-of-province producers, characterizing them as prohibited "internal customs." The Consenso Fiscal of 2017 (Macri administration) committed all provinces to eliminate differential rates. Seven years later, Enod c/ Buenos Aires (2024)—a case filed thirteen years before resolution—demonstrated that provinces continued applying differential rates despite the Bayer doctrine. The case took thirteen years to resolve; the province continued the unconstitutional practice throughout.</w:t>
      </w:r>
    </w:p>
    <w:p>
      <w:pPr>
        <w:spacing w:after="120" w:line="480"/>
        <w:ind w:firstLine="720"/>
        <w:jc w:val="both"/>
      </w:pPr>
      <w:r>
        <w:rPr>
          <w:rFonts w:ascii="Times New Roman" w:cs="Times New Roman" w:eastAsia="Times New Roman" w:hAnsi="Times New Roman"/>
          <w:sz w:val="24"/>
          <w:szCs w:val="24"/>
        </w:rPr>
        <w:t xml:space="preserve">These three sequences share a common pattern: doctrinal refinement without behavioral change. The court evolves its jurisprudence with increasing precision and internal consistency; the political actors it addresses continue the practices the court has declared unconstitutional, confident that the enforcement mechanism (case-by-case litigation, years of delay, limited remedies) cannot alter the systemic incentive structure.</w:t>
      </w:r>
    </w:p>
    <w:p>
      <w:pPr>
        <w:spacing w:after="120" w:line="480"/>
        <w:ind w:firstLine="720"/>
        <w:jc w:val="both"/>
      </w:pPr>
      <w:r>
        <w:rPr>
          <w:rFonts w:ascii="Times New Roman" w:cs="Times New Roman" w:eastAsia="Times New Roman" w:hAnsi="Times New Roman"/>
          <w:sz w:val="24"/>
          <w:szCs w:val="24"/>
        </w:rPr>
        <w:t xml:space="preserve">This pattern has a precise parallel in Scott's (1990) framework. The "public transcript"—the official discourse of constitutional principles—is articulated by the court with increasing clarity. The "hidden transcript"—the actual practice of unconstitutional fiscal management—continues beneath the surface, undisturbed by the public pronouncements. The court's exhortation to comply with DT6 is the paradigmatic example: a public assertion of constitutional authority that all participants know will not be enforced, and whose performative function is to maintain the fiction of constitutional governance while the actual fiscal architecture operates according to political logic.</w:t>
      </w:r>
    </w:p>
    <w:p>
      <w:pPr>
        <w:pStyle w:val="Heading2"/>
        <w:spacing w:after="200" w:before="360" w:line="480"/>
      </w:pPr>
      <w:r>
        <w:rPr>
          <w:rFonts w:ascii="Times New Roman" w:cs="Times New Roman" w:eastAsia="Times New Roman" w:hAnsi="Times New Roman"/>
          <w:b/>
          <w:bCs/>
          <w:sz w:val="26"/>
          <w:szCs w:val="26"/>
        </w:rPr>
        <w:t xml:space="preserve">ADD AS APPENDIX A (after References)</w:t>
      </w:r>
    </w:p>
    <w:p>
      <w:pPr>
        <w:pStyle w:val="Heading2"/>
        <w:spacing w:after="200" w:before="360" w:line="480"/>
      </w:pPr>
      <w:r>
        <w:rPr>
          <w:rFonts w:ascii="Times New Roman" w:cs="Times New Roman" w:eastAsia="Times New Roman" w:hAnsi="Times New Roman"/>
          <w:b/>
          <w:bCs/>
          <w:sz w:val="26"/>
          <w:szCs w:val="26"/>
        </w:rPr>
        <w:t xml:space="preserve">APPENDIX A: COMPLETE PROVINCIAL DATA</w:t>
      </w:r>
    </w:p>
    <w:p>
      <w:pPr>
        <w:spacing w:after="120" w:line="480"/>
        <w:ind w:firstLine="720"/>
        <w:jc w:val="both"/>
      </w:pPr>
      <w:r>
        <w:rPr>
          <w:rFonts w:ascii="Times New Roman" w:cs="Times New Roman" w:eastAsia="Times New Roman" w:hAnsi="Times New Roman"/>
          <w:sz w:val="24"/>
          <w:szCs w:val="24"/>
        </w:rPr>
        <w:t xml:space="preserve">Table A1: FSPI and Institutional Indicators for All 24 Argentine Jurisdictions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Province</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FSPI</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Copart. Coef. (%)</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IERAL Ratio</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Emp. Pub./1000</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Dem. Quality</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Reelection</w:t>
            </w:r>
          </w:p>
        </w:tc>
        <w:tc>
          <w:tcPr>
            <w:tcW w:type="dxa" w:w="117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Pop. (M)</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CABA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3.1</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Buenos Aires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19.93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37</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17.5</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Córdoba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3.8</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Santa Fe</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9.28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Mendoza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4.33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2.0</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Neuquén</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Chubut</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Río Negro</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2.62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Entre Ríos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5.07</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1.20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Santa Cruz</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1.38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Pampa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1.95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T. del Fuego</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Tucumán</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4.94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1.7</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 Luis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2.37</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Salta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3.98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Misiones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3.43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1.3</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 Juan</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0.23</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3.51</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Chaco</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5.18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2.89</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1.2</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Jujuy</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2.95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Corrientes</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3.86</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1.1</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Catamarca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2.86</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106</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Sgo. del Estero</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4.29</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2.76</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Rioja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2.15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4.00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114</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0.32</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0.80</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w:t>
            </w:r>
          </w:p>
        </w:tc>
      </w:tr>
      <w:tr>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Formosa</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0.09</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3.78</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6.27</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0.95</w:t>
            </w:r>
          </w:p>
        </w:tc>
        <w:tc>
          <w:tcPr>
            <w:tcW w:type="dxa" w:w="117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Sources: DNAP (2024), AFIP (2024), IERAL (2024), INDEC-EPH (2024), Gervasoni SDI framework estimates, electoral data from Ministerio del Interior.</w:t>
      </w:r>
    </w:p>
    <w:p>
      <w:pPr>
        <w:spacing w:after="120" w:line="480"/>
        <w:ind w:firstLine="720"/>
        <w:jc w:val="both"/>
      </w:pPr>
      <w:r>
        <w:rPr>
          <w:rFonts w:ascii="Times New Roman" w:cs="Times New Roman" w:eastAsia="Times New Roman" w:hAnsi="Times New Roman"/>
          <w:sz w:val="24"/>
          <w:szCs w:val="24"/>
        </w:rPr>
        <w:t xml:space="preserve">Notes: FSPI = 1 - (transfers/total revenue). IERAL Ratio = transfers received as multiple of PIB contribution (negative = net giver). Dem. Quality = composite index (0-1) based on electoral competitiveness, alternation, media plurality, institutional checks. Reelection = frequency of incumbent party retention in gubernatorial elections 1983-2023.</w:t>
      </w:r>
    </w:p>
    <w:p>
      <w:pPr>
        <w:pStyle w:val="Heading2"/>
        <w:spacing w:after="200" w:before="360" w:line="480"/>
      </w:pPr>
      <w:r>
        <w:rPr>
          <w:rFonts w:ascii="Times New Roman" w:cs="Times New Roman" w:eastAsia="Times New Roman" w:hAnsi="Times New Roman"/>
          <w:b/>
          <w:bCs/>
          <w:sz w:val="26"/>
          <w:szCs w:val="26"/>
        </w:rPr>
        <w:t xml:space="preserve">ADD AS APPENDIX B</w:t>
      </w:r>
    </w:p>
    <w:p>
      <w:pPr>
        <w:pStyle w:val="Heading2"/>
        <w:spacing w:after="200" w:before="360" w:line="480"/>
      </w:pPr>
      <w:r>
        <w:rPr>
          <w:rFonts w:ascii="Times New Roman" w:cs="Times New Roman" w:eastAsia="Times New Roman" w:hAnsi="Times New Roman"/>
          <w:b/>
          <w:bCs/>
          <w:sz w:val="26"/>
          <w:szCs w:val="26"/>
        </w:rPr>
        <w:t xml:space="preserve">APPENDIX B: SIMULATION CODE AND REPLICATION</w:t>
      </w:r>
    </w:p>
    <w:p>
      <w:pPr>
        <w:spacing w:after="120" w:line="480"/>
        <w:ind w:firstLine="720"/>
        <w:jc w:val="both"/>
      </w:pPr>
      <w:r>
        <w:rPr>
          <w:rFonts w:ascii="Times New Roman" w:cs="Times New Roman" w:eastAsia="Times New Roman" w:hAnsi="Times New Roman"/>
          <w:sz w:val="24"/>
          <w:szCs w:val="24"/>
        </w:rPr>
        <w:t xml:space="preserve">The complete simulation code is available at https://github.com/adrianlerer/subsidized-stasis-replication.</w:t>
      </w:r>
    </w:p>
    <w:p>
      <w:pPr>
        <w:spacing w:after="120" w:line="480"/>
        <w:ind w:firstLine="720"/>
        <w:jc w:val="both"/>
      </w:pPr>
      <w:r>
        <w:rPr>
          <w:rFonts w:ascii="Times New Roman" w:cs="Times New Roman" w:eastAsia="Times New Roman" w:hAnsi="Times New Roman"/>
          <w:sz w:val="24"/>
          <w:szCs w:val="24"/>
        </w:rPr>
        <w:t xml:space="preserve">The Python simulation (`fiscal_federalism_sim.py`) performs the following analyses:</w:t>
      </w:r>
    </w:p>
    <w:p>
      <w:pPr>
        <w:spacing w:after="120" w:line="480"/>
        <w:ind w:left="720" w:hanging="360"/>
      </w:pPr>
      <w:r>
        <w:rPr>
          <w:rFonts w:ascii="Times New Roman" w:cs="Times New Roman" w:eastAsia="Times New Roman" w:hAnsi="Times New Roman"/>
          <w:b/>
          <w:bCs/>
          <w:sz w:val="24"/>
          <w:szCs w:val="24"/>
        </w:rPr>
        <w:t xml:space="preserve">H1 Test:</w:t>
      </w:r>
      <w:r>
        <w:rPr>
          <w:rFonts w:ascii="Times New Roman" w:cs="Times New Roman" w:eastAsia="Times New Roman" w:hAnsi="Times New Roman"/>
          <w:sz w:val="24"/>
          <w:szCs w:val="24"/>
        </w:rPr>
        <w:t xml:space="preserve"> Pearson and Spearman correlations between FSPI and democratic quality, reelection rate, and public employment ratio across all 24 jurisdictions. Generates scatter plots with regression lines.</w:t>
      </w:r>
    </w:p>
    <w:p>
      <w:pPr>
        <w:spacing w:after="120" w:line="480"/>
        <w:ind w:left="720" w:hanging="360"/>
      </w:pPr>
      <w:r>
        <w:rPr>
          <w:rFonts w:ascii="Times New Roman" w:cs="Times New Roman" w:eastAsia="Times New Roman" w:hAnsi="Times New Roman"/>
          <w:b/>
          <w:bCs/>
          <w:sz w:val="24"/>
          <w:szCs w:val="24"/>
        </w:rPr>
        <w:t xml:space="preserve">H2 CLI Calculation:</w:t>
      </w:r>
      <w:r>
        <w:rPr>
          <w:rFonts w:ascii="Times New Roman" w:cs="Times New Roman" w:eastAsia="Times New Roman" w:hAnsi="Times New Roman"/>
          <w:sz w:val="24"/>
          <w:szCs w:val="24"/>
        </w:rPr>
        <w:t xml:space="preserve"> Computes CLI_copart using the documented reform chronology (9 attempts, 30 years, entrenchment factor 0.99). Generates the Funnel of Failure table and the expected-time-to-reform calculation.</w:t>
      </w:r>
    </w:p>
    <w:p>
      <w:pPr>
        <w:spacing w:after="120" w:line="480"/>
        <w:ind w:left="720" w:hanging="360"/>
      </w:pPr>
      <w:r>
        <w:rPr>
          <w:rFonts w:ascii="Times New Roman" w:cs="Times New Roman" w:eastAsia="Times New Roman" w:hAnsi="Times New Roman"/>
          <w:b/>
          <w:bCs/>
          <w:sz w:val="24"/>
          <w:szCs w:val="24"/>
        </w:rPr>
        <w:t xml:space="preserve">H3 Punctuation Probability:</w:t>
      </w:r>
      <w:r>
        <w:rPr>
          <w:rFonts w:ascii="Times New Roman" w:cs="Times New Roman" w:eastAsia="Times New Roman" w:hAnsi="Times New Roman"/>
          <w:sz w:val="24"/>
          <w:szCs w:val="24"/>
        </w:rPr>
        <w:t xml:space="preserve"> Implements the reduced-form probability model P(reform|s) = (p+s)/(p+s+CLI*V) and generates the scenario analysis table for shock magnitudes from 0 to 0.9.</w:t>
      </w:r>
    </w:p>
    <w:p>
      <w:pPr>
        <w:spacing w:after="120" w:line="480"/>
        <w:ind w:left="720" w:hanging="360"/>
      </w:pPr>
      <w:r>
        <w:rPr>
          <w:rFonts w:ascii="Times New Roman" w:cs="Times New Roman" w:eastAsia="Times New Roman" w:hAnsi="Times New Roman"/>
          <w:b/>
          <w:bCs/>
          <w:sz w:val="24"/>
          <w:szCs w:val="24"/>
        </w:rPr>
        <w:t xml:space="preserve">IERAL Ratio Analysis:</w:t>
      </w:r>
      <w:r>
        <w:rPr>
          <w:rFonts w:ascii="Times New Roman" w:cs="Times New Roman" w:eastAsia="Times New Roman" w:hAnsi="Times New Roman"/>
          <w:sz w:val="24"/>
          <w:szCs w:val="24"/>
        </w:rPr>
        <w:t xml:space="preserve"> Correlates IERAL aporte/beneficio ratios with democratic quality and FSPI, generating the distortion-democracy scatter plot.</w:t>
      </w:r>
    </w:p>
    <w:p>
      <w:pPr>
        <w:spacing w:after="120" w:line="480"/>
        <w:ind w:left="720" w:hanging="360"/>
      </w:pPr>
      <w:r>
        <w:rPr>
          <w:rFonts w:ascii="Times New Roman" w:cs="Times New Roman" w:eastAsia="Times New Roman" w:hAnsi="Times New Roman"/>
          <w:b/>
          <w:bCs/>
          <w:sz w:val="24"/>
          <w:szCs w:val="24"/>
        </w:rPr>
        <w:t xml:space="preserve">Public Employment Analysis:</w:t>
      </w:r>
      <w:r>
        <w:rPr>
          <w:rFonts w:ascii="Times New Roman" w:cs="Times New Roman" w:eastAsia="Times New Roman" w:hAnsi="Times New Roman"/>
          <w:sz w:val="24"/>
          <w:szCs w:val="24"/>
        </w:rPr>
        <w:t xml:space="preserve"> Tests the flypaper chain by correlating public employment ratios with FSPI, democratic quality, and reelection rates.</w:t>
      </w:r>
    </w:p>
    <w:p>
      <w:pPr>
        <w:spacing w:after="120" w:line="480"/>
        <w:ind w:left="720" w:hanging="360"/>
      </w:pPr>
      <w:r>
        <w:rPr>
          <w:rFonts w:ascii="Times New Roman" w:cs="Times New Roman" w:eastAsia="Times New Roman" w:hAnsi="Times New Roman"/>
          <w:b/>
          <w:bCs/>
          <w:sz w:val="24"/>
          <w:szCs w:val="24"/>
        </w:rPr>
        <w:t xml:space="preserve">Provincial Competition Simulation:</w:t>
      </w:r>
      <w:r>
        <w:rPr>
          <w:rFonts w:ascii="Times New Roman" w:cs="Times New Roman" w:eastAsia="Times New Roman" w:hAnsi="Times New Roman"/>
          <w:sz w:val="24"/>
          <w:szCs w:val="24"/>
        </w:rPr>
        <w:t xml:space="preserve"> A 200-generation evolutionary simulation comparing institutional quality evolution under two scenarios: (A) with fiscal transfers (current system) and (B) without transfers (competitive federalism).</w:t>
      </w:r>
    </w:p>
    <w:p>
      <w:pPr>
        <w:spacing w:after="120" w:line="480"/>
        <w:ind w:left="720" w:hanging="360"/>
      </w:pPr>
      <w:r>
        <w:rPr>
          <w:rFonts w:ascii="Times New Roman" w:cs="Times New Roman" w:eastAsia="Times New Roman" w:hAnsi="Times New Roman"/>
          <w:b/>
          <w:bCs/>
          <w:sz w:val="24"/>
          <w:szCs w:val="24"/>
        </w:rPr>
        <w:t xml:space="preserve">Comparative Benchmarks:</w:t>
      </w:r>
      <w:r>
        <w:rPr>
          <w:rFonts w:ascii="Times New Roman" w:cs="Times New Roman" w:eastAsia="Times New Roman" w:hAnsi="Times New Roman"/>
          <w:sz w:val="24"/>
          <w:szCs w:val="24"/>
        </w:rPr>
        <w:t xml:space="preserve"> Generates the punctuation comparison table for USA (16th Amendment), India (GST), Brazil (EC 132), and Argentina (DT6).</w:t>
      </w:r>
    </w:p>
    <w:p>
      <w:pPr>
        <w:pStyle w:val="Heading3"/>
        <w:spacing w:after="160" w:before="240" w:line="480"/>
      </w:pPr>
      <w:r>
        <w:rPr>
          <w:rFonts w:ascii="Times New Roman" w:cs="Times New Roman" w:eastAsia="Times New Roman" w:hAnsi="Times New Roman"/>
          <w:b/>
          <w:bCs/>
          <w:i/>
          <w:iCs/>
          <w:sz w:val="24"/>
          <w:szCs w:val="24"/>
        </w:rPr>
        <w:t xml:space="preserve">Running the Simulation</w:t>
      </w:r>
    </w:p>
    <w:p>
      <w:pPr>
        <w:spacing w:after="120" w:line="480"/>
        <w:ind w:firstLine="720"/>
        <w:jc w:val="both"/>
      </w:pPr>
      <w:r>
        <w:rPr>
          <w:rFonts w:ascii="Times New Roman" w:cs="Times New Roman" w:eastAsia="Times New Roman" w:hAnsi="Times New Roman"/>
          <w:sz w:val="24"/>
          <w:szCs w:val="24"/>
        </w:rPr>
        <w:t xml:space="preserve">```</w:t>
      </w:r>
    </w:p>
    <w:p>
      <w:pPr>
        <w:spacing w:after="120" w:line="480"/>
        <w:ind w:firstLine="720"/>
        <w:jc w:val="both"/>
      </w:pPr>
      <w:r>
        <w:rPr>
          <w:rFonts w:ascii="Times New Roman" w:cs="Times New Roman" w:eastAsia="Times New Roman" w:hAnsi="Times New Roman"/>
          <w:sz w:val="24"/>
          <w:szCs w:val="24"/>
        </w:rPr>
        <w:t xml:space="preserve">pip install numpy scipy matplotlib</w:t>
      </w:r>
    </w:p>
    <w:p>
      <w:pPr>
        <w:spacing w:after="120" w:line="480"/>
        <w:ind w:firstLine="720"/>
        <w:jc w:val="both"/>
      </w:pPr>
      <w:r>
        <w:rPr>
          <w:rFonts w:ascii="Times New Roman" w:cs="Times New Roman" w:eastAsia="Times New Roman" w:hAnsi="Times New Roman"/>
          <w:sz w:val="24"/>
          <w:szCs w:val="24"/>
        </w:rPr>
        <w:t xml:space="preserve">cd code/</w:t>
      </w:r>
    </w:p>
    <w:p>
      <w:pPr>
        <w:spacing w:after="120" w:line="480"/>
        <w:ind w:firstLine="720"/>
        <w:jc w:val="both"/>
      </w:pPr>
      <w:r>
        <w:rPr>
          <w:rFonts w:ascii="Times New Roman" w:cs="Times New Roman" w:eastAsia="Times New Roman" w:hAnsi="Times New Roman"/>
          <w:sz w:val="24"/>
          <w:szCs w:val="24"/>
        </w:rPr>
        <w:t xml:space="preserve">python3 fiscal_federalism_sim.py</w:t>
      </w:r>
    </w:p>
    <w:p>
      <w:pPr>
        <w:spacing w:after="120" w:line="480"/>
        <w:ind w:firstLine="720"/>
        <w:jc w:val="both"/>
      </w:pPr>
      <w:r>
        <w:rPr>
          <w:rFonts w:ascii="Times New Roman" w:cs="Times New Roman" w:eastAsia="Times New Roman" w:hAnsi="Times New Roman"/>
          <w:sz w:val="24"/>
          <w:szCs w:val="24"/>
        </w:rPr>
        <w:t xml:space="preserve">```</w:t>
      </w:r>
    </w:p>
    <w:p>
      <w:pPr>
        <w:spacing w:after="120" w:line="480"/>
        <w:ind w:firstLine="720"/>
        <w:jc w:val="both"/>
      </w:pPr>
      <w:r>
        <w:rPr>
          <w:rFonts w:ascii="Times New Roman" w:cs="Times New Roman" w:eastAsia="Times New Roman" w:hAnsi="Times New Roman"/>
          <w:sz w:val="24"/>
          <w:szCs w:val="24"/>
        </w:rPr>
        <w:t xml:space="preserve">Output: 4 PNG figures, complete statistical results, and the reform chronology table.</w:t>
      </w:r>
    </w:p>
    <w:p>
      <w:pPr>
        <w:pStyle w:val="Heading3"/>
        <w:spacing w:after="160" w:before="240" w:line="480"/>
      </w:pPr>
      <w:r>
        <w:rPr>
          <w:rFonts w:ascii="Times New Roman" w:cs="Times New Roman" w:eastAsia="Times New Roman" w:hAnsi="Times New Roman"/>
          <w:b/>
          <w:bCs/>
          <w:i/>
          <w:iCs/>
          <w:sz w:val="24"/>
          <w:szCs w:val="24"/>
        </w:rPr>
        <w:t xml:space="preserve">Methodological Note on the Democratic Quality Index</w:t>
      </w:r>
    </w:p>
    <w:p>
      <w:pPr>
        <w:spacing w:after="120" w:line="480"/>
        <w:ind w:firstLine="720"/>
        <w:jc w:val="both"/>
      </w:pPr>
      <w:r>
        <w:rPr>
          <w:rFonts w:ascii="Times New Roman" w:cs="Times New Roman" w:eastAsia="Times New Roman" w:hAnsi="Times New Roman"/>
          <w:sz w:val="24"/>
          <w:szCs w:val="24"/>
        </w:rPr>
        <w:t xml:space="preserve">The democratic quality index used in this paper is a composite estimate constructed from five publicly available indicators:</w:t>
      </w:r>
    </w:p>
    <w:p>
      <w:pPr>
        <w:spacing w:after="120" w:line="480"/>
        <w:ind w:left="720" w:hanging="360"/>
      </w:pPr>
      <w:r>
        <w:rPr>
          <w:rFonts w:ascii="Times New Roman" w:cs="Times New Roman" w:eastAsia="Times New Roman" w:hAnsi="Times New Roman"/>
          <w:b/>
          <w:bCs/>
          <w:sz w:val="24"/>
          <w:szCs w:val="24"/>
        </w:rPr>
        <w:t xml:space="preserve">Electoral competitiveness (weight 0.30):</w:t>
      </w:r>
      <w:r>
        <w:rPr>
          <w:rFonts w:ascii="Times New Roman" w:cs="Times New Roman" w:eastAsia="Times New Roman" w:hAnsi="Times New Roman"/>
          <w:sz w:val="24"/>
          <w:szCs w:val="24"/>
        </w:rPr>
        <w:t xml:space="preserve"> Average margin of victory in gubernatorial elections 1983-2023, inverted (larger margins = lower score).</w:t>
      </w:r>
    </w:p>
    <w:p>
      <w:pPr>
        <w:spacing w:after="120" w:line="480"/>
        <w:ind w:left="720" w:hanging="360"/>
      </w:pPr>
      <w:r>
        <w:rPr>
          <w:rFonts w:ascii="Times New Roman" w:cs="Times New Roman" w:eastAsia="Times New Roman" w:hAnsi="Times New Roman"/>
          <w:b/>
          <w:bCs/>
          <w:sz w:val="24"/>
          <w:szCs w:val="24"/>
        </w:rPr>
        <w:t xml:space="preserve">Alternation frequency (weight 0.25):</w:t>
      </w:r>
      <w:r>
        <w:rPr>
          <w:rFonts w:ascii="Times New Roman" w:cs="Times New Roman" w:eastAsia="Times New Roman" w:hAnsi="Times New Roman"/>
          <w:sz w:val="24"/>
          <w:szCs w:val="24"/>
        </w:rPr>
        <w:t xml:space="preserve"> Number of times the governing party changed in gubernatorial elections 1983-2023, normalized.</w:t>
      </w:r>
    </w:p>
    <w:p>
      <w:pPr>
        <w:spacing w:after="120" w:line="480"/>
        <w:ind w:left="720" w:hanging="360"/>
      </w:pPr>
      <w:r>
        <w:rPr>
          <w:rFonts w:ascii="Times New Roman" w:cs="Times New Roman" w:eastAsia="Times New Roman" w:hAnsi="Times New Roman"/>
          <w:b/>
          <w:bCs/>
          <w:sz w:val="24"/>
          <w:szCs w:val="24"/>
        </w:rPr>
        <w:t xml:space="preserve">Media plurality (weight 0.15):</w:t>
      </w:r>
      <w:r>
        <w:rPr>
          <w:rFonts w:ascii="Times New Roman" w:cs="Times New Roman" w:eastAsia="Times New Roman" w:hAnsi="Times New Roman"/>
          <w:sz w:val="24"/>
          <w:szCs w:val="24"/>
        </w:rPr>
        <w:t xml:space="preserve"> Number of independent media outlets per capita, estimated from ENACOM and SIP data.</w:t>
      </w:r>
    </w:p>
    <w:p>
      <w:pPr>
        <w:spacing w:after="120" w:line="480"/>
        <w:ind w:left="720" w:hanging="360"/>
      </w:pPr>
      <w:r>
        <w:rPr>
          <w:rFonts w:ascii="Times New Roman" w:cs="Times New Roman" w:eastAsia="Times New Roman" w:hAnsi="Times New Roman"/>
          <w:b/>
          <w:bCs/>
          <w:sz w:val="24"/>
          <w:szCs w:val="24"/>
        </w:rPr>
        <w:t xml:space="preserve">Institutional checks (weight 0.15):</w:t>
      </w:r>
      <w:r>
        <w:rPr>
          <w:rFonts w:ascii="Times New Roman" w:cs="Times New Roman" w:eastAsia="Times New Roman" w:hAnsi="Times New Roman"/>
          <w:sz w:val="24"/>
          <w:szCs w:val="24"/>
        </w:rPr>
        <w:t xml:space="preserve"> Presence/absence of independent provincial audit bodies, judicial councils, and access-to-information laws.</w:t>
      </w:r>
    </w:p>
    <w:p>
      <w:pPr>
        <w:spacing w:after="120" w:line="480"/>
        <w:ind w:left="720" w:hanging="360"/>
      </w:pPr>
      <w:r>
        <w:rPr>
          <w:rFonts w:ascii="Times New Roman" w:cs="Times New Roman" w:eastAsia="Times New Roman" w:hAnsi="Times New Roman"/>
          <w:b/>
          <w:bCs/>
          <w:sz w:val="24"/>
          <w:szCs w:val="24"/>
        </w:rPr>
        <w:t xml:space="preserve">Civil society density (weight 0.15):</w:t>
      </w:r>
      <w:r>
        <w:rPr>
          <w:rFonts w:ascii="Times New Roman" w:cs="Times New Roman" w:eastAsia="Times New Roman" w:hAnsi="Times New Roman"/>
          <w:sz w:val="24"/>
          <w:szCs w:val="24"/>
        </w:rPr>
        <w:t xml:space="preserve"> Number of registered civil society organizations per 10,000 inhabitants, from CENOC registry.</w:t>
      </w:r>
    </w:p>
    <w:p>
      <w:pPr>
        <w:spacing w:after="120" w:line="480"/>
        <w:ind w:firstLine="720"/>
        <w:jc w:val="both"/>
      </w:pPr>
      <w:r>
        <w:rPr>
          <w:rFonts w:ascii="Times New Roman" w:cs="Times New Roman" w:eastAsia="Times New Roman" w:hAnsi="Times New Roman"/>
          <w:sz w:val="24"/>
          <w:szCs w:val="24"/>
        </w:rPr>
        <w:t xml:space="preserve">This composite is a proxy for Gervasoni's Subnational Democracy Index (SDI), which uses a broader set of indicators including expert surveys not publicly available. The correlation between this composite and Gervasoni's published SDI scores (for the years where both are available) is r = 0.91, suggesting that the proxy captures the same underlying dimension. Replication with the full SDI dataset would strengthen these findings and is identified as a priority for future research (Section 7.4).</w:t>
      </w:r>
    </w:p>
    <w:p>
      <w:pPr>
        <w:pStyle w:val="Heading3"/>
        <w:spacing w:after="160" w:before="240" w:line="480"/>
      </w:pPr>
      <w:r>
        <w:rPr>
          <w:rFonts w:ascii="Times New Roman" w:cs="Times New Roman" w:eastAsia="Times New Roman" w:hAnsi="Times New Roman"/>
          <w:b/>
          <w:bCs/>
          <w:i/>
          <w:iCs/>
          <w:sz w:val="24"/>
          <w:szCs w:val="24"/>
        </w:rPr>
        <w:t xml:space="preserve">4.2 H2: Constitutional Lock-In</w:t>
      </w:r>
    </w:p>
    <w:p>
      <w:pPr>
        <w:spacing w:after="120" w:line="480"/>
        <w:ind w:firstLine="720"/>
        <w:jc w:val="both"/>
      </w:pPr>
      <w:r>
        <w:rPr>
          <w:rFonts w:ascii="Times New Roman" w:cs="Times New Roman" w:eastAsia="Times New Roman" w:hAnsi="Times New Roman"/>
          <w:sz w:val="24"/>
          <w:szCs w:val="24"/>
        </w:rPr>
        <w:t xml:space="preserve">The CLI of 0.997 is supported by the detailed chronology of reform failure documented in Section 3.2.</w:t>
      </w:r>
    </w:p>
    <w:p>
      <w:pPr>
        <w:spacing w:after="120" w:line="480"/>
        <w:ind w:firstLine="720"/>
        <w:jc w:val="both"/>
      </w:pPr>
      <w:r>
        <w:rPr>
          <w:rFonts w:ascii="Times New Roman" w:cs="Times New Roman" w:eastAsia="Times New Roman" w:hAnsi="Times New Roman"/>
          <w:b/>
          <w:bCs/>
          <w:sz w:val="24"/>
          <w:szCs w:val="24"/>
        </w:rPr>
        <w:t xml:space="preserve">The Funnel of Failure.</w:t>
      </w:r>
      <w:r>
        <w:rPr>
          <w:rFonts w:ascii="Times New Roman" w:cs="Times New Roman" w:eastAsia="Times New Roman" w:hAnsi="Times New Roman"/>
          <w:sz w:val="24"/>
          <w:szCs w:val="24"/>
        </w:rPr>
        <w:t xml:space="preserve"> Of 9 documented reform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Stage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Attempts Reaching</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Cumulative Attrition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Formal proposal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Committee debate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44% eliminated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Floor vote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100% eliminated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Media sanción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Full approval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Provincial ratification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Success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100% failure</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No reform attempt has even reached a floor vote in either chamber of Congress, let alone passed both houses or been ratified by the provinces. The 2024 Senate plenario debated five projects that subsequently expired without action. The Milei administration's 2025 proposal (six unified taxes with provincial recargo) has not been submitted as a formal bill.</w:t>
      </w:r>
    </w:p>
    <w:p>
      <w:pPr>
        <w:spacing w:after="120" w:line="480"/>
        <w:ind w:firstLine="720"/>
        <w:jc w:val="both"/>
      </w:pPr>
      <w:r>
        <w:rPr>
          <w:rFonts w:ascii="Times New Roman" w:cs="Times New Roman" w:eastAsia="Times New Roman" w:hAnsi="Times New Roman"/>
          <w:b/>
          <w:bCs/>
          <w:sz w:val="24"/>
          <w:szCs w:val="24"/>
        </w:rPr>
        <w:t xml:space="preserve">Expected Time to Reform.</w:t>
      </w:r>
      <w:r>
        <w:rPr>
          <w:rFonts w:ascii="Times New Roman" w:cs="Times New Roman" w:eastAsia="Times New Roman" w:hAnsi="Times New Roman"/>
          <w:sz w:val="24"/>
          <w:szCs w:val="24"/>
        </w:rPr>
        <w:t xml:space="preserve"> Under the current veto structure, the annual probability of reform is:</w:t>
      </w:r>
    </w:p>
    <w:p>
      <w:pPr>
        <w:spacing w:after="200" w:before="200" w:line="480"/>
        <w:ind w:left="720" w:right="720"/>
        <w:jc w:val="center"/>
      </w:pPr>
      <w:r>
        <w:rPr>
          <w:rFonts w:ascii="Courier New" w:cs="Courier New" w:eastAsia="Courier New" w:hAnsi="Courier New"/>
          <w:i/>
          <w:iCs/>
          <w:sz w:val="22"/>
          <w:szCs w:val="22"/>
        </w:rPr>
        <w:t xml:space="preserve">P_reform/year = (1 - CLI) × (1 - VSI) = 0.003 × 0.373 = 0.00112</w:t>
      </w:r>
    </w:p>
    <w:p>
      <w:pPr>
        <w:spacing w:after="120" w:line="480"/>
        <w:ind w:firstLine="720"/>
        <w:jc w:val="both"/>
      </w:pPr>
      <w:r>
        <w:rPr>
          <w:rFonts w:ascii="Times New Roman" w:cs="Times New Roman" w:eastAsia="Times New Roman" w:hAnsi="Times New Roman"/>
          <w:sz w:val="24"/>
          <w:szCs w:val="24"/>
        </w:rPr>
        <w:t xml:space="preserve">This implies an expected waiting time of approximately 893 years for reform to occur through normal institutional channels. Even this estimate is optimistic, as it assumes each year is an independent trial—in reality, failed attempts likely reduce subsequent attempt probability through the negative feedback mechanism identified in Lerer (2025a).</w:t>
      </w:r>
    </w:p>
    <w:p>
      <w:pPr>
        <w:pStyle w:val="Heading3"/>
        <w:spacing w:after="160" w:before="240" w:line="480"/>
      </w:pPr>
      <w:r>
        <w:rPr>
          <w:rFonts w:ascii="Times New Roman" w:cs="Times New Roman" w:eastAsia="Times New Roman" w:hAnsi="Times New Roman"/>
          <w:b/>
          <w:bCs/>
          <w:i/>
          <w:iCs/>
          <w:sz w:val="24"/>
          <w:szCs w:val="24"/>
        </w:rPr>
        <w:t xml:space="preserve">4.3 H3: Punctuation Probability</w:t>
      </w:r>
    </w:p>
    <w:p>
      <w:pPr>
        <w:spacing w:after="120" w:line="480"/>
        <w:ind w:firstLine="720"/>
        <w:jc w:val="both"/>
      </w:pPr>
      <w:r>
        <w:rPr>
          <w:rFonts w:ascii="Times New Roman" w:cs="Times New Roman" w:eastAsia="Times New Roman" w:hAnsi="Times New Roman"/>
          <w:b/>
          <w:bCs/>
          <w:sz w:val="24"/>
          <w:szCs w:val="24"/>
        </w:rPr>
        <w:t xml:space="preserve">Model.</w:t>
      </w:r>
      <w:r>
        <w:rPr>
          <w:rFonts w:ascii="Times New Roman" w:cs="Times New Roman" w:eastAsia="Times New Roman" w:hAnsi="Times New Roman"/>
          <w:sz w:val="24"/>
          <w:szCs w:val="24"/>
        </w:rPr>
        <w:t xml:space="preserve"> The probability of reform under an exogenous shock of magnitude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w:t>
      </w:r>
    </w:p>
    <w:p>
      <w:pPr>
        <w:spacing w:after="200" w:before="200" w:line="480"/>
        <w:ind w:left="720" w:right="720"/>
        <w:jc w:val="center"/>
      </w:pPr>
      <w:r>
        <w:rPr>
          <w:rFonts w:ascii="Courier New" w:cs="Courier New" w:eastAsia="Courier New" w:hAnsi="Courier New"/>
          <w:i/>
          <w:iCs/>
          <w:sz w:val="22"/>
          <w:szCs w:val="22"/>
        </w:rPr>
        <w:t xml:space="preserve">P(reform | s) = (p + s) / (p + s + CLI × V)</w:t>
      </w:r>
    </w:p>
    <w:p>
      <w:pPr>
        <w:spacing w:after="120" w:line="480"/>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is the endogenous reform pressure (IG × 0.1 = 0.1),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is the veto coalition strength (19/24 = 0.792), and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 the shock magnitude (normalized to [0,1]).</w:t>
      </w:r>
    </w:p>
    <w:p>
      <w:pPr>
        <w:spacing w:after="120" w:line="480"/>
        <w:ind w:firstLine="720"/>
        <w:jc w:val="both"/>
      </w:pPr>
      <w:r>
        <w:rPr>
          <w:rFonts w:ascii="Times New Roman" w:cs="Times New Roman" w:eastAsia="Times New Roman" w:hAnsi="Times New Roman"/>
          <w:b/>
          <w:bCs/>
          <w:sz w:val="24"/>
          <w:szCs w:val="24"/>
        </w:rPr>
        <w:t xml:space="preserve">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Scenario</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Shock Magnitude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P(reform)</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Status quo (no shock)</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11.2%</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IMF conditionality alone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24.1%</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Milei reform push alone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30.7%</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FMI + Milei combined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36.3%</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Moderate fiscal crisis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43.2%</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Hyperinflation-level crisis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50.3%</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2001-level systemic collapse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55.9%</w:t>
            </w:r>
          </w:p>
        </w:tc>
      </w:tr>
    </w:tbl>
    <w:p>
      <w:pPr>
        <w:spacing w:after="200"/>
      </w:pPr>
    </w:p>
    <w:p>
      <w:pPr>
        <w:spacing w:after="120" w:line="480"/>
        <w:ind w:firstLine="720"/>
        <w:jc w:val="both"/>
      </w:pPr>
      <w:r>
        <w:rPr>
          <w:rFonts w:ascii="Times New Roman" w:cs="Times New Roman" w:eastAsia="Times New Roman" w:hAnsi="Times New Roman"/>
          <w:b/>
          <w:bCs/>
          <w:sz w:val="24"/>
          <w:szCs w:val="24"/>
        </w:rPr>
        <w:t xml:space="preserve">Finding.</w:t>
      </w:r>
      <w:r>
        <w:rPr>
          <w:rFonts w:ascii="Times New Roman" w:cs="Times New Roman" w:eastAsia="Times New Roman" w:hAnsi="Times New Roman"/>
          <w:sz w:val="24"/>
          <w:szCs w:val="24"/>
        </w:rPr>
        <w:t xml:space="preserve"> The minimum shock magnitude for P(reform) &gt; 50% is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0.689, which corresponds to a crisis of hyperinflationary intensity. This threshold exceeds the combined effect of IMF conditionality and presidential reform agenda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0.35, P = 36.3%).</w:t>
      </w:r>
    </w:p>
    <w:p>
      <w:pPr>
        <w:spacing w:after="120" w:line="480"/>
        <w:ind w:firstLine="720"/>
        <w:jc w:val="both"/>
      </w:pPr>
      <w:r>
        <w:rPr>
          <w:rFonts w:ascii="Times New Roman" w:cs="Times New Roman" w:eastAsia="Times New Roman" w:hAnsi="Times New Roman"/>
          <w:b/>
          <w:bCs/>
          <w:sz w:val="24"/>
          <w:szCs w:val="24"/>
        </w:rPr>
        <w:t xml:space="preserve">Comparative Benchmark.</w:t>
      </w:r>
      <w:r>
        <w:rPr>
          <w:rFonts w:ascii="Times New Roman" w:cs="Times New Roman" w:eastAsia="Times New Roman" w:hAnsi="Times New Roman"/>
          <w:sz w:val="24"/>
          <w:szCs w:val="24"/>
        </w:rPr>
        <w:t xml:space="preserve"> All three successful fiscal punctuations in other federal systems required compensatory mechanisms that Argentina has not instituted: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Case</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Stasis</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Shock</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Compensation</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Outcome</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USA 16th Amendment (1913)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42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Progressive coalition + conservative error</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None (revenue expansion, not redistribution)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Punctuation</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India GST (2017)</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17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Modi mandate (303/543 seats)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USD 66B over 5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Punctuation</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Brazil EC 132 (2023)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Lula III mandate + bipartisan consensus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ICMS compensation fund (2029–2032)</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Punctuation</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Argentina DT6</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30+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None sufficient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None proposed</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Stasis</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The pattern is clear: successful punctuations in federal fiscal systems require (1) a strong reformist mandate, (2) explicit compensation to losing jurisdictions, and (3) reduction of veto power. Argentina satisfies none of these conditions. Milei lacks a legislative majority; no compensation fund exists; and the Senate's territorial overrepresentation—which gives Formosa (population 600,000) the same senatorial weight as Buenos Aires Province (population 17.5 million)—is constitutionally embedded and unreformable short of a constitutional convention.</w:t>
      </w:r>
    </w:p>
    <w:p>
      <w:pPr>
        <w:pStyle w:val="Heading2"/>
        <w:spacing w:after="200" w:before="360" w:line="480"/>
      </w:pPr>
      <w:r>
        <w:rPr>
          <w:rFonts w:ascii="Times New Roman" w:cs="Times New Roman" w:eastAsia="Times New Roman" w:hAnsi="Times New Roman"/>
          <w:b/>
          <w:bCs/>
          <w:sz w:val="26"/>
          <w:szCs w:val="26"/>
        </w:rPr>
        <w:t xml:space="preserve">5. EXAPTATION AND HIDDEN TRANSCRIPT</w:t>
      </w:r>
    </w:p>
    <w:p>
      <w:pPr>
        <w:pStyle w:val="Heading3"/>
        <w:spacing w:after="160" w:before="240" w:line="480"/>
      </w:pPr>
      <w:r>
        <w:rPr>
          <w:rFonts w:ascii="Times New Roman" w:cs="Times New Roman" w:eastAsia="Times New Roman" w:hAnsi="Times New Roman"/>
          <w:b/>
          <w:bCs/>
          <w:i/>
          <w:iCs/>
          <w:sz w:val="24"/>
          <w:szCs w:val="24"/>
        </w:rPr>
        <w:t xml:space="preserve">5.1 The Exaptation Thesis</w:t>
      </w:r>
    </w:p>
    <w:p>
      <w:pPr>
        <w:spacing w:after="120" w:line="480"/>
        <w:ind w:firstLine="720"/>
        <w:jc w:val="both"/>
      </w:pPr>
      <w:r>
        <w:rPr>
          <w:rFonts w:ascii="Times New Roman" w:cs="Times New Roman" w:eastAsia="Times New Roman" w:hAnsi="Times New Roman"/>
          <w:sz w:val="24"/>
          <w:szCs w:val="24"/>
        </w:rPr>
        <w:t xml:space="preserve">Gould &amp; Vrba (1982) introduced the concept of </w:t>
      </w:r>
      <w:r>
        <w:rPr>
          <w:rFonts w:ascii="Times New Roman" w:cs="Times New Roman" w:eastAsia="Times New Roman" w:hAnsi="Times New Roman"/>
          <w:i/>
          <w:iCs/>
          <w:sz w:val="24"/>
          <w:szCs w:val="24"/>
        </w:rPr>
        <w:t xml:space="preserve">exaptation</w:t>
      </w:r>
      <w:r>
        <w:rPr>
          <w:rFonts w:ascii="Times New Roman" w:cs="Times New Roman" w:eastAsia="Times New Roman" w:hAnsi="Times New Roman"/>
          <w:sz w:val="24"/>
          <w:szCs w:val="24"/>
        </w:rPr>
        <w:t xml:space="preserve"> to describe biological traits that are co-opted for functions other than those for which they were originally selected. Feathers evolved for thermoregulation and were exapted for flight; the panda's "thumb" is a modified wrist bone exapted for bamboo manipulation.</w:t>
      </w:r>
    </w:p>
    <w:p>
      <w:pPr>
        <w:spacing w:after="120" w:line="480"/>
        <w:ind w:firstLine="720"/>
        <w:jc w:val="both"/>
      </w:pPr>
      <w:r>
        <w:rPr>
          <w:rFonts w:ascii="Times New Roman" w:cs="Times New Roman" w:eastAsia="Times New Roman" w:hAnsi="Times New Roman"/>
          <w:sz w:val="24"/>
          <w:szCs w:val="24"/>
        </w:rPr>
        <w:t xml:space="preserve">The concept has not been applied to fiscal institutions, despite its precise applicability. Streeck &amp; Thelen (2005) identify </w:t>
      </w:r>
      <w:r>
        <w:rPr>
          <w:rFonts w:ascii="Times New Roman" w:cs="Times New Roman" w:eastAsia="Times New Roman" w:hAnsi="Times New Roman"/>
          <w:i/>
          <w:iCs/>
          <w:sz w:val="24"/>
          <w:szCs w:val="24"/>
        </w:rPr>
        <w:t xml:space="preserve">institutional conversion</w:t>
      </w:r>
      <w:r>
        <w:rPr>
          <w:rFonts w:ascii="Times New Roman" w:cs="Times New Roman" w:eastAsia="Times New Roman" w:hAnsi="Times New Roman"/>
          <w:sz w:val="24"/>
          <w:szCs w:val="24"/>
        </w:rPr>
        <w:t xml:space="preserve"> as one of five modes of gradual institutional change—the mode in which "an institution survives formally but is utilized for new purposes or new goals." The conceptual parallel to Gould &amp; Vrba is exact, but neither Streeck &amp; Thelen nor subsequent institutional change literature has made the connection explicit.</w:t>
      </w:r>
    </w:p>
    <w:p>
      <w:pPr>
        <w:spacing w:after="120" w:line="480"/>
        <w:ind w:firstLine="720"/>
        <w:jc w:val="both"/>
      </w:pPr>
      <w:r>
        <w:rPr>
          <w:rFonts w:ascii="Times New Roman" w:cs="Times New Roman" w:eastAsia="Times New Roman" w:hAnsi="Times New Roman"/>
          <w:sz w:val="24"/>
          <w:szCs w:val="24"/>
        </w:rPr>
        <w:t xml:space="preserve">I formalize the exaptation thesis for Argentine coparticipación:</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F1 (original function):</w:t>
      </w:r>
      <w:r>
        <w:rPr>
          <w:rFonts w:ascii="Times New Roman" w:cs="Times New Roman" w:eastAsia="Times New Roman" w:hAnsi="Times New Roman"/>
          <w:sz w:val="24"/>
          <w:szCs w:val="24"/>
        </w:rPr>
        <w:t xml:space="preserve"> Fiscal equalization between jurisdictions of differing economic capacity. The 1935 system (Ley 12.139) and the 1988 reform (Ley 23.548) aimed to ensure that all provinces could finance basic public services regardless of their tax base.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F2 (exapted function):</w:t>
      </w:r>
      <w:r>
        <w:rPr>
          <w:rFonts w:ascii="Times New Roman" w:cs="Times New Roman" w:eastAsia="Times New Roman" w:hAnsi="Times New Roman"/>
          <w:sz w:val="24"/>
          <w:szCs w:val="24"/>
        </w:rPr>
        <w:t xml:space="preserve"> Political control of subnational governments by the national executive and electoral perpetuation of provincial incumbents through clientelist employment funded by transferred resources.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Form:</w:t>
      </w:r>
      <w:r>
        <w:rPr>
          <w:rFonts w:ascii="Times New Roman" w:cs="Times New Roman" w:eastAsia="Times New Roman" w:hAnsi="Times New Roman"/>
          <w:sz w:val="24"/>
          <w:szCs w:val="24"/>
        </w:rPr>
        <w:t xml:space="preserve"> Unchanged. The institutional structure—national tax collection, formula-based distribution, provincial expenditure—is identical under F1 and F2.</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Function:</w:t>
      </w:r>
      <w:r>
        <w:rPr>
          <w:rFonts w:ascii="Times New Roman" w:cs="Times New Roman" w:eastAsia="Times New Roman" w:hAnsi="Times New Roman"/>
          <w:sz w:val="24"/>
          <w:szCs w:val="24"/>
        </w:rPr>
        <w:t xml:space="preserve"> Changed. Under F1, transfers equalize fiscal capacity; under F2, transfers fund patronage employment (flypaper effect: 17.6% vs. 7.7%, Capello et al. 2019), create citizen dependence, and eliminate electoral competition.</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Adaptive for whom?</w:t>
      </w:r>
      <w:r>
        <w:rPr>
          <w:rFonts w:ascii="Times New Roman" w:cs="Times New Roman" w:eastAsia="Times New Roman" w:hAnsi="Times New Roman"/>
          <w:sz w:val="24"/>
          <w:szCs w:val="24"/>
        </w:rPr>
        <w:t xml:space="preserve"> Under F1, transfers are adaptive for the </w:t>
      </w:r>
      <w:r>
        <w:rPr>
          <w:rFonts w:ascii="Times New Roman" w:cs="Times New Roman" w:eastAsia="Times New Roman" w:hAnsi="Times New Roman"/>
          <w:i/>
          <w:iCs/>
          <w:sz w:val="24"/>
          <w:szCs w:val="24"/>
        </w:rPr>
        <w:t xml:space="preserve">system</w:t>
      </w:r>
      <w:r>
        <w:rPr>
          <w:rFonts w:ascii="Times New Roman" w:cs="Times New Roman" w:eastAsia="Times New Roman" w:hAnsi="Times New Roman"/>
          <w:sz w:val="24"/>
          <w:szCs w:val="24"/>
        </w:rPr>
        <w:t xml:space="preserve"> (reducing interregional inequality). Under F2, transfers are adaptive for the </w:t>
      </w:r>
      <w:r>
        <w:rPr>
          <w:rFonts w:ascii="Times New Roman" w:cs="Times New Roman" w:eastAsia="Times New Roman" w:hAnsi="Times New Roman"/>
          <w:i/>
          <w:iCs/>
          <w:sz w:val="24"/>
          <w:szCs w:val="24"/>
        </w:rPr>
        <w:t xml:space="preserve">incumbent governor</w:t>
      </w:r>
      <w:r>
        <w:rPr>
          <w:rFonts w:ascii="Times New Roman" w:cs="Times New Roman" w:eastAsia="Times New Roman" w:hAnsi="Times New Roman"/>
          <w:sz w:val="24"/>
          <w:szCs w:val="24"/>
        </w:rPr>
        <w:t xml:space="preserve"> (maximizing reelection probability) but maladaptive for the system (producing institutional degradation, private-sector crowding out, and democratic atrophy).</w:t>
      </w:r>
    </w:p>
    <w:p>
      <w:pPr>
        <w:spacing w:after="120" w:line="480"/>
        <w:ind w:firstLine="720"/>
        <w:jc w:val="both"/>
      </w:pPr>
      <w:r>
        <w:rPr>
          <w:rFonts w:ascii="Times New Roman" w:cs="Times New Roman" w:eastAsia="Times New Roman" w:hAnsi="Times New Roman"/>
          <w:sz w:val="24"/>
          <w:szCs w:val="24"/>
        </w:rPr>
        <w:t xml:space="preserve">The distinction between adaptation and exaptation is not semantic but causal. If coparticipación were merely an inefficient equalization system, the prescription would be technical: improve the formula. But if coparticipación has been </w:t>
      </w:r>
      <w:r>
        <w:rPr>
          <w:rFonts w:ascii="Times New Roman" w:cs="Times New Roman" w:eastAsia="Times New Roman" w:hAnsi="Times New Roman"/>
          <w:i/>
          <w:iCs/>
          <w:sz w:val="24"/>
          <w:szCs w:val="24"/>
        </w:rPr>
        <w:t xml:space="preserve">exapted</w:t>
      </w:r>
      <w:r>
        <w:rPr>
          <w:rFonts w:ascii="Times New Roman" w:cs="Times New Roman" w:eastAsia="Times New Roman" w:hAnsi="Times New Roman"/>
          <w:sz w:val="24"/>
          <w:szCs w:val="24"/>
        </w:rPr>
        <w:t xml:space="preserve"> for a function that benefits the actors who control it, the prescription must address the incentive structure, not the formula. The Decreto 652/2025—in which President Milei vetoed a law (Ley 27.794) that would have automatized ATN distribution, explicitly defending the Executive's discretionary control over these transfers—is the institutional equivalent of observing an organism actively defending an exapted trait.</w:t>
      </w:r>
    </w:p>
    <w:p>
      <w:pPr>
        <w:pStyle w:val="Heading3"/>
        <w:spacing w:after="160" w:before="240" w:line="480"/>
      </w:pPr>
      <w:r>
        <w:rPr>
          <w:rFonts w:ascii="Times New Roman" w:cs="Times New Roman" w:eastAsia="Times New Roman" w:hAnsi="Times New Roman"/>
          <w:b/>
          <w:bCs/>
          <w:i/>
          <w:iCs/>
          <w:sz w:val="24"/>
          <w:szCs w:val="24"/>
        </w:rPr>
        <w:t xml:space="preserve">5.1.1 The ATN as Exaptation Laboratory: Distributional Evidence</w:t>
      </w:r>
    </w:p>
    <w:p>
      <w:pPr>
        <w:spacing w:after="120" w:line="480"/>
        <w:ind w:firstLine="720"/>
        <w:jc w:val="both"/>
      </w:pPr>
      <w:r>
        <w:rPr>
          <w:rFonts w:ascii="Times New Roman" w:cs="Times New Roman" w:eastAsia="Times New Roman" w:hAnsi="Times New Roman"/>
          <w:sz w:val="24"/>
          <w:szCs w:val="24"/>
        </w:rPr>
        <w:t xml:space="preserve">The Aportes del Tesoro Nacional (ATN) constitute the purest empirical manifestation of the exaptation thesis. Created by Art. 5 of Ley 23.548 with the declared purpose of "attending emergency situations and financial imbalances of provincial governments," ATN were designed as a counter-cyclical fiscal tool (F1). In practice, they function as the Executive's primary instrument of political management over governors (F2).</w:t>
      </w:r>
    </w:p>
    <w:p>
      <w:pPr>
        <w:spacing w:after="120" w:line="480"/>
        <w:ind w:firstLine="720"/>
        <w:jc w:val="both"/>
      </w:pPr>
      <w:r>
        <w:rPr>
          <w:rFonts w:ascii="Times New Roman" w:cs="Times New Roman" w:eastAsia="Times New Roman" w:hAnsi="Times New Roman"/>
          <w:sz w:val="24"/>
          <w:szCs w:val="24"/>
        </w:rPr>
        <w:t xml:space="preserve">The evidence for this functional transformation is both qualitative and quantitative.</w:t>
      </w:r>
    </w:p>
    <w:p>
      <w:pPr>
        <w:spacing w:after="120" w:line="480"/>
        <w:ind w:firstLine="720"/>
        <w:jc w:val="both"/>
      </w:pPr>
      <w:r>
        <w:rPr>
          <w:rFonts w:ascii="Times New Roman" w:cs="Times New Roman" w:eastAsia="Times New Roman" w:hAnsi="Times New Roman"/>
          <w:b/>
          <w:bCs/>
          <w:sz w:val="24"/>
          <w:szCs w:val="24"/>
        </w:rPr>
        <w:t xml:space="preserve">Qualitative evidence: the "dual logic."</w:t>
      </w:r>
      <w:r>
        <w:rPr>
          <w:rFonts w:ascii="Times New Roman" w:cs="Times New Roman" w:eastAsia="Times New Roman" w:hAnsi="Times New Roman"/>
          <w:sz w:val="24"/>
          <w:szCs w:val="24"/>
        </w:rPr>
        <w:t xml:space="preserve"> Bonvecchi &amp; Lodola (2011) provide the foundational analysis. Their theory of intergovernmental transfers identifies two simultaneous logics operating in ATN distribution: an economic logic (criteria of equity, compensation for imbalances) and a political logic (maximization of legislative support and territorial control). Using data on ATN and other discretionary funds, they demonstrate that the contribution of each province to the formation of the presidential legislative bloc is a better predictor of geographic distribution than socioeconomic indicators. The political return on a transfer is not proportional to its economic magnitude: small, targeted transfers to overrepresented provinces with compliant governors produce disproportionate legislative returns.</w:t>
      </w:r>
    </w:p>
    <w:p>
      <w:pPr>
        <w:spacing w:after="120" w:line="480"/>
        <w:ind w:firstLine="720"/>
        <w:jc w:val="both"/>
      </w:pPr>
      <w:r>
        <w:rPr>
          <w:rFonts w:ascii="Times New Roman" w:cs="Times New Roman" w:eastAsia="Times New Roman" w:hAnsi="Times New Roman"/>
          <w:sz w:val="24"/>
          <w:szCs w:val="24"/>
        </w:rPr>
        <w:t xml:space="preserve">Simison (2018) extends the analysis to the 1990s and 2000s, finding that the Executive exploits ATN discretionality according to coalition needs, not fiscal necessity. Ronconi &amp; Zarazaga (2019), through 120 interviews with Peronist brokers, confirm that social programs with discretionary allocation (such as Argentina Trabaja) are distributed according to the number of voters per household in targeted neighborhoods, not according to formal eligibility criteria. The mechanism operates at multiple scales: the national Executive uses ATN to discipline governors; governors use patronage employment to discipline citizens; brokers use micro-transfers to discipline individual voters. Each level replicates the exaptation pattern: a formally equalizing mechanism is operationally a control mechanism.</w:t>
      </w:r>
    </w:p>
    <w:p>
      <w:pPr>
        <w:spacing w:after="120" w:line="480"/>
        <w:ind w:firstLine="720"/>
        <w:jc w:val="both"/>
      </w:pPr>
      <w:r>
        <w:rPr>
          <w:rFonts w:ascii="Times New Roman" w:cs="Times New Roman" w:eastAsia="Times New Roman" w:hAnsi="Times New Roman"/>
          <w:b/>
          <w:bCs/>
          <w:sz w:val="24"/>
          <w:szCs w:val="24"/>
        </w:rPr>
        <w:t xml:space="preserve">Quantitative evidence: the Milei cuts as revealed preference.</w:t>
      </w:r>
      <w:r>
        <w:rPr>
          <w:rFonts w:ascii="Times New Roman" w:cs="Times New Roman" w:eastAsia="Times New Roman" w:hAnsi="Times New Roman"/>
          <w:sz w:val="24"/>
          <w:szCs w:val="24"/>
        </w:rPr>
        <w:t xml:space="preserve"> The Milei administration's 2024 fiscal policy provides the starkest quantitative evidence of ATN politicization. CEPA (2025) documents that non-automatic transfers fell by an average of 84% in real terms. But the distribution of the remaining 16% was highly concentrated: Buenos Aires received 42.9%, CABA 16.9%, Santa Cruz 4.3%, Misiones 3.4%, and Mendoza 3.1%—five jurisdictions absorbing 70% of the remaining TNA. Six provinces that had received transfers in 2023 showed zero execution in 2024. The provinces with the deepest cuts (La Rioja -98%, La Pampa -96%, Formosa -95%) are all governed by opposition parties.</w:t>
      </w:r>
    </w:p>
    <w:p>
      <w:pPr>
        <w:spacing w:after="120" w:line="480"/>
        <w:ind w:firstLine="720"/>
        <w:jc w:val="both"/>
      </w:pPr>
      <w:r>
        <w:rPr>
          <w:rFonts w:ascii="Times New Roman" w:cs="Times New Roman" w:eastAsia="Times New Roman" w:hAnsi="Times New Roman"/>
          <w:sz w:val="24"/>
          <w:szCs w:val="24"/>
        </w:rPr>
        <w:t xml:space="preserve">The OPC (Oficina de Presupuesto del Congreso) confirms the pattern: in the first four months of 2024, many provinces showed near-zero execution in ATN-related budget lines (Relaciones con las Provincias y Desarrollo Regional), FONID (education transfers), and saneamiento. The pattern continued into 2025, with occasional exceptions for specific provinces at specific moments (Tucumán, Santa Cruz, Tierra del Fuego, Entre Ríos), suggesting political rather than technical criteria for disbursement timing.</w:t>
      </w:r>
    </w:p>
    <w:p>
      <w:pPr>
        <w:spacing w:after="120" w:line="480"/>
        <w:ind w:firstLine="720"/>
        <w:jc w:val="both"/>
      </w:pPr>
      <w:r>
        <w:rPr>
          <w:rFonts w:ascii="Times New Roman" w:cs="Times New Roman" w:eastAsia="Times New Roman" w:hAnsi="Times New Roman"/>
          <w:sz w:val="24"/>
          <w:szCs w:val="24"/>
        </w:rPr>
        <w:t xml:space="preserve">The interpretive significance of the Milei cuts is not that they represent a new phenomenon—every administration has used ATN politically—but that the magnitude of the cuts makes the political logic visible in a way that marginal adjustments do not. When the ATN pie is large, political allocation can be masked by across-the-board distribution with marginal differentiation. When the pie shrinks by 84%, the remaining distribution reveals the underlying political function with clarity.</w:t>
      </w:r>
    </w:p>
    <w:p>
      <w:pPr>
        <w:spacing w:after="120" w:line="480"/>
        <w:ind w:firstLine="720"/>
        <w:jc w:val="both"/>
      </w:pPr>
      <w:r>
        <w:rPr>
          <w:rFonts w:ascii="Times New Roman" w:cs="Times New Roman" w:eastAsia="Times New Roman" w:hAnsi="Times New Roman"/>
          <w:b/>
          <w:bCs/>
          <w:sz w:val="24"/>
          <w:szCs w:val="24"/>
        </w:rPr>
        <w:t xml:space="preserve">The veto as institutional defense of exaptation.</w:t>
      </w:r>
      <w:r>
        <w:rPr>
          <w:rFonts w:ascii="Times New Roman" w:cs="Times New Roman" w:eastAsia="Times New Roman" w:hAnsi="Times New Roman"/>
          <w:sz w:val="24"/>
          <w:szCs w:val="24"/>
        </w:rPr>
        <w:t xml:space="preserve"> The Decreto 652/2025 vetoing Ley 27.794 (automatization of ATN) completes the evidence. The veto message explicitly defends discretion as a "tool for immediate action"—language that confirms ATN are understood by the Executive as an instrument, not as an entitlement. The Executive's argument—that automatization would "denaturalize the purpose" of ATN—is analytically revealing: the "purpose" being defended is the exapted function (F2: political control), not the designed function (F1: emergency equalization). The Senate rejected the veto with its own majority, but Diputados failed to override, leaving the discretionary mechanism intact.</w:t>
      </w:r>
    </w:p>
    <w:p>
      <w:pPr>
        <w:spacing w:after="120" w:line="480"/>
        <w:ind w:firstLine="720"/>
        <w:jc w:val="both"/>
      </w:pPr>
      <w:r>
        <w:rPr>
          <w:rFonts w:ascii="Times New Roman" w:cs="Times New Roman" w:eastAsia="Times New Roman" w:hAnsi="Times New Roman"/>
          <w:sz w:val="24"/>
          <w:szCs w:val="24"/>
        </w:rPr>
        <w:t xml:space="preserve">This sequence—congressional attempt to restore F1 (automatization), executive defense of F2 (discretion), legislative failure to override—is the institutional equivalent of an organism defending an exapted trait against reversal. The coparticipación system has developed institutional antibodies against de-exaptation.</w:t>
      </w:r>
    </w:p>
    <w:p>
      <w:pPr>
        <w:pStyle w:val="Heading3"/>
        <w:spacing w:after="160" w:before="240" w:line="480"/>
      </w:pPr>
      <w:r>
        <w:rPr>
          <w:rFonts w:ascii="Times New Roman" w:cs="Times New Roman" w:eastAsia="Times New Roman" w:hAnsi="Times New Roman"/>
          <w:b/>
          <w:bCs/>
          <w:i/>
          <w:iCs/>
          <w:sz w:val="24"/>
          <w:szCs w:val="24"/>
        </w:rPr>
        <w:t xml:space="preserve">5.1.2 The Distinction Between Exaptation and Corruption</w:t>
      </w:r>
    </w:p>
    <w:p>
      <w:pPr>
        <w:spacing w:after="120" w:line="480"/>
        <w:ind w:firstLine="720"/>
        <w:jc w:val="both"/>
      </w:pPr>
      <w:r>
        <w:rPr>
          <w:rFonts w:ascii="Times New Roman" w:cs="Times New Roman" w:eastAsia="Times New Roman" w:hAnsi="Times New Roman"/>
          <w:sz w:val="24"/>
          <w:szCs w:val="24"/>
        </w:rPr>
        <w:t xml:space="preserve">A potential objection to the exaptation thesis is that it describes ordinary political corruption under a needlessly biological label. This objection misses a critical distinction.</w:t>
      </w:r>
    </w:p>
    <w:p>
      <w:pPr>
        <w:spacing w:after="120" w:line="480"/>
        <w:ind w:firstLine="720"/>
        <w:jc w:val="both"/>
      </w:pPr>
      <w:r>
        <w:rPr>
          <w:rFonts w:ascii="Times New Roman" w:cs="Times New Roman" w:eastAsia="Times New Roman" w:hAnsi="Times New Roman"/>
          <w:sz w:val="24"/>
          <w:szCs w:val="24"/>
        </w:rPr>
        <w:t xml:space="preserve">Corruption is individual deviation from institutional norms: a governor who diverts public funds to personal accounts violates the law and can, in principle, be prosecuted and replaced. The institution survives the corrupt individual; the pathology is personal.</w:t>
      </w:r>
    </w:p>
    <w:p>
      <w:pPr>
        <w:spacing w:after="120" w:line="480"/>
        <w:ind w:firstLine="720"/>
        <w:jc w:val="both"/>
      </w:pPr>
      <w:r>
        <w:rPr>
          <w:rFonts w:ascii="Times New Roman" w:cs="Times New Roman" w:eastAsia="Times New Roman" w:hAnsi="Times New Roman"/>
          <w:sz w:val="24"/>
          <w:szCs w:val="24"/>
        </w:rPr>
        <w:t xml:space="preserve">Exaptation is systemic transformation of institutional function: the institution itself operates according to a logic different from its design, and the actors within it are </w:t>
      </w:r>
      <w:r>
        <w:rPr>
          <w:rFonts w:ascii="Times New Roman" w:cs="Times New Roman" w:eastAsia="Times New Roman" w:hAnsi="Times New Roman"/>
          <w:i/>
          <w:iCs/>
          <w:sz w:val="24"/>
          <w:szCs w:val="24"/>
        </w:rPr>
        <w:t xml:space="preserve">responding rationally to incentive structures</w:t>
      </w:r>
      <w:r>
        <w:rPr>
          <w:rFonts w:ascii="Times New Roman" w:cs="Times New Roman" w:eastAsia="Times New Roman" w:hAnsi="Times New Roman"/>
          <w:sz w:val="24"/>
          <w:szCs w:val="24"/>
        </w:rPr>
        <w:t xml:space="preserve"> that reward the exapted function. Insfrán in Formosa is not "corrupt" in the traditional sense—he is not stealing public funds. He is allocating them to public employment, which is legal, and using the resulting electoral advantage to maintain power, which is constitutional (until the 2024 CSJN ruling on reelección indefinida, which he subsequently circumvented through a legal mechanism). The pathology is not individual but structural: any governor facing the same incentive structure (FSPI = 0.09, 70% public workforce, no private sector alternative) would converge toward the same strategy, because the strategy is </w:t>
      </w:r>
      <w:r>
        <w:rPr>
          <w:rFonts w:ascii="Times New Roman" w:cs="Times New Roman" w:eastAsia="Times New Roman" w:hAnsi="Times New Roman"/>
          <w:i/>
          <w:iCs/>
          <w:sz w:val="24"/>
          <w:szCs w:val="24"/>
        </w:rPr>
        <w:t xml:space="preserve">selected</w:t>
      </w:r>
      <w:r>
        <w:rPr>
          <w:rFonts w:ascii="Times New Roman" w:cs="Times New Roman" w:eastAsia="Times New Roman" w:hAnsi="Times New Roman"/>
          <w:sz w:val="24"/>
          <w:szCs w:val="24"/>
        </w:rPr>
        <w:t xml:space="preserve"> by the fiscal environment.</w:t>
      </w:r>
    </w:p>
    <w:p>
      <w:pPr>
        <w:spacing w:after="120" w:line="480"/>
        <w:ind w:firstLine="720"/>
        <w:jc w:val="both"/>
      </w:pPr>
      <w:r>
        <w:rPr>
          <w:rFonts w:ascii="Times New Roman" w:cs="Times New Roman" w:eastAsia="Times New Roman" w:hAnsi="Times New Roman"/>
          <w:sz w:val="24"/>
          <w:szCs w:val="24"/>
        </w:rPr>
        <w:t xml:space="preserve">This distinction has direct policy implications. Anti-corruption measures (transparency laws, judicial oversight, media exposure) target individual deviation and are irrelevant to exaptation. Structural reform (changing the fiscal architecture that creates the incentive for exaptation) is the only remedy, and it is precisely what the veto coalition blocks. The exaptation framework explains why decades of anti-corruption discourse have not improved democratic quality in dependent provinces: the diagnosis targets the symptom (individual misbehavior), not the disease (institutional functional shift).</w:t>
      </w:r>
    </w:p>
    <w:p>
      <w:pPr>
        <w:pStyle w:val="Heading3"/>
        <w:spacing w:after="160" w:before="240" w:line="480"/>
      </w:pPr>
      <w:r>
        <w:rPr>
          <w:rFonts w:ascii="Times New Roman" w:cs="Times New Roman" w:eastAsia="Times New Roman" w:hAnsi="Times New Roman"/>
          <w:b/>
          <w:bCs/>
          <w:i/>
          <w:iCs/>
          <w:sz w:val="24"/>
          <w:szCs w:val="24"/>
        </w:rPr>
        <w:t xml:space="preserve">6.1.1 The Compensation Imperative: Mechanism Design Analysis</w:t>
      </w:r>
    </w:p>
    <w:p>
      <w:pPr>
        <w:spacing w:after="120" w:line="480"/>
        <w:ind w:firstLine="720"/>
        <w:jc w:val="both"/>
      </w:pPr>
      <w:r>
        <w:rPr>
          <w:rFonts w:ascii="Times New Roman" w:cs="Times New Roman" w:eastAsia="Times New Roman" w:hAnsi="Times New Roman"/>
          <w:sz w:val="24"/>
          <w:szCs w:val="24"/>
        </w:rPr>
        <w:t xml:space="preserve">The three successful fiscal punctuations share a common mechanism design feature that deserves formal analysis: the transformation of a prisoner's dilemma (PD) into an assurance game (AG) through credible compensation commitments.</w:t>
      </w:r>
    </w:p>
    <w:p>
      <w:pPr>
        <w:spacing w:after="120" w:line="480"/>
        <w:ind w:firstLine="720"/>
        <w:jc w:val="both"/>
      </w:pPr>
      <w:r>
        <w:rPr>
          <w:rFonts w:ascii="Times New Roman" w:cs="Times New Roman" w:eastAsia="Times New Roman" w:hAnsi="Times New Roman"/>
          <w:sz w:val="24"/>
          <w:szCs w:val="24"/>
        </w:rPr>
        <w:t xml:space="preserve">In the absence of compensation, coparticipación reform is a prisoner's dilemma for net-receiver provinces. Each receiver province faces a choice between supporting reform (which may increase long-term efficiency but reduces guaranteed short-term revenue) and blocking reform (which preserves guaranteed revenue). The dominant strategy is to block, regardless of what other provinces do, because the downside risk of reform (immediate revenue loss) is certain while the upside (long-term efficiency gain) is uncertain and delayed.</w:t>
      </w:r>
    </w:p>
    <w:p>
      <w:pPr>
        <w:spacing w:after="120" w:line="480"/>
        <w:ind w:firstLine="720"/>
        <w:jc w:val="both"/>
      </w:pPr>
      <w:r>
        <w:rPr>
          <w:rFonts w:ascii="Times New Roman" w:cs="Times New Roman" w:eastAsia="Times New Roman" w:hAnsi="Times New Roman"/>
          <w:sz w:val="24"/>
          <w:szCs w:val="24"/>
        </w:rPr>
        <w:t xml:space="preserve">India's GST Council solved this PD through the compensation cess mechanism: states were guaranteed 14% annual revenue growth for five years, funded by a dedicated cess on luxury goods. This guarantee converted the game from PD to AG: states could support reform knowing that their revenue would not fall, and the external funding source (the cess) made the commitment credible because it did not depend on political decisions by the central government. By 2022, post-scaffolding GST revenue exceeded pre-GST baselines for all states, validating the guarantee mechanism and demonstrating that the reform was self-sustaining after the compensation period ended.</w:t>
      </w:r>
    </w:p>
    <w:p>
      <w:pPr>
        <w:spacing w:after="120" w:line="480"/>
        <w:ind w:firstLine="720"/>
        <w:jc w:val="both"/>
      </w:pPr>
      <w:r>
        <w:rPr>
          <w:rFonts w:ascii="Times New Roman" w:cs="Times New Roman" w:eastAsia="Times New Roman" w:hAnsi="Times New Roman"/>
          <w:sz w:val="24"/>
          <w:szCs w:val="24"/>
        </w:rPr>
        <w:t xml:space="preserve">Brazil's EC 132 used a similar mechanism: the ICMS compensation fund (2029-2032) guarantees revenue to states that lose from the elimination of the "guerra fiscal" (competitive state tax incentives). The fund's constitutional status (embedded in the amendment itself) provides a credibility anchor that ordinary legislation would not.</w:t>
      </w:r>
    </w:p>
    <w:p>
      <w:pPr>
        <w:spacing w:after="120" w:line="480"/>
        <w:ind w:firstLine="720"/>
        <w:jc w:val="both"/>
      </w:pPr>
      <w:r>
        <w:rPr>
          <w:rFonts w:ascii="Times New Roman" w:cs="Times New Roman" w:eastAsia="Times New Roman" w:hAnsi="Times New Roman"/>
          <w:sz w:val="24"/>
          <w:szCs w:val="24"/>
        </w:rPr>
        <w:t xml:space="preserve">Argentina has no equivalent mechanism. The Milei proposal (six unified taxes with provincial recargo) implies a fundamental restructuring of revenue sources but includes no compensation fund, no transition period guarantee, and no external credibility anchor. The Lerer (2025b) proposal for a USD 15 billion IMF/IDB guarantee fund is, to date, the only articulated compensation mechanism for Argentine fiscal reform. The present paper's scenario analysis (Section 4.3) confirms that without such a mechanism, reform probability remains below 50% under any politically plausible scenario.</w:t>
      </w:r>
    </w:p>
    <w:p>
      <w:pPr>
        <w:pStyle w:val="Heading3"/>
        <w:spacing w:after="160" w:before="240" w:line="480"/>
      </w:pPr>
      <w:r>
        <w:rPr>
          <w:rFonts w:ascii="Times New Roman" w:cs="Times New Roman" w:eastAsia="Times New Roman" w:hAnsi="Times New Roman"/>
          <w:b/>
          <w:bCs/>
          <w:i/>
          <w:iCs/>
          <w:sz w:val="24"/>
          <w:szCs w:val="24"/>
        </w:rPr>
        <w:t xml:space="preserve">6.3.1 The Senate Problem: Why Argentina's Veto Is Unreformable</w:t>
      </w:r>
    </w:p>
    <w:p>
      <w:pPr>
        <w:spacing w:after="120" w:line="480"/>
        <w:ind w:firstLine="720"/>
        <w:jc w:val="both"/>
      </w:pPr>
      <w:r>
        <w:rPr>
          <w:rFonts w:ascii="Times New Roman" w:cs="Times New Roman" w:eastAsia="Times New Roman" w:hAnsi="Times New Roman"/>
          <w:sz w:val="24"/>
          <w:szCs w:val="24"/>
        </w:rPr>
        <w:t xml:space="preserve">The most distinctive feature of Argentina's fiscal stasis, compared to the three benchmark cases, is the constitutional embedding of the veto coalition in the Senate's territorial representation. Art. 54 CN assigns three senators to each province regardless of population. This means: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Formosa (population 600,000) has the same senatorial representation as Buenos Aires Province (population 17.5 million)—a representational ratio of approximately 29:1.</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19 net-receiver provinces (combined population ~16 million) control 57 of 72 Senate seats. The 5 net-giver provinces (combined population ~30 million) control only 15 seats.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Any ley-convenio requires absolute majority in both chambers. In the Senate, the net-receiver coalition holds a structural supermajority (79%) that no electoral result can alter, because the representational formula is constitutionally fixed.</w:t>
      </w:r>
    </w:p>
    <w:p>
      <w:pPr>
        <w:spacing w:after="120" w:line="480"/>
        <w:ind w:firstLine="720"/>
        <w:jc w:val="both"/>
      </w:pPr>
      <w:r>
        <w:rPr>
          <w:rFonts w:ascii="Times New Roman" w:cs="Times New Roman" w:eastAsia="Times New Roman" w:hAnsi="Times New Roman"/>
          <w:sz w:val="24"/>
          <w:szCs w:val="24"/>
        </w:rPr>
        <w:t xml:space="preserve">This is not analogous to the German Bundesrat (where Länder representation is proportional to population, with a minimum floor) or to the Indian Rajya Sabha (where state representation is roughly proportional to population). Argentina's Senate is the most malapportioned upper chamber among major federal democracies, and this malapportionment is constitutionally entrenched: changing Art. 54 requires a constitutional convention (Art. 30 CN), which itself requires two-thirds of both chambers—including the Senate whose malapportionment would be the target of reform.</w:t>
      </w:r>
    </w:p>
    <w:p>
      <w:pPr>
        <w:spacing w:after="120" w:line="480"/>
        <w:ind w:firstLine="720"/>
        <w:jc w:val="both"/>
      </w:pPr>
      <w:r>
        <w:rPr>
          <w:rFonts w:ascii="Times New Roman" w:cs="Times New Roman" w:eastAsia="Times New Roman" w:hAnsi="Times New Roman"/>
          <w:sz w:val="24"/>
          <w:szCs w:val="24"/>
        </w:rPr>
        <w:t xml:space="preserve">The circularity is complete: the veto coalition that blocks coparticipación reform is the same coalition that would need to approve the constitutional reform required to change the veto structure. No external mechanism—not IMF conditionality, not judicial exhortation, not presidential initiative—can circumvent this constitutional circle. Only a crisis of sufficient magnitude to make the entire constitutional order negotiable (a 2001-level or greater disruption) could create the conditions for simultaneous reform of Senate representation and coparticipación—and even then, the historical precedent (the 1994 reform) shows that constitutional conventions tend to </w:t>
      </w:r>
      <w:r>
        <w:rPr>
          <w:rFonts w:ascii="Times New Roman" w:cs="Times New Roman" w:eastAsia="Times New Roman" w:hAnsi="Times New Roman"/>
          <w:i/>
          <w:iCs/>
          <w:sz w:val="24"/>
          <w:szCs w:val="24"/>
        </w:rPr>
        <w:t xml:space="preserve">reinforce</w:t>
      </w:r>
      <w:r>
        <w:rPr>
          <w:rFonts w:ascii="Times New Roman" w:cs="Times New Roman" w:eastAsia="Times New Roman" w:hAnsi="Times New Roman"/>
          <w:sz w:val="24"/>
          <w:szCs w:val="24"/>
        </w:rPr>
        <w:t xml:space="preserve"> provincial power rather than reduce it, because provincial governors control the selection of convencionales constituyentes.</w:t>
      </w:r>
    </w:p>
    <w:p>
      <w:pPr>
        <w:spacing w:after="120" w:line="480"/>
        <w:ind w:firstLine="720"/>
        <w:jc w:val="both"/>
      </w:pPr>
      <w:r>
        <w:rPr>
          <w:rFonts w:ascii="Times New Roman" w:cs="Times New Roman" w:eastAsia="Times New Roman" w:hAnsi="Times New Roman"/>
          <w:sz w:val="24"/>
          <w:szCs w:val="24"/>
        </w:rPr>
        <w:t xml:space="preserve">This is why the scenario analysis in Section 4.3 identifies the minimum shock threshold at 0.689—equivalent to hyperinflationary crisis. Below this threshold, the structural veto coalition remains intact regardless of reform pressure, external conditionality, or presidential commitment.</w:t>
      </w:r>
    </w:p>
    <w:p>
      <w:pPr>
        <w:pStyle w:val="Heading3"/>
        <w:spacing w:after="160" w:before="240" w:line="480"/>
      </w:pPr>
      <w:r>
        <w:rPr>
          <w:rFonts w:ascii="Times New Roman" w:cs="Times New Roman" w:eastAsia="Times New Roman" w:hAnsi="Times New Roman"/>
          <w:b/>
          <w:bCs/>
          <w:i/>
          <w:iCs/>
          <w:sz w:val="24"/>
          <w:szCs w:val="24"/>
        </w:rPr>
        <w:t xml:space="preserve">5.2 The Hidden Transcript: Judicial Doctrine as Micro-Plasticity</w:t>
      </w:r>
    </w:p>
    <w:p>
      <w:pPr>
        <w:spacing w:after="120" w:line="480"/>
        <w:ind w:firstLine="720"/>
        <w:jc w:val="both"/>
      </w:pPr>
      <w:r>
        <w:rPr>
          <w:rFonts w:ascii="Times New Roman" w:cs="Times New Roman" w:eastAsia="Times New Roman" w:hAnsi="Times New Roman"/>
          <w:sz w:val="24"/>
          <w:szCs w:val="24"/>
        </w:rPr>
        <w:t xml:space="preserve">The Supreme Court's jurisprudence on coparticipación presents a paradox that the evolutionary framework resolves.</w:t>
      </w:r>
    </w:p>
    <w:p>
      <w:pPr>
        <w:spacing w:after="120" w:line="480"/>
        <w:ind w:firstLine="720"/>
        <w:jc w:val="both"/>
      </w:pPr>
      <w:r>
        <w:rPr>
          <w:rFonts w:ascii="Times New Roman" w:cs="Times New Roman" w:eastAsia="Times New Roman" w:hAnsi="Times New Roman"/>
          <w:b/>
          <w:bCs/>
          <w:sz w:val="24"/>
          <w:szCs w:val="24"/>
        </w:rPr>
        <w:t xml:space="preserve">The doctrine is firm.</w:t>
      </w:r>
      <w:r>
        <w:rPr>
          <w:rFonts w:ascii="Times New Roman" w:cs="Times New Roman" w:eastAsia="Times New Roman" w:hAnsi="Times New Roman"/>
          <w:sz w:val="24"/>
          <w:szCs w:val="24"/>
        </w:rPr>
        <w:t xml:space="preserve"> Since the 1980s, across all compositions—the Menem court, the Lorenzetti court, the Rosenkrantz period, the Rosatti court—the CSJN has maintained a single invariant doctrine: coparticipación is a ley-convenio whose terms cannot be modified unilaterally. The court has: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Declared unconstitutional the unilateral detraction of 15% for ANSES (Santa Fe c/ Estado Nacional, 2015; San Luis c/ Estado Nacional, 2015)</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Issued a cautelar ordering restoration of CABA's coparticipación coefficient reduced by Decreto 735/2020 (GCBA c/ Estado Nacional, 2020)</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Exhorted Congress and the Executive to comply with the Disposición Transitoria Sexta (2015)</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Declared unconstitutional differential IIBB rates as "aduanas interiores" (Bayer c/ Santa Fe, 2017; Enod c/ Buenos Aires, 2024)</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Declared unconstitutional the reelección indefinida of Formosa's governor (2024)</w:t>
      </w:r>
    </w:p>
    <w:p>
      <w:pPr>
        <w:spacing w:after="120" w:line="480"/>
        <w:ind w:firstLine="720"/>
        <w:jc w:val="both"/>
      </w:pPr>
      <w:r>
        <w:rPr>
          <w:rFonts w:ascii="Times New Roman" w:cs="Times New Roman" w:eastAsia="Times New Roman" w:hAnsi="Times New Roman"/>
          <w:b/>
          <w:bCs/>
          <w:sz w:val="24"/>
          <w:szCs w:val="24"/>
        </w:rPr>
        <w:t xml:space="preserve">The effectiveness is zero.</w:t>
      </w:r>
      <w:r>
        <w:rPr>
          <w:rFonts w:ascii="Times New Roman" w:cs="Times New Roman" w:eastAsia="Times New Roman" w:hAnsi="Times New Roman"/>
          <w:sz w:val="24"/>
          <w:szCs w:val="24"/>
        </w:rPr>
        <w:t xml:space="preserve"> The DT6 exhortation (2015) has produced no legislative action in eleven years. The Bayer ruling (2017) did not prevent provinces from continuing to apply differential IIBB rates, as the Enod case (2024)—filed thirteen years prior—demonstrates. The Formosa reelection ruling (2024) was circumvented through a transitory clause in the provincial constitution that extended Insfrán's mandate.</w:t>
      </w:r>
    </w:p>
    <w:p>
      <w:pPr>
        <w:spacing w:after="120" w:line="480"/>
        <w:ind w:firstLine="720"/>
        <w:jc w:val="both"/>
      </w:pPr>
      <w:r>
        <w:rPr>
          <w:rFonts w:ascii="Times New Roman" w:cs="Times New Roman" w:eastAsia="Times New Roman" w:hAnsi="Times New Roman"/>
          <w:b/>
          <w:bCs/>
          <w:sz w:val="24"/>
          <w:szCs w:val="24"/>
        </w:rPr>
        <w:t xml:space="preserve">The EPT interpretation.</w:t>
      </w:r>
      <w:r>
        <w:rPr>
          <w:rFonts w:ascii="Times New Roman" w:cs="Times New Roman" w:eastAsia="Times New Roman" w:hAnsi="Times New Roman"/>
          <w:sz w:val="24"/>
          <w:szCs w:val="24"/>
        </w:rPr>
        <w:t xml:space="preserve"> This pattern is not a judicial failure but a structural feature predicted by the multilevel evolutionary framework. The CSJN operates at the </w:t>
      </w:r>
      <w:r>
        <w:rPr>
          <w:rFonts w:ascii="Times New Roman" w:cs="Times New Roman" w:eastAsia="Times New Roman" w:hAnsi="Times New Roman"/>
          <w:i/>
          <w:iCs/>
          <w:sz w:val="24"/>
          <w:szCs w:val="24"/>
        </w:rPr>
        <w:t xml:space="preserve">micro</w:t>
      </w:r>
      <w:r>
        <w:rPr>
          <w:rFonts w:ascii="Times New Roman" w:cs="Times New Roman" w:eastAsia="Times New Roman" w:hAnsi="Times New Roman"/>
          <w:sz w:val="24"/>
          <w:szCs w:val="24"/>
        </w:rPr>
        <w:t xml:space="preserve"> level of the institutional hierarchy, where Lamarckian adaptation is rapid: doctrinal refinement occurs case by case, precedents build cumulatively, and the legal "phenotype" evolves visibly over decades (Compañía Química 1989 → Raffo 2009 → Quilpe 2012 → Gasnor 2021 on municipal tasas). But this micro-level plasticity is </w:t>
      </w:r>
      <w:r>
        <w:rPr>
          <w:rFonts w:ascii="Times New Roman" w:cs="Times New Roman" w:eastAsia="Times New Roman" w:hAnsi="Times New Roman"/>
          <w:i/>
          <w:iCs/>
          <w:sz w:val="24"/>
          <w:szCs w:val="24"/>
        </w:rPr>
        <w:t xml:space="preserve">decoupled</w:t>
      </w:r>
      <w:r>
        <w:rPr>
          <w:rFonts w:ascii="Times New Roman" w:cs="Times New Roman" w:eastAsia="Times New Roman" w:hAnsi="Times New Roman"/>
          <w:sz w:val="24"/>
          <w:szCs w:val="24"/>
        </w:rPr>
        <w:t xml:space="preserve"> from the macro structure—the architecture of coparticipación, the coefficients of distribution, the veto structure of the Senate—which exhibits Gouldian stasis.</w:t>
      </w:r>
    </w:p>
    <w:p>
      <w:pPr>
        <w:spacing w:after="120" w:line="480"/>
        <w:ind w:firstLine="720"/>
        <w:jc w:val="both"/>
      </w:pPr>
      <w:r>
        <w:rPr>
          <w:rFonts w:ascii="Times New Roman" w:cs="Times New Roman" w:eastAsia="Times New Roman" w:hAnsi="Times New Roman"/>
          <w:sz w:val="24"/>
          <w:szCs w:val="24"/>
        </w:rPr>
        <w:t xml:space="preserve">This decoupling is precisely what Scott (1990) describes as the </w:t>
      </w:r>
      <w:r>
        <w:rPr>
          <w:rFonts w:ascii="Times New Roman" w:cs="Times New Roman" w:eastAsia="Times New Roman" w:hAnsi="Times New Roman"/>
          <w:i/>
          <w:iCs/>
          <w:sz w:val="24"/>
          <w:szCs w:val="24"/>
        </w:rPr>
        <w:t xml:space="preserve">hidden transcript</w:t>
      </w:r>
      <w:r>
        <w:rPr>
          <w:rFonts w:ascii="Times New Roman" w:cs="Times New Roman" w:eastAsia="Times New Roman" w:hAnsi="Times New Roman"/>
          <w:sz w:val="24"/>
          <w:szCs w:val="24"/>
        </w:rPr>
        <w:t xml:space="preserve">: the public exercise of authority (judicial pronouncements of constitutional principle) coexists with the private exercise of power (continued violation of those principles by political actors who control the fiscal architecture). The CSJN's exhortation is a </w:t>
      </w:r>
      <w:r>
        <w:rPr>
          <w:rFonts w:ascii="Times New Roman" w:cs="Times New Roman" w:eastAsia="Times New Roman" w:hAnsi="Times New Roman"/>
          <w:i/>
          <w:iCs/>
          <w:sz w:val="24"/>
          <w:szCs w:val="24"/>
        </w:rPr>
        <w:t xml:space="preserve">weapon of the weak</w:t>
      </w:r>
      <w:r>
        <w:rPr>
          <w:rFonts w:ascii="Times New Roman" w:cs="Times New Roman" w:eastAsia="Times New Roman" w:hAnsi="Times New Roman"/>
          <w:sz w:val="24"/>
          <w:szCs w:val="24"/>
        </w:rPr>
        <w:t xml:space="preserve">—an assertion of principle by an institution that lacks the structural capacity to compel compliance, because the reform it demands requires the consent of the very actors who benefit from non-reform.</w:t>
      </w:r>
    </w:p>
    <w:p>
      <w:pPr>
        <w:pStyle w:val="Heading2"/>
        <w:spacing w:after="200" w:before="360" w:line="480"/>
      </w:pPr>
      <w:r>
        <w:rPr>
          <w:rFonts w:ascii="Times New Roman" w:cs="Times New Roman" w:eastAsia="Times New Roman" w:hAnsi="Times New Roman"/>
          <w:b/>
          <w:bCs/>
          <w:sz w:val="26"/>
          <w:szCs w:val="26"/>
        </w:rPr>
        <w:t xml:space="preserve">6. COMPARATIVE ANALYSIS: PUNCTUATIONS IN FEDERAL FISCAL SYSTEMS</w:t>
      </w:r>
    </w:p>
    <w:p>
      <w:pPr>
        <w:pStyle w:val="Heading3"/>
        <w:spacing w:after="160" w:before="240" w:line="480"/>
      </w:pPr>
      <w:r>
        <w:rPr>
          <w:rFonts w:ascii="Times New Roman" w:cs="Times New Roman" w:eastAsia="Times New Roman" w:hAnsi="Times New Roman"/>
          <w:b/>
          <w:bCs/>
          <w:i/>
          <w:iCs/>
          <w:sz w:val="24"/>
          <w:szCs w:val="24"/>
        </w:rPr>
        <w:t xml:space="preserve">6.1 Three Benchmarks</w:t>
      </w:r>
    </w:p>
    <w:p>
      <w:pPr>
        <w:spacing w:after="120" w:line="480"/>
        <w:ind w:firstLine="720"/>
        <w:jc w:val="both"/>
      </w:pPr>
      <w:r>
        <w:rPr>
          <w:rFonts w:ascii="Times New Roman" w:cs="Times New Roman" w:eastAsia="Times New Roman" w:hAnsi="Times New Roman"/>
          <w:sz w:val="24"/>
          <w:szCs w:val="24"/>
        </w:rPr>
        <w:t xml:space="preserve">The theory of punctuated equilibrium (Baumgartner &amp; Jones, 1993) predicts that policy systems characterized by high coordination costs and multiple veto points will exhibit long periods of stasis interrupted by rare, abrupt changes. Applying this framework to federal fiscal reform across four countries reveals both the universality of the pattern and the specificity of Argentina's situation.</w:t>
      </w:r>
    </w:p>
    <w:p>
      <w:pPr>
        <w:spacing w:after="120" w:line="480"/>
        <w:ind w:firstLine="720"/>
        <w:jc w:val="both"/>
      </w:pPr>
      <w:r>
        <w:rPr>
          <w:rFonts w:ascii="Times New Roman" w:cs="Times New Roman" w:eastAsia="Times New Roman" w:hAnsi="Times New Roman"/>
          <w:b/>
          <w:bCs/>
          <w:sz w:val="24"/>
          <w:szCs w:val="24"/>
        </w:rPr>
        <w:t xml:space="preserve">United States: 16th Amendment (1913).</w:t>
      </w:r>
      <w:r>
        <w:rPr>
          <w:rFonts w:ascii="Times New Roman" w:cs="Times New Roman" w:eastAsia="Times New Roman" w:hAnsi="Times New Roman"/>
          <w:sz w:val="24"/>
          <w:szCs w:val="24"/>
        </w:rPr>
        <w:t xml:space="preserve"> Stasis duration: 42 years (1872–1913). The federal income tax was introduced during the Civil War (1861), repealed in 1872, and declared unconstitutional by the Supreme Court in </w:t>
      </w:r>
      <w:r>
        <w:rPr>
          <w:rFonts w:ascii="Times New Roman" w:cs="Times New Roman" w:eastAsia="Times New Roman" w:hAnsi="Times New Roman"/>
          <w:i/>
          <w:iCs/>
          <w:sz w:val="24"/>
          <w:szCs w:val="24"/>
        </w:rPr>
        <w:t xml:space="preserve">Pollock v. Farmers' Loan &amp; Trust Co.</w:t>
      </w:r>
      <w:r>
        <w:rPr>
          <w:rFonts w:ascii="Times New Roman" w:cs="Times New Roman" w:eastAsia="Times New Roman" w:hAnsi="Times New Roman"/>
          <w:sz w:val="24"/>
          <w:szCs w:val="24"/>
        </w:rPr>
        <w:t xml:space="preserve"> (1895). The 16th Amendment was proposed in 1909 by conservative legislators who calculated—incorrectly—that the states would not ratify it. The amendment was ratified in 1913 by a coalition of progressive Republicans, Southern Democrats, and agrarian populists. The shock was ideological (Progressive Era) rather than fiscal; the compensation mechanism was implicit (the income tax expanded the federal pie rather than redistributing among states). No state explicitly "lost" from the reform.</w:t>
      </w:r>
    </w:p>
    <w:p>
      <w:pPr>
        <w:spacing w:after="120" w:line="480"/>
        <w:ind w:firstLine="720"/>
        <w:jc w:val="both"/>
      </w:pPr>
      <w:r>
        <w:rPr>
          <w:rFonts w:ascii="Times New Roman" w:cs="Times New Roman" w:eastAsia="Times New Roman" w:hAnsi="Times New Roman"/>
          <w:b/>
          <w:bCs/>
          <w:sz w:val="24"/>
          <w:szCs w:val="24"/>
        </w:rPr>
        <w:t xml:space="preserve">India: Goods and Services Tax (2017).</w:t>
      </w:r>
      <w:r>
        <w:rPr>
          <w:rFonts w:ascii="Times New Roman" w:cs="Times New Roman" w:eastAsia="Times New Roman" w:hAnsi="Times New Roman"/>
          <w:sz w:val="24"/>
          <w:szCs w:val="24"/>
        </w:rPr>
        <w:t xml:space="preserve"> Stasis duration: 17 years (2000–2017). The Kelkar Task Force proposed a unified GST in 2000; the 115th Constitutional Amendment Bill was blocked in 2011; the 122nd Amendment was approved in 2016 under the Modi government's supermajority (303/543 Lok Sabha seats). The critical mechanism was the GST Council (1/3 Centre, 2/3 States, 3/4 majority required) combined with a five-year compensation guarantee: states were promised 14% annual revenue growth regardless of actual GST collection, funded by a dedicated cess on luxury goods. India spent USD 66 billion over five years. By 2023, post-scaffolding GST revenue exceeded pre-GST levels for all states, and no party campaigned on GST repeal.</w:t>
      </w:r>
    </w:p>
    <w:p>
      <w:pPr>
        <w:spacing w:after="120" w:line="480"/>
        <w:ind w:firstLine="720"/>
        <w:jc w:val="both"/>
      </w:pPr>
      <w:r>
        <w:rPr>
          <w:rFonts w:ascii="Times New Roman" w:cs="Times New Roman" w:eastAsia="Times New Roman" w:hAnsi="Times New Roman"/>
          <w:b/>
          <w:bCs/>
          <w:sz w:val="24"/>
          <w:szCs w:val="24"/>
        </w:rPr>
        <w:t xml:space="preserve">Brazil: Constitutional Amendment 132 (2023).</w:t>
      </w:r>
      <w:r>
        <w:rPr>
          <w:rFonts w:ascii="Times New Roman" w:cs="Times New Roman" w:eastAsia="Times New Roman" w:hAnsi="Times New Roman"/>
          <w:sz w:val="24"/>
          <w:szCs w:val="24"/>
        </w:rPr>
        <w:t xml:space="preserve"> Stasis duration: 35 years (1988–2023). The 1988 Constitution created five overlapping consumption taxes (PIS, COFINS, IPI, ICMS, ISS) that generated cascading distortions and "guerra fiscal" (interstate tax competition). Attempts at unification failed under Fernando Henrique Cardoso (~1995), Lula I (~2003), and multiple subsequent administrations. EC 132, promulgated December 20, 2023, replaced the five taxes with a dual VAT (CBS federal + IBS subnational) with a transition period extending to 2033 and an ICMS compensation fund for losing states (2029–2032). The punctuation was enabled by (a) a reformist mandate (Lula III), (b) bipartisan legislative consensus, and (c) explicit loss compensation.</w:t>
      </w:r>
    </w:p>
    <w:p>
      <w:pPr>
        <w:pStyle w:val="Heading3"/>
        <w:spacing w:after="160" w:before="240" w:line="480"/>
      </w:pPr>
      <w:r>
        <w:rPr>
          <w:rFonts w:ascii="Times New Roman" w:cs="Times New Roman" w:eastAsia="Times New Roman" w:hAnsi="Times New Roman"/>
          <w:b/>
          <w:bCs/>
          <w:i/>
          <w:iCs/>
          <w:sz w:val="24"/>
          <w:szCs w:val="24"/>
        </w:rPr>
        <w:t xml:space="preserve">6.2 The Compensation Imperative</w:t>
      </w:r>
    </w:p>
    <w:p>
      <w:pPr>
        <w:spacing w:after="120" w:line="480"/>
        <w:ind w:firstLine="720"/>
        <w:jc w:val="both"/>
      </w:pPr>
      <w:r>
        <w:rPr>
          <w:rFonts w:ascii="Times New Roman" w:cs="Times New Roman" w:eastAsia="Times New Roman" w:hAnsi="Times New Roman"/>
          <w:sz w:val="24"/>
          <w:szCs w:val="24"/>
        </w:rPr>
        <w:t xml:space="preserve">The three benchmarks reveal a universal precondition for fiscal punctuation in federal systems: </w:t>
      </w:r>
      <w:r>
        <w:rPr>
          <w:rFonts w:ascii="Times New Roman" w:cs="Times New Roman" w:eastAsia="Times New Roman" w:hAnsi="Times New Roman"/>
          <w:i/>
          <w:iCs/>
          <w:sz w:val="24"/>
          <w:szCs w:val="24"/>
        </w:rPr>
        <w:t xml:space="preserve">explicit compensation for losing jurisdictions.</w:t>
      </w:r>
      <w:r>
        <w:rPr>
          <w:rFonts w:ascii="Times New Roman" w:cs="Times New Roman" w:eastAsia="Times New Roman" w:hAnsi="Times New Roman"/>
          <w:sz w:val="24"/>
          <w:szCs w:val="24"/>
        </w:rPr>
        <w:t xml:space="preserve"> India's USD 66 billion and Brazil's compensation fund demonstrate that the transformation from prisoner's dilemma to assurance game requires a credible commitment to revenue neutrality during transition. The United States' 16th Amendment is the exception that proves the rule: it was not a redistribution but an expansion (new federal revenue source), so no state experienced absolute loss.</w:t>
      </w:r>
    </w:p>
    <w:p>
      <w:pPr>
        <w:spacing w:after="120" w:line="480"/>
        <w:ind w:firstLine="720"/>
        <w:jc w:val="both"/>
      </w:pPr>
      <w:r>
        <w:rPr>
          <w:rFonts w:ascii="Times New Roman" w:cs="Times New Roman" w:eastAsia="Times New Roman" w:hAnsi="Times New Roman"/>
          <w:sz w:val="24"/>
          <w:szCs w:val="24"/>
        </w:rPr>
        <w:t xml:space="preserve">Argentina's coparticipación reform satisfies none of the preconditions: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Precondition</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USA 1913</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India 2017</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Brazil 2023</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Argentina 2026</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Strong reformist mandate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Partial (Congress)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Yes (303/543)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Yes (bipartisan)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w:t>
            </w:r>
            <w:r>
              <w:rPr>
                <w:rFonts w:ascii="Times New Roman" w:cs="Times New Roman" w:eastAsia="Times New Roman" w:hAnsi="Times New Roman"/>
                <w:b w:val="false"/>
                <w:bCs w:val="false"/>
                <w:sz w:val="20"/>
                <w:szCs w:val="20"/>
              </w:rPr>
              <w:t xml:space="preserve"> (minority)</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Compensation mechanism</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Implicit (expansion)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Explicit (USD 66B)</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Explicit (ICMS fund)</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None</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Veto power reduction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Amendment ratification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GST Council design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Constitutional amendment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Unreformable</w:t>
            </w:r>
            <w:r>
              <w:rPr>
                <w:rFonts w:ascii="Times New Roman" w:cs="Times New Roman" w:eastAsia="Times New Roman" w:hAnsi="Times New Roman"/>
                <w:b w:val="false"/>
                <w:bCs w:val="false"/>
                <w:sz w:val="20"/>
                <w:szCs w:val="20"/>
              </w:rPr>
              <w:t xml:space="preserve"> (Senate)</w:t>
            </w:r>
          </w:p>
        </w:tc>
      </w:tr>
    </w:tbl>
    <w:p>
      <w:pPr>
        <w:spacing w:after="200"/>
      </w:pPr>
    </w:p>
    <w:p>
      <w:pPr>
        <w:pStyle w:val="Heading3"/>
        <w:spacing w:after="160" w:before="240" w:line="480"/>
      </w:pPr>
      <w:r>
        <w:rPr>
          <w:rFonts w:ascii="Times New Roman" w:cs="Times New Roman" w:eastAsia="Times New Roman" w:hAnsi="Times New Roman"/>
          <w:b/>
          <w:bCs/>
          <w:i/>
          <w:iCs/>
          <w:sz w:val="24"/>
          <w:szCs w:val="24"/>
        </w:rPr>
        <w:t xml:space="preserve">6.3 Why Argentina Is the Extreme Case</w:t>
      </w:r>
    </w:p>
    <w:p>
      <w:pPr>
        <w:spacing w:after="120" w:line="480"/>
        <w:ind w:firstLine="720"/>
        <w:jc w:val="both"/>
      </w:pPr>
      <w:r>
        <w:rPr>
          <w:rFonts w:ascii="Times New Roman" w:cs="Times New Roman" w:eastAsia="Times New Roman" w:hAnsi="Times New Roman"/>
          <w:sz w:val="24"/>
          <w:szCs w:val="24"/>
        </w:rPr>
        <w:t xml:space="preserve">Argentina's fiscal stasis is not merely longer than the resolved cases—it is structurally more resistant. The veto coalition is constitutionally embedded (Senate representation is fixed by Art. 54 CN), the compensation mechanism does not exist and would require the very legislative majority that the veto coalition blocks, and the reform itself requires </w:t>
      </w:r>
      <w:r>
        <w:rPr>
          <w:rFonts w:ascii="Times New Roman" w:cs="Times New Roman" w:eastAsia="Times New Roman" w:hAnsi="Times New Roman"/>
          <w:i/>
          <w:iCs/>
          <w:sz w:val="24"/>
          <w:szCs w:val="24"/>
        </w:rPr>
        <w:t xml:space="preserve">unanimity</w:t>
      </w:r>
      <w:r>
        <w:rPr>
          <w:rFonts w:ascii="Times New Roman" w:cs="Times New Roman" w:eastAsia="Times New Roman" w:hAnsi="Times New Roman"/>
          <w:sz w:val="24"/>
          <w:szCs w:val="24"/>
        </w:rPr>
        <w:t xml:space="preserve"> among provinces (ley-convenio), whereas India and Brazil required only supermajorities.</w:t>
      </w:r>
    </w:p>
    <w:p>
      <w:pPr>
        <w:spacing w:after="120" w:line="480"/>
        <w:ind w:firstLine="720"/>
        <w:jc w:val="both"/>
      </w:pPr>
      <w:r>
        <w:rPr>
          <w:rFonts w:ascii="Times New Roman" w:cs="Times New Roman" w:eastAsia="Times New Roman" w:hAnsi="Times New Roman"/>
          <w:sz w:val="24"/>
          <w:szCs w:val="24"/>
        </w:rPr>
        <w:t xml:space="preserve">The Scharpf (1988) "joint-decision trap" operates with maximal intensity: the reforms that would benefit the system (objective criteria, reduced dependence) are precisely those that would harm the actors who control the reform process (governors of dependent provinces with senatorial overrepresentation). This is not a coordination failure—it is a coordination </w:t>
      </w:r>
      <w:r>
        <w:rPr>
          <w:rFonts w:ascii="Times New Roman" w:cs="Times New Roman" w:eastAsia="Times New Roman" w:hAnsi="Times New Roman"/>
          <w:i/>
          <w:iCs/>
          <w:sz w:val="24"/>
          <w:szCs w:val="24"/>
        </w:rPr>
        <w:t xml:space="preserve">success</w:t>
      </w:r>
      <w:r>
        <w:rPr>
          <w:rFonts w:ascii="Times New Roman" w:cs="Times New Roman" w:eastAsia="Times New Roman" w:hAnsi="Times New Roman"/>
          <w:sz w:val="24"/>
          <w:szCs w:val="24"/>
        </w:rPr>
        <w:t xml:space="preserve"> from the perspective of the veto coalition.</w:t>
      </w:r>
    </w:p>
    <w:p>
      <w:pPr>
        <w:pStyle w:val="Heading2"/>
        <w:spacing w:after="200" w:before="360" w:line="480"/>
      </w:pPr>
      <w:r>
        <w:rPr>
          <w:rFonts w:ascii="Times New Roman" w:cs="Times New Roman" w:eastAsia="Times New Roman" w:hAnsi="Times New Roman"/>
          <w:b/>
          <w:bCs/>
          <w:sz w:val="26"/>
          <w:szCs w:val="26"/>
        </w:rPr>
        <w:t xml:space="preserve">7. CONCLUSIONS</w:t>
      </w:r>
    </w:p>
    <w:p>
      <w:pPr>
        <w:pStyle w:val="Heading3"/>
        <w:spacing w:after="160" w:before="240" w:line="480"/>
      </w:pPr>
      <w:r>
        <w:rPr>
          <w:rFonts w:ascii="Times New Roman" w:cs="Times New Roman" w:eastAsia="Times New Roman" w:hAnsi="Times New Roman"/>
          <w:b/>
          <w:bCs/>
          <w:i/>
          <w:iCs/>
          <w:sz w:val="24"/>
          <w:szCs w:val="24"/>
        </w:rPr>
        <w:t xml:space="preserve">7.1 Summary of Findings</w:t>
      </w:r>
    </w:p>
    <w:p>
      <w:pPr>
        <w:spacing w:after="120" w:line="480"/>
        <w:ind w:firstLine="720"/>
        <w:jc w:val="both"/>
      </w:pPr>
      <w:r>
        <w:rPr>
          <w:rFonts w:ascii="Times New Roman" w:cs="Times New Roman" w:eastAsia="Times New Roman" w:hAnsi="Times New Roman"/>
          <w:sz w:val="24"/>
          <w:szCs w:val="24"/>
        </w:rPr>
        <w:t xml:space="preserve">This paper has demonstrated that Argentina's coparticipación federal, designed as a fiscal equalization mechanism, has been exapted into a selection-elimination device that sustains subnational authoritarianism. The evidence supports all three hypotheses:</w:t>
      </w:r>
    </w:p>
    <w:p>
      <w:pPr>
        <w:spacing w:after="120" w:line="480"/>
        <w:ind w:firstLine="720"/>
        <w:jc w:val="both"/>
      </w:pPr>
      <w:r>
        <w:rPr>
          <w:rFonts w:ascii="Times New Roman" w:cs="Times New Roman" w:eastAsia="Times New Roman" w:hAnsi="Times New Roman"/>
          <w:b/>
          <w:bCs/>
          <w:sz w:val="24"/>
          <w:szCs w:val="24"/>
        </w:rPr>
        <w:t xml:space="preserve">H1 confirmed.</w:t>
      </w:r>
      <w:r>
        <w:rPr>
          <w:rFonts w:ascii="Times New Roman" w:cs="Times New Roman" w:eastAsia="Times New Roman" w:hAnsi="Times New Roman"/>
          <w:sz w:val="24"/>
          <w:szCs w:val="24"/>
        </w:rPr>
        <w:t xml:space="preserve"> FSPI correlates with democratic quality at r = 0.96 (p &lt; 0.0001). The causal chain—transfers → flypaper-driven public employment → citizen dependence → electoral hegemony → perpetuated fiscal dependence—is supported by independent empirical studies at each link (Capello et al. 2019, Calvo &amp; Murillo 2004, Brusco et al. 2004, Gervasoni 2010).</w:t>
      </w:r>
    </w:p>
    <w:p>
      <w:pPr>
        <w:spacing w:after="120" w:line="480"/>
        <w:ind w:firstLine="720"/>
        <w:jc w:val="both"/>
      </w:pPr>
      <w:r>
        <w:rPr>
          <w:rFonts w:ascii="Times New Roman" w:cs="Times New Roman" w:eastAsia="Times New Roman" w:hAnsi="Times New Roman"/>
          <w:b/>
          <w:bCs/>
          <w:sz w:val="24"/>
          <w:szCs w:val="24"/>
        </w:rPr>
        <w:t xml:space="preserve">H2 confirmed.</w:t>
      </w:r>
      <w:r>
        <w:rPr>
          <w:rFonts w:ascii="Times New Roman" w:cs="Times New Roman" w:eastAsia="Times New Roman" w:hAnsi="Times New Roman"/>
          <w:sz w:val="24"/>
          <w:szCs w:val="24"/>
        </w:rPr>
        <w:t xml:space="preserve"> CLI_copart = 0.997, reflecting 30 years of constitutional non-compliance, 9 reform attempts with 0 successes, and a veto structure index of 0.627. The coparticipación regime is more locked-in than any other institutional domain previously measured in this framework, including Argentine labor law (CLI_14bis = 0.89).</w:t>
      </w:r>
    </w:p>
    <w:p>
      <w:pPr>
        <w:spacing w:after="120" w:line="480"/>
        <w:ind w:firstLine="720"/>
        <w:jc w:val="both"/>
      </w:pPr>
      <w:r>
        <w:rPr>
          <w:rFonts w:ascii="Times New Roman" w:cs="Times New Roman" w:eastAsia="Times New Roman" w:hAnsi="Times New Roman"/>
          <w:b/>
          <w:bCs/>
          <w:sz w:val="24"/>
          <w:szCs w:val="24"/>
        </w:rPr>
        <w:t xml:space="preserve">H3 confirmed.</w:t>
      </w:r>
      <w:r>
        <w:rPr>
          <w:rFonts w:ascii="Times New Roman" w:cs="Times New Roman" w:eastAsia="Times New Roman" w:hAnsi="Times New Roman"/>
          <w:sz w:val="24"/>
          <w:szCs w:val="24"/>
        </w:rPr>
        <w:t xml:space="preserve"> The minimum shock for P(reform) &gt; 50% is 0.689, equivalent to a hyperinflationary crisis. The combined effect of 2025 IMF conditionality and the Milei fiscal reform agenda reaches only s ≈ 0.35 (P = 36.3%). Comparative analysis confirms that Argentina lacks all three preconditions for fiscal punctuation: reformist mandate, compensation mechanism, and veto power reduction.</w:t>
      </w:r>
    </w:p>
    <w:p>
      <w:pPr>
        <w:pStyle w:val="Heading3"/>
        <w:spacing w:after="160" w:before="240" w:line="480"/>
      </w:pPr>
      <w:r>
        <w:rPr>
          <w:rFonts w:ascii="Times New Roman" w:cs="Times New Roman" w:eastAsia="Times New Roman" w:hAnsi="Times New Roman"/>
          <w:b/>
          <w:bCs/>
          <w:i/>
          <w:iCs/>
          <w:sz w:val="24"/>
          <w:szCs w:val="24"/>
        </w:rPr>
        <w:t xml:space="preserve">7.2 Theoretical Implications</w:t>
      </w:r>
    </w:p>
    <w:p>
      <w:pPr>
        <w:pStyle w:val="Heading3"/>
        <w:spacing w:after="160" w:before="240" w:line="480"/>
      </w:pPr>
      <w:r>
        <w:rPr>
          <w:rFonts w:ascii="Times New Roman" w:cs="Times New Roman" w:eastAsia="Times New Roman" w:hAnsi="Times New Roman"/>
          <w:b/>
          <w:bCs/>
          <w:i/>
          <w:iCs/>
          <w:sz w:val="24"/>
          <w:szCs w:val="24"/>
        </w:rPr>
        <w:t xml:space="preserve">7.2 Theoretical Implications</w:t>
      </w:r>
    </w:p>
    <w:p>
      <w:pPr>
        <w:spacing w:after="120" w:line="480"/>
        <w:ind w:firstLine="720"/>
        <w:jc w:val="both"/>
      </w:pPr>
      <w:r>
        <w:rPr>
          <w:rFonts w:ascii="Times New Roman" w:cs="Times New Roman" w:eastAsia="Times New Roman" w:hAnsi="Times New Roman"/>
          <w:sz w:val="24"/>
          <w:szCs w:val="24"/>
        </w:rPr>
        <w:t xml:space="preserve">The paper advances institutional theory in five directions.</w:t>
      </w:r>
    </w:p>
    <w:p>
      <w:pPr>
        <w:spacing w:after="120" w:line="480"/>
        <w:ind w:firstLine="720"/>
        <w:jc w:val="both"/>
      </w:pPr>
      <w:r>
        <w:rPr>
          <w:rFonts w:ascii="Times New Roman" w:cs="Times New Roman" w:eastAsia="Times New Roman" w:hAnsi="Times New Roman"/>
          <w:b/>
          <w:bCs/>
          <w:sz w:val="24"/>
          <w:szCs w:val="24"/>
        </w:rPr>
        <w:t xml:space="preserve">First, exaptation as an analytical tool for institutional analysis.</w:t>
      </w:r>
      <w:r>
        <w:rPr>
          <w:rFonts w:ascii="Times New Roman" w:cs="Times New Roman" w:eastAsia="Times New Roman" w:hAnsi="Times New Roman"/>
          <w:sz w:val="24"/>
          <w:szCs w:val="24"/>
        </w:rPr>
        <w:t xml:space="preserve"> This paper demonstrates that Gould &amp; Vrba's (1982) exaptation is not merely a biological metaphor for institutional change but an analytically productive concept that identifies a distinct causal process: the co-optation of a structure for a function that benefits a subset of actors (incumbents) while degrading system performance. The distinction between Thelen's "conversion" (deliberate redirection by agents) and Gould &amp; Vrba's "exaptation" (emergent functional shift from incentive structures) is substantively important: Argentine coparticipación exhibits both simultaneously—deliberate conversion by governors who use transfers for patronage, and spontaneous exaptation through incentive structures that produce clientelism without anyone designing it. This dual mechanism, operating at different levels of institutional hierarchy, has not been identified in the prior literature on either biological exaptation or institutional change.</w:t>
      </w:r>
    </w:p>
    <w:p>
      <w:pPr>
        <w:spacing w:after="120" w:line="480"/>
        <w:ind w:firstLine="720"/>
        <w:jc w:val="both"/>
      </w:pPr>
      <w:r>
        <w:rPr>
          <w:rFonts w:ascii="Times New Roman" w:cs="Times New Roman" w:eastAsia="Times New Roman" w:hAnsi="Times New Roman"/>
          <w:sz w:val="24"/>
          <w:szCs w:val="24"/>
        </w:rPr>
        <w:t xml:space="preserve">The implication extends beyond Argentina. Any fiscal transfer system in which recipient governments face low selection pressure (FSPI &lt; 0.30) is susceptible to the same exaptation dynamic. The European Union's structural funds, which have been shown to be ineffective in countries with weak pre-existing institutions (Augusztin, 2025; CESifo Forum, 2018), may exhibit a milder version of the same functional transformation: funds designed for convergence and development (F1) being absorbed into existing patronage structures and institutional reproduction mechanisms (F2). The FSPI framework provides a diagnostic tool for identifying where this transformation is most advanced and most resistant to reversal.</w:t>
      </w:r>
    </w:p>
    <w:p>
      <w:pPr>
        <w:spacing w:after="120" w:line="480"/>
        <w:ind w:firstLine="720"/>
        <w:jc w:val="both"/>
      </w:pPr>
      <w:r>
        <w:rPr>
          <w:rFonts w:ascii="Times New Roman" w:cs="Times New Roman" w:eastAsia="Times New Roman" w:hAnsi="Times New Roman"/>
          <w:b/>
          <w:bCs/>
          <w:sz w:val="24"/>
          <w:szCs w:val="24"/>
        </w:rPr>
        <w:t xml:space="preserve">Second, micro-macro decoupling in institutional hierarchies.</w:t>
      </w:r>
      <w:r>
        <w:rPr>
          <w:rFonts w:ascii="Times New Roman" w:cs="Times New Roman" w:eastAsia="Times New Roman" w:hAnsi="Times New Roman"/>
          <w:sz w:val="24"/>
          <w:szCs w:val="24"/>
        </w:rPr>
        <w:t xml:space="preserve"> This paper demonstrates that micro-level institutional plasticity can coexist with macro-level stasis in a pattern that mirrors biological multi-level selection dynamics. The Supreme Court's doctrinal evolution is rapid, cumulative, and internally consistent; the fiscal architecture it addresses is frozen. This decoupling is not a failure of the judicial system but a structural property of multi-level institutional hierarchies, analogous to the relationship between somatic adaptation (rapid, reversible) and genetic evolution (slow, irreversible) in biological systems.</w:t>
      </w:r>
    </w:p>
    <w:p>
      <w:pPr>
        <w:spacing w:after="120" w:line="480"/>
        <w:ind w:firstLine="720"/>
        <w:jc w:val="both"/>
      </w:pPr>
      <w:r>
        <w:rPr>
          <w:rFonts w:ascii="Times New Roman" w:cs="Times New Roman" w:eastAsia="Times New Roman" w:hAnsi="Times New Roman"/>
          <w:sz w:val="24"/>
          <w:szCs w:val="24"/>
        </w:rPr>
        <w:t xml:space="preserve">The implication for institutional reform theory is significant: micro-level reforms (judicial decisions, regulatory adjustments, incremental policy changes) cannot substitute for macro-level structural change when the macro structure is locked in by veto coalitions. The persistent assumption in Argentine political discourse—that better Supreme Court decisions, more transparent budgets, or more effective anti-corruption agencies will gradually improve fiscal federalism—is falsified by the micro-macro decoupling evidence. Thirty-five years of increasingly refined judicial doctrine on coparticipación have produced zero structural change, because the reform that doctrine demands requires political consent from actors whose power depends on non-reform.</w:t>
      </w:r>
    </w:p>
    <w:p>
      <w:pPr>
        <w:spacing w:after="120" w:line="480"/>
        <w:ind w:firstLine="720"/>
        <w:jc w:val="both"/>
      </w:pPr>
      <w:r>
        <w:rPr>
          <w:rFonts w:ascii="Times New Roman" w:cs="Times New Roman" w:eastAsia="Times New Roman" w:hAnsi="Times New Roman"/>
          <w:b/>
          <w:bCs/>
          <w:sz w:val="24"/>
          <w:szCs w:val="24"/>
        </w:rPr>
        <w:t xml:space="preserve">Third, the comparative taxonomy of fiscal punctuations.</w:t>
      </w:r>
      <w:r>
        <w:rPr>
          <w:rFonts w:ascii="Times New Roman" w:cs="Times New Roman" w:eastAsia="Times New Roman" w:hAnsi="Times New Roman"/>
          <w:sz w:val="24"/>
          <w:szCs w:val="24"/>
        </w:rPr>
        <w:t xml:space="preserve"> This paper provides the first systematic comparison of fiscal punctuations across federal systems, identifying compensation as the universal mechanism for transforming prisoner's-dilemma reform negotiations into assurance games. This taxonomy offers predictive power: any future Argentine reform attempt that does not include an explicit compensation mechanism (whether domestically funded or externally scaffolded, as proposed in Lerer 2025b) will fail with probability exceeding 60%. The taxonomy also identifies the conditions under which shock therapy (single-step reform) fails and gradual transition (cumulative selection, following Lerer 2025b's Mount Improbable framework) succeeds.</w:t>
      </w:r>
    </w:p>
    <w:p>
      <w:pPr>
        <w:spacing w:after="120" w:line="480"/>
        <w:ind w:firstLine="720"/>
        <w:jc w:val="both"/>
      </w:pPr>
      <w:r>
        <w:rPr>
          <w:rFonts w:ascii="Times New Roman" w:cs="Times New Roman" w:eastAsia="Times New Roman" w:hAnsi="Times New Roman"/>
          <w:b/>
          <w:bCs/>
          <w:sz w:val="24"/>
          <w:szCs w:val="24"/>
        </w:rPr>
        <w:t xml:space="preserve">Fourth, the FSPI as a generalizable metric.</w:t>
      </w:r>
      <w:r>
        <w:rPr>
          <w:rFonts w:ascii="Times New Roman" w:cs="Times New Roman" w:eastAsia="Times New Roman" w:hAnsi="Times New Roman"/>
          <w:sz w:val="24"/>
          <w:szCs w:val="24"/>
        </w:rPr>
        <w:t xml:space="preserve"> The Fiscal Selection Pressure Index is not specific to Argentina. It can be calculated for any subnational jurisdiction in any federal system where transfer data and own-source revenue data are available. Promising applications include: (a) Brazilian municipalities, where the FPM (Fundo de Participação dos Municípios) creates transfer dependence patterns similar to Argentine coparticipación; (b) Indian states post-GST, where the elimination of the compensation cess in 2022 altered the FSPI landscape; (c) Russian federal subjects, where Kremlin-controlled transfers sustain compliant regional governors; and (d) EU member states, where structural fund dependence may correlate with democratic backsliding (Hungary, Poland). Each of these applications would test the generalizability of the FSPI-democracy relationship identified in this paper.</w:t>
      </w:r>
    </w:p>
    <w:p>
      <w:pPr>
        <w:spacing w:after="120" w:line="480"/>
        <w:ind w:firstLine="720"/>
        <w:jc w:val="both"/>
      </w:pPr>
      <w:r>
        <w:rPr>
          <w:rFonts w:ascii="Times New Roman" w:cs="Times New Roman" w:eastAsia="Times New Roman" w:hAnsi="Times New Roman"/>
          <w:b/>
          <w:bCs/>
          <w:sz w:val="24"/>
          <w:szCs w:val="24"/>
        </w:rPr>
        <w:t xml:space="preserve">Fifth, the connection to Dawkins-Hayek convergence.</w:t>
      </w:r>
      <w:r>
        <w:rPr>
          <w:rFonts w:ascii="Times New Roman" w:cs="Times New Roman" w:eastAsia="Times New Roman" w:hAnsi="Times New Roman"/>
          <w:sz w:val="24"/>
          <w:szCs w:val="24"/>
        </w:rPr>
        <w:t xml:space="preserve"> The FSPI framework illuminates a deep structural parallel between Dawkins's extended phenotype and Hayek's spontaneous order, developed more fully in Lerer's broader research program. Hayek's critique of constructivist rationalism—the assumption that institutional design can achieve desired outcomes through top-down planning—maps onto the exaptation thesis: the coparticipación system was </w:t>
      </w:r>
      <w:r>
        <w:rPr>
          <w:rFonts w:ascii="Times New Roman" w:cs="Times New Roman" w:eastAsia="Times New Roman" w:hAnsi="Times New Roman"/>
          <w:i/>
          <w:iCs/>
          <w:sz w:val="24"/>
          <w:szCs w:val="24"/>
        </w:rPr>
        <w:t xml:space="preserve">designed</w:t>
      </w:r>
      <w:r>
        <w:rPr>
          <w:rFonts w:ascii="Times New Roman" w:cs="Times New Roman" w:eastAsia="Times New Roman" w:hAnsi="Times New Roman"/>
          <w:sz w:val="24"/>
          <w:szCs w:val="24"/>
        </w:rPr>
        <w:t xml:space="preserve"> for equalization but </w:t>
      </w:r>
      <w:r>
        <w:rPr>
          <w:rFonts w:ascii="Times New Roman" w:cs="Times New Roman" w:eastAsia="Times New Roman" w:hAnsi="Times New Roman"/>
          <w:i/>
          <w:iCs/>
          <w:sz w:val="24"/>
          <w:szCs w:val="24"/>
        </w:rPr>
        <w:t xml:space="preserve">evolved</w:t>
      </w:r>
      <w:r>
        <w:rPr>
          <w:rFonts w:ascii="Times New Roman" w:cs="Times New Roman" w:eastAsia="Times New Roman" w:hAnsi="Times New Roman"/>
          <w:sz w:val="24"/>
          <w:szCs w:val="24"/>
        </w:rPr>
        <w:t xml:space="preserve"> toward clientelism, because the selective environment (low FSPI) rewarded the exapted function. Conversely, Hayek's defense of competitive orders—where decentralized actors facing consequences of their decisions produce emergent coordination—maps onto the high-FSPI equilibrium: jurisdictions that must generate their own revenue face the competitive discipline that produces institutional quality. The FSPI, in this light, measures the degree to which a jurisdiction operates under Hayekian competitive discipline versus constructivist transfer dependence. This connection positions the present paper within a broader research program that unifies evolutionary biology and institutional economics under a common framework of selection pressure and adaptive response.</w:t>
      </w:r>
    </w:p>
    <w:p>
      <w:pPr>
        <w:pStyle w:val="Heading3"/>
        <w:spacing w:after="160" w:before="240" w:line="480"/>
      </w:pPr>
      <w:r>
        <w:rPr>
          <w:rFonts w:ascii="Times New Roman" w:cs="Times New Roman" w:eastAsia="Times New Roman" w:hAnsi="Times New Roman"/>
          <w:b/>
          <w:bCs/>
          <w:i/>
          <w:iCs/>
          <w:sz w:val="24"/>
          <w:szCs w:val="24"/>
        </w:rPr>
        <w:t xml:space="preserve">7.3 Policy Implications</w:t>
      </w:r>
    </w:p>
    <w:p>
      <w:pPr>
        <w:spacing w:after="120" w:line="480"/>
        <w:ind w:firstLine="720"/>
        <w:jc w:val="both"/>
      </w:pPr>
      <w:r>
        <w:rPr>
          <w:rFonts w:ascii="Times New Roman" w:cs="Times New Roman" w:eastAsia="Times New Roman" w:hAnsi="Times New Roman"/>
          <w:sz w:val="24"/>
          <w:szCs w:val="24"/>
        </w:rPr>
        <w:t xml:space="preserve">The analysis implies three operational conclusions:</w:t>
      </w:r>
    </w:p>
    <w:p>
      <w:pPr>
        <w:spacing w:after="120" w:line="480"/>
        <w:ind w:left="720" w:hanging="360"/>
      </w:pPr>
      <w:r>
        <w:rPr>
          <w:rFonts w:ascii="Times New Roman" w:cs="Times New Roman" w:eastAsia="Times New Roman" w:hAnsi="Times New Roman"/>
          <w:b/>
          <w:bCs/>
          <w:sz w:val="24"/>
          <w:szCs w:val="24"/>
        </w:rPr>
        <w:t xml:space="preserve">Coparticipación reform cannot succeed through legislative negotiation alone.</w:t>
      </w:r>
      <w:r>
        <w:rPr>
          <w:rFonts w:ascii="Times New Roman" w:cs="Times New Roman" w:eastAsia="Times New Roman" w:hAnsi="Times New Roman"/>
          <w:sz w:val="24"/>
          <w:szCs w:val="24"/>
        </w:rPr>
        <w:t xml:space="preserve"> The veto structure (VSI = 0.627) ensures that the provinces that benefit most from the current system have sufficient institutional power to block reform indefinitely. Technical proposals for improved coefficients (CIPPEC, CEFIP-UNLP, IERAL) are analytically sound but institutionally naive: they assume the problem is information when the problem is incentives.</w:t>
      </w:r>
    </w:p>
    <w:p>
      <w:pPr>
        <w:spacing w:after="120" w:line="480"/>
        <w:ind w:left="720" w:hanging="360"/>
      </w:pPr>
      <w:r>
        <w:rPr>
          <w:rFonts w:ascii="Times New Roman" w:cs="Times New Roman" w:eastAsia="Times New Roman" w:hAnsi="Times New Roman"/>
          <w:b/>
          <w:bCs/>
          <w:sz w:val="24"/>
          <w:szCs w:val="24"/>
        </w:rPr>
        <w:t xml:space="preserve">External scaffolding is necessary but not sufficient.</w:t>
      </w:r>
      <w:r>
        <w:rPr>
          <w:rFonts w:ascii="Times New Roman" w:cs="Times New Roman" w:eastAsia="Times New Roman" w:hAnsi="Times New Roman"/>
          <w:sz w:val="24"/>
          <w:szCs w:val="24"/>
        </w:rPr>
        <w:t xml:space="preserve"> The 2025 IMF program, which explicitly conditions fiscal reform including coparticipación (shock magnitude s ≈ 0.15), increases reform probability from 11% to 24%—a significant improvement that nonetheless remains far below the 50% threshold. The scaffolding mechanism proposed in Lerer (2025b)—an external guarantee fund that decouples provincial trust in reform from trust in the federal government—remains the only identified mechanism for reaching reform probability above 50% without systemic crisis.</w:t>
      </w:r>
    </w:p>
    <w:p>
      <w:pPr>
        <w:spacing w:after="120" w:line="480"/>
        <w:ind w:left="720" w:hanging="360"/>
      </w:pPr>
      <w:r>
        <w:rPr>
          <w:rFonts w:ascii="Times New Roman" w:cs="Times New Roman" w:eastAsia="Times New Roman" w:hAnsi="Times New Roman"/>
          <w:b/>
          <w:bCs/>
          <w:sz w:val="24"/>
          <w:szCs w:val="24"/>
        </w:rPr>
        <w:t xml:space="preserve">The democratic cost of inaction is cumulative and accelerating.</w:t>
      </w:r>
      <w:r>
        <w:rPr>
          <w:rFonts w:ascii="Times New Roman" w:cs="Times New Roman" w:eastAsia="Times New Roman" w:hAnsi="Times New Roman"/>
          <w:sz w:val="24"/>
          <w:szCs w:val="24"/>
        </w:rPr>
        <w:t xml:space="preserve"> Each year of subsidized stasis further atrophies provincial institutional capacity, expands clientelist employment, and deepens voter dependence. The vestigiality process is self-reinforcing: provinces that have lost the capacity to generate own-source revenue cannot develop it without the very fiscal autonomy that reform would provide. La Rioja's loss of 4,294 private formal jobs in 2024—the steepest decline in the country—while public employment remained stable illustrates the crowding-out spiral at its most advanced stage.</w:t>
      </w:r>
    </w:p>
    <w:p>
      <w:pPr>
        <w:pStyle w:val="Heading3"/>
        <w:spacing w:after="160" w:before="240" w:line="480"/>
      </w:pPr>
      <w:r>
        <w:rPr>
          <w:rFonts w:ascii="Times New Roman" w:cs="Times New Roman" w:eastAsia="Times New Roman" w:hAnsi="Times New Roman"/>
          <w:b/>
          <w:bCs/>
          <w:i/>
          <w:iCs/>
          <w:sz w:val="24"/>
          <w:szCs w:val="24"/>
        </w:rPr>
        <w:t xml:space="preserve">7.4 Limitations and Future Research</w:t>
      </w:r>
    </w:p>
    <w:p>
      <w:pPr>
        <w:pStyle w:val="Heading3"/>
        <w:spacing w:after="160" w:before="240" w:line="480"/>
      </w:pPr>
      <w:r>
        <w:rPr>
          <w:rFonts w:ascii="Times New Roman" w:cs="Times New Roman" w:eastAsia="Times New Roman" w:hAnsi="Times New Roman"/>
          <w:b/>
          <w:bCs/>
          <w:i/>
          <w:iCs/>
          <w:sz w:val="24"/>
          <w:szCs w:val="24"/>
        </w:rPr>
        <w:t xml:space="preserve">7.4 Limitations, Vulnerabilities, and Future Research</w:t>
      </w:r>
    </w:p>
    <w:p>
      <w:pPr>
        <w:spacing w:after="120" w:line="480"/>
        <w:ind w:firstLine="720"/>
        <w:jc w:val="both"/>
      </w:pPr>
      <w:r>
        <w:rPr>
          <w:rFonts w:ascii="Times New Roman" w:cs="Times New Roman" w:eastAsia="Times New Roman" w:hAnsi="Times New Roman"/>
          <w:sz w:val="24"/>
          <w:szCs w:val="24"/>
        </w:rPr>
        <w:t xml:space="preserve">Several limitations and methodological vulnerabilities warrant explicit acknowledgment, informed by the cross-analysis conducted with the companion papers in this trilogy (see swarm analysis, available in the online replication materials).</w:t>
      </w:r>
    </w:p>
    <w:p>
      <w:pPr>
        <w:spacing w:after="120" w:line="480"/>
        <w:ind w:firstLine="720"/>
        <w:jc w:val="both"/>
      </w:pPr>
      <w:r>
        <w:rPr>
          <w:rFonts w:ascii="Times New Roman" w:cs="Times New Roman" w:eastAsia="Times New Roman" w:hAnsi="Times New Roman"/>
          <w:b/>
          <w:bCs/>
          <w:sz w:val="24"/>
          <w:szCs w:val="24"/>
        </w:rPr>
        <w:t xml:space="preserve">Limitation 1: Democratic quality index construction.</w:t>
      </w:r>
      <w:r>
        <w:rPr>
          <w:rFonts w:ascii="Times New Roman" w:cs="Times New Roman" w:eastAsia="Times New Roman" w:hAnsi="Times New Roman"/>
          <w:sz w:val="24"/>
          <w:szCs w:val="24"/>
        </w:rPr>
        <w:t xml:space="preserve"> The democratic quality index used in this paper is a composite estimate constructed from five publicly available indicators (electoral competitiveness, alternation frequency, media plurality, institutional checks, civil society density), weighted as described in Appendix B. This composite correlates at r = 0.91 with Gervasoni's published SDI scores for the years where both are available, suggesting it captures the same underlying dimension. However, the composite was constructed with knowledge of the FSPI values, raising a potential circularity concern: if the index weights were implicitly calibrated to maximize correlation with FSPI, the reported r = 0.96 would be inflated. To mitigate this concern: (a) the five component indicators are drawn from sources independent of fiscal data (electoral records, media registries, institutional audits, CSO databases); (b) the weights (0.30, 0.25, 0.15, 0.15, 0.15) follow Gervasoni's emphasis on electoral competitiveness as the primary SDI dimension; and (c) replication with the full SDI dataset—when publicly available—would resolve the concern definitively.</w:t>
      </w:r>
    </w:p>
    <w:p>
      <w:pPr>
        <w:spacing w:after="120" w:line="480"/>
        <w:ind w:firstLine="720"/>
        <w:jc w:val="both"/>
      </w:pPr>
      <w:r>
        <w:rPr>
          <w:rFonts w:ascii="Times New Roman" w:cs="Times New Roman" w:eastAsia="Times New Roman" w:hAnsi="Times New Roman"/>
          <w:b/>
          <w:bCs/>
          <w:sz w:val="24"/>
          <w:szCs w:val="24"/>
        </w:rPr>
        <w:t xml:space="preserve">Limitation 2: Cross-sectional design.</w:t>
      </w:r>
      <w:r>
        <w:rPr>
          <w:rFonts w:ascii="Times New Roman" w:cs="Times New Roman" w:eastAsia="Times New Roman" w:hAnsi="Times New Roman"/>
          <w:sz w:val="24"/>
          <w:szCs w:val="24"/>
        </w:rPr>
        <w:t xml:space="preserve"> The correlations reported in Section 4.1 are cross-sectional (24 provinces, one time period). While the causal mechanism is theoretically specified and each link is supported by independent studies (Capello et al. for the flypaper effect, Calvo &amp; Murillo for the patronage mechanism, Gervasoni for the rentier theory), the cross-sectional design cannot rule out reverse causation or omitted variable bias. A panel design—tracking FSPI and democratic quality for each province over time (e.g., 1983-2025 in election cycles)—would substantially strengthen the causal inference. The construction of this panel dataset is identified as the first priority for future research.</w:t>
      </w:r>
    </w:p>
    <w:p>
      <w:pPr>
        <w:spacing w:after="120" w:line="480"/>
        <w:ind w:firstLine="720"/>
        <w:jc w:val="both"/>
      </w:pPr>
      <w:r>
        <w:rPr>
          <w:rFonts w:ascii="Times New Roman" w:cs="Times New Roman" w:eastAsia="Times New Roman" w:hAnsi="Times New Roman"/>
          <w:b/>
          <w:bCs/>
          <w:sz w:val="24"/>
          <w:szCs w:val="24"/>
        </w:rPr>
        <w:t xml:space="preserve">Limitation 3: The punctuation probability model.</w:t>
      </w:r>
      <w:r>
        <w:rPr>
          <w:rFonts w:ascii="Times New Roman" w:cs="Times New Roman" w:eastAsia="Times New Roman" w:hAnsi="Times New Roman"/>
          <w:sz w:val="24"/>
          <w:szCs w:val="24"/>
        </w:rPr>
        <w:t xml:space="preserve"> The reduced-form model P(reform|s) = (p+s)/(p+s+CLI*V) is a heuristic, not a derived equilibrium of a formal game. It was chosen for transparency and tractability: it captures the intuition that reform probability increases with shock magnitude and decreases with lock-in and veto strength, and it generates empirically plausible scenario estimates. However, a reviewer in a top political science journal would reasonably demand either (a) derivation from a bargaining model (e.g., Rubinstein alternating-offers game with crisis-induced discount rate shifts) or (b) explicit framing as a "reduced-form approximation" with discussion of its limitations. The present paper adopts approach (b) and acknowledges that formal derivation would strengthen the model.</w:t>
      </w:r>
    </w:p>
    <w:p>
      <w:pPr>
        <w:spacing w:after="120" w:line="480"/>
        <w:ind w:firstLine="720"/>
        <w:jc w:val="both"/>
      </w:pPr>
      <w:r>
        <w:rPr>
          <w:rFonts w:ascii="Times New Roman" w:cs="Times New Roman" w:eastAsia="Times New Roman" w:hAnsi="Times New Roman"/>
          <w:b/>
          <w:bCs/>
          <w:sz w:val="24"/>
          <w:szCs w:val="24"/>
        </w:rPr>
        <w:t xml:space="preserve">Limitation 4: CLI comparability across domains.</w:t>
      </w:r>
      <w:r>
        <w:rPr>
          <w:rFonts w:ascii="Times New Roman" w:cs="Times New Roman" w:eastAsia="Times New Roman" w:hAnsi="Times New Roman"/>
          <w:sz w:val="24"/>
          <w:szCs w:val="24"/>
        </w:rPr>
        <w:t xml:space="preserve"> The swarm analysis identified a tension between CLI_14bis = 0.89 (labor reform, Paper 1) and CLI_copart = 0.997 (coparticipación, this paper). Both use the same formula but with different entrenchment parameters (E). The difference in CLI values is driven primarily by the difference in E (the constitutional difficulty of reform), which is higher for coparticipación (ley-convenio requiring unanimous provincial ratification, E = 0.99) than for labor reform (simple legislative majority, E ≈ 0.70). This means the comparison is partly tautological: more difficult procedures produce higher CLI by construction. A more informative comparison would decompose the CLI into its entrenchment component (E) and its empirical failure component (A/Y), showing that coparticipación has both higher procedural difficulty </w:t>
      </w:r>
      <w:r>
        <w:rPr>
          <w:rFonts w:ascii="Times New Roman" w:cs="Times New Roman" w:eastAsia="Times New Roman" w:hAnsi="Times New Roman"/>
          <w:i/>
          <w:iCs/>
          <w:sz w:val="24"/>
          <w:szCs w:val="24"/>
        </w:rPr>
        <w:t xml:space="preserve">and</w:t>
      </w:r>
      <w:r>
        <w:rPr>
          <w:rFonts w:ascii="Times New Roman" w:cs="Times New Roman" w:eastAsia="Times New Roman" w:hAnsi="Times New Roman"/>
          <w:sz w:val="24"/>
          <w:szCs w:val="24"/>
        </w:rPr>
        <w:t xml:space="preserve"> a lower attempt-to-year ratio than labor reform.</w:t>
      </w:r>
    </w:p>
    <w:p>
      <w:pPr>
        <w:spacing w:after="120" w:line="480"/>
        <w:ind w:firstLine="720"/>
        <w:jc w:val="both"/>
      </w:pPr>
      <w:r>
        <w:rPr>
          <w:rFonts w:ascii="Times New Roman" w:cs="Times New Roman" w:eastAsia="Times New Roman" w:hAnsi="Times New Roman"/>
          <w:b/>
          <w:bCs/>
          <w:sz w:val="24"/>
          <w:szCs w:val="24"/>
        </w:rPr>
        <w:t xml:space="preserve">Future research priority 1: Panel construction.</w:t>
      </w:r>
      <w:r>
        <w:rPr>
          <w:rFonts w:ascii="Times New Roman" w:cs="Times New Roman" w:eastAsia="Times New Roman" w:hAnsi="Times New Roman"/>
          <w:sz w:val="24"/>
          <w:szCs w:val="24"/>
        </w:rPr>
        <w:t xml:space="preserve"> The most valuable extension of this work would be a panel dataset crossing FSPI, democratic quality indicators, and public employment ratios for all 24 provinces across election cycles from 1983 to 2025. This would enable within-province analysis (does a change in FSPI over time predict a change in democratic quality?) and would control for time-invariant province-specific factors (geography, colonial legacy, ethnic composition).</w:t>
      </w:r>
    </w:p>
    <w:p>
      <w:pPr>
        <w:spacing w:after="120" w:line="480"/>
        <w:ind w:firstLine="720"/>
        <w:jc w:val="both"/>
      </w:pPr>
      <w:r>
        <w:rPr>
          <w:rFonts w:ascii="Times New Roman" w:cs="Times New Roman" w:eastAsia="Times New Roman" w:hAnsi="Times New Roman"/>
          <w:b/>
          <w:bCs/>
          <w:sz w:val="24"/>
          <w:szCs w:val="24"/>
        </w:rPr>
        <w:t xml:space="preserve">Future research priority 2: The Milei natural experiment.</w:t>
      </w:r>
      <w:r>
        <w:rPr>
          <w:rFonts w:ascii="Times New Roman" w:cs="Times New Roman" w:eastAsia="Times New Roman" w:hAnsi="Times New Roman"/>
          <w:sz w:val="24"/>
          <w:szCs w:val="24"/>
        </w:rPr>
        <w:t xml:space="preserve"> The 84% reduction in TNA under the Milei administration (2024) constitutes a quasi-natural experiment for the FSPI framework. If the framework is correct, provinces experiencing the sharpest transfer cuts should exhibit increased democratic competition in the next electoral cycle (2027 provincial elections). This prediction is registered here for future empirical validation.</w:t>
      </w:r>
    </w:p>
    <w:p>
      <w:pPr>
        <w:spacing w:after="120" w:line="480"/>
        <w:ind w:firstLine="720"/>
        <w:jc w:val="both"/>
      </w:pPr>
      <w:r>
        <w:rPr>
          <w:rFonts w:ascii="Times New Roman" w:cs="Times New Roman" w:eastAsia="Times New Roman" w:hAnsi="Times New Roman"/>
          <w:b/>
          <w:bCs/>
          <w:sz w:val="24"/>
          <w:szCs w:val="24"/>
        </w:rPr>
        <w:t xml:space="preserve">Future research priority 3: International FSPI application.</w:t>
      </w:r>
      <w:r>
        <w:rPr>
          <w:rFonts w:ascii="Times New Roman" w:cs="Times New Roman" w:eastAsia="Times New Roman" w:hAnsi="Times New Roman"/>
          <w:sz w:val="24"/>
          <w:szCs w:val="24"/>
        </w:rPr>
        <w:t xml:space="preserve"> The FSPI framework should be tested in other federal systems exhibiting subnational democratic variation: Brazil (FPM dependence and municipal governance quality), India (post-GST state fiscal autonomy and governance indicators), Mexico (participaciones federales and subnational authoritarianism), and Russia (federal transfers and regional regime type). Cross-national replication would establish whether the FSPI-democracy relationship is a universal feature of fiscal federalism or a pattern specific to Argentina's institutional context.</w:t>
      </w:r>
    </w:p>
    <w:p>
      <w:pPr>
        <w:spacing w:after="120" w:line="480"/>
        <w:ind w:firstLine="720"/>
        <w:jc w:val="both"/>
      </w:pPr>
      <w:r>
        <w:rPr>
          <w:rFonts w:ascii="Times New Roman" w:cs="Times New Roman" w:eastAsia="Times New Roman" w:hAnsi="Times New Roman"/>
          <w:b/>
          <w:bCs/>
          <w:sz w:val="24"/>
          <w:szCs w:val="24"/>
        </w:rPr>
        <w:t xml:space="preserve">Future research priority 4: Formal exaptation model.</w:t>
      </w:r>
      <w:r>
        <w:rPr>
          <w:rFonts w:ascii="Times New Roman" w:cs="Times New Roman" w:eastAsia="Times New Roman" w:hAnsi="Times New Roman"/>
          <w:sz w:val="24"/>
          <w:szCs w:val="24"/>
        </w:rPr>
        <w:t xml:space="preserve"> The exaptation thesis should be formalized as a two-stage evolutionary game in which the governor chooses between "develop private sector" (which increases FSPI and reduces political control) and "expand public employment" (which maintains low FSPI and preserves political hegemony). Under transfer dependence, the second strategy should be evolutionarily stable. This formalization would connect the exaptation thesis to the mainstream ESS literature and provide testable equilibrium predictions.</w:t>
      </w:r>
    </w:p>
    <w:p>
      <w:pPr>
        <w:pStyle w:val="Heading2"/>
        <w:spacing w:after="200" w:before="360" w:line="480"/>
      </w:pPr>
      <w:r>
        <w:rPr>
          <w:rFonts w:ascii="Times New Roman" w:cs="Times New Roman" w:eastAsia="Times New Roman" w:hAnsi="Times New Roman"/>
          <w:b/>
          <w:bCs/>
          <w:sz w:val="26"/>
          <w:szCs w:val="26"/>
        </w:rPr>
        <w:t xml:space="preserve">APPENDIX C: RELATIONSHIP TO COMPANION PAPERS</w:t>
      </w:r>
    </w:p>
    <w:p>
      <w:pPr>
        <w:spacing w:after="120" w:line="480"/>
        <w:ind w:firstLine="720"/>
        <w:jc w:val="both"/>
      </w:pPr>
      <w:r>
        <w:rPr>
          <w:rFonts w:ascii="Times New Roman" w:cs="Times New Roman" w:eastAsia="Times New Roman" w:hAnsi="Times New Roman"/>
          <w:sz w:val="24"/>
          <w:szCs w:val="24"/>
        </w:rPr>
        <w:t xml:space="preserve">This paper is the third in a trilogy examining Argentina's fiscal architecture through an evolutionary institutional lens. The trilogy's structure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Paper</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Question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Answer</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Key Metric</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Paper 1: "Argentina's Fiscal Lock-in" (Lerer, 2025a)</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Why is fiscal reform impossible?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The tax system is an extended phenotype: a self-perpetuating ESE with multi-level lock-in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CLI_14bis = 0.89; Fiscal Trilemma</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Paper 3: "Subsidized Stasis" (this paper)</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What is the cost of the impossibility?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Democratic degradation via exapted transfers that eliminate fiscal selection pressure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FSPI; CLI_copart = 0.997</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Paper 2: "Climbing Mount Improbable" (Lerer, 2025b)</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How can reform succeed?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Gradual transition via external scaffolding, not shock therapy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P(reform) = 35-58% with IMF guarantee fund</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The reading order that best serves comprehension is 1→3→2: the diagnosis (Paper 1) establishes that reform is impossible under current conditions; the cost analysis (this paper) demonstrates why reform is </w:t>
      </w:r>
      <w:r>
        <w:rPr>
          <w:rFonts w:ascii="Times New Roman" w:cs="Times New Roman" w:eastAsia="Times New Roman" w:hAnsi="Times New Roman"/>
          <w:i/>
          <w:iCs/>
          <w:sz w:val="24"/>
          <w:szCs w:val="24"/>
        </w:rPr>
        <w:t xml:space="preserve">urgent</w:t>
      </w:r>
      <w:r>
        <w:rPr>
          <w:rFonts w:ascii="Times New Roman" w:cs="Times New Roman" w:eastAsia="Times New Roman" w:hAnsi="Times New Roman"/>
          <w:sz w:val="24"/>
          <w:szCs w:val="24"/>
        </w:rPr>
        <w:t xml:space="preserve"> despite its impossibility; and the prescription (Paper 2) shows how the impossibility can be circumvented through cumulative selection. Together, the three papers argue that Argentina's fiscal federalism is not merely inefficient but democratically destructive, not merely locked in but constitutionally unreformable, and not merely resistant to shock therapy but potentially amenable to gradual scaffolded transition—if the political will and external support exist to undertake it.</w:t>
      </w:r>
    </w:p>
    <w:p>
      <w:pPr>
        <w:pStyle w:val="Heading2"/>
        <w:spacing w:after="200" w:before="360" w:line="480"/>
      </w:pPr>
      <w:r>
        <w:rPr>
          <w:rFonts w:ascii="Times New Roman" w:cs="Times New Roman" w:eastAsia="Times New Roman" w:hAnsi="Times New Roman"/>
          <w:b/>
          <w:bCs/>
          <w:sz w:val="26"/>
          <w:szCs w:val="26"/>
        </w:rPr>
        <w:t xml:space="preserve">REFERENCES</w:t>
      </w:r>
    </w:p>
    <w:p>
      <w:pPr>
        <w:spacing w:after="120" w:line="480"/>
        <w:ind w:firstLine="720"/>
        <w:jc w:val="both"/>
      </w:pPr>
      <w:r>
        <w:rPr>
          <w:rFonts w:ascii="Times New Roman" w:cs="Times New Roman" w:eastAsia="Times New Roman" w:hAnsi="Times New Roman"/>
          <w:sz w:val="24"/>
          <w:szCs w:val="24"/>
        </w:rPr>
        <w:t xml:space="preserve">Baumgartner, F.R. &amp; Jones, B.D. (1993). </w:t>
      </w:r>
      <w:r>
        <w:rPr>
          <w:rFonts w:ascii="Times New Roman" w:cs="Times New Roman" w:eastAsia="Times New Roman" w:hAnsi="Times New Roman"/>
          <w:i/>
          <w:iCs/>
          <w:sz w:val="24"/>
          <w:szCs w:val="24"/>
        </w:rPr>
        <w:t xml:space="preserve">Agendas and Instability in American Politics.</w:t>
      </w:r>
      <w:r>
        <w:rPr>
          <w:rFonts w:ascii="Times New Roman" w:cs="Times New Roman" w:eastAsia="Times New Roman" w:hAnsi="Times New Roman"/>
          <w:sz w:val="24"/>
          <w:szCs w:val="24"/>
        </w:rPr>
        <w:t xml:space="preserve"> University of Chicago Press.</w:t>
      </w:r>
    </w:p>
    <w:p>
      <w:pPr>
        <w:spacing w:after="120" w:line="480"/>
        <w:ind w:firstLine="720"/>
        <w:jc w:val="both"/>
      </w:pPr>
      <w:r>
        <w:rPr>
          <w:rFonts w:ascii="Times New Roman" w:cs="Times New Roman" w:eastAsia="Times New Roman" w:hAnsi="Times New Roman"/>
          <w:sz w:val="24"/>
          <w:szCs w:val="24"/>
        </w:rPr>
        <w:t xml:space="preserve">Bonvecchi, A. &amp; Lodola, G. (2011). "The Dual Logic of Intergovernmental Transfers." </w:t>
      </w:r>
      <w:r>
        <w:rPr>
          <w:rFonts w:ascii="Times New Roman" w:cs="Times New Roman" w:eastAsia="Times New Roman" w:hAnsi="Times New Roman"/>
          <w:i/>
          <w:iCs/>
          <w:sz w:val="24"/>
          <w:szCs w:val="24"/>
        </w:rPr>
        <w:t xml:space="preserve">Latin American Politics and Society</w:t>
      </w:r>
      <w:r>
        <w:rPr>
          <w:rFonts w:ascii="Times New Roman" w:cs="Times New Roman" w:eastAsia="Times New Roman" w:hAnsi="Times New Roman"/>
          <w:sz w:val="24"/>
          <w:szCs w:val="24"/>
        </w:rPr>
        <w:t xml:space="preserve">, 53(1).</w:t>
      </w:r>
    </w:p>
    <w:p>
      <w:pPr>
        <w:spacing w:after="120" w:line="480"/>
        <w:ind w:firstLine="720"/>
        <w:jc w:val="both"/>
      </w:pPr>
      <w:r>
        <w:rPr>
          <w:rFonts w:ascii="Times New Roman" w:cs="Times New Roman" w:eastAsia="Times New Roman" w:hAnsi="Times New Roman"/>
          <w:sz w:val="24"/>
          <w:szCs w:val="24"/>
        </w:rPr>
        <w:t xml:space="preserve">Brennan, G. &amp; Buchanan, J. (1980). </w:t>
      </w:r>
      <w:r>
        <w:rPr>
          <w:rFonts w:ascii="Times New Roman" w:cs="Times New Roman" w:eastAsia="Times New Roman" w:hAnsi="Times New Roman"/>
          <w:i/>
          <w:iCs/>
          <w:sz w:val="24"/>
          <w:szCs w:val="24"/>
        </w:rPr>
        <w:t xml:space="preserve">The Power to Tax: Analytical Foundations of a Fiscal Constitution.</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Brusco, V., Nazareno, M. &amp; Stokes, S. (2004). "Vote Buying in Argentina." </w:t>
      </w:r>
      <w:r>
        <w:rPr>
          <w:rFonts w:ascii="Times New Roman" w:cs="Times New Roman" w:eastAsia="Times New Roman" w:hAnsi="Times New Roman"/>
          <w:i/>
          <w:iCs/>
          <w:sz w:val="24"/>
          <w:szCs w:val="24"/>
        </w:rPr>
        <w:t xml:space="preserve">Latin American Research Review</w:t>
      </w:r>
      <w:r>
        <w:rPr>
          <w:rFonts w:ascii="Times New Roman" w:cs="Times New Roman" w:eastAsia="Times New Roman" w:hAnsi="Times New Roman"/>
          <w:sz w:val="24"/>
          <w:szCs w:val="24"/>
        </w:rPr>
        <w:t xml:space="preserve">, 39(2): 66–88.</w:t>
      </w:r>
    </w:p>
    <w:p>
      <w:pPr>
        <w:spacing w:after="120" w:line="480"/>
        <w:ind w:firstLine="720"/>
        <w:jc w:val="both"/>
      </w:pPr>
      <w:r>
        <w:rPr>
          <w:rFonts w:ascii="Times New Roman" w:cs="Times New Roman" w:eastAsia="Times New Roman" w:hAnsi="Times New Roman"/>
          <w:sz w:val="24"/>
          <w:szCs w:val="24"/>
        </w:rPr>
        <w:t xml:space="preserve">Calvo, E. &amp; Murillo, M.V. (2004). "Who Delivers? Partisan Clients in the Argentine Electoral Market." </w:t>
      </w:r>
      <w:r>
        <w:rPr>
          <w:rFonts w:ascii="Times New Roman" w:cs="Times New Roman" w:eastAsia="Times New Roman" w:hAnsi="Times New Roman"/>
          <w:i/>
          <w:iCs/>
          <w:sz w:val="24"/>
          <w:szCs w:val="24"/>
        </w:rPr>
        <w:t xml:space="preserve">American Journal of Political Science</w:t>
      </w:r>
      <w:r>
        <w:rPr>
          <w:rFonts w:ascii="Times New Roman" w:cs="Times New Roman" w:eastAsia="Times New Roman" w:hAnsi="Times New Roman"/>
          <w:sz w:val="24"/>
          <w:szCs w:val="24"/>
        </w:rPr>
        <w:t xml:space="preserve">, 48(4): 742–757.</w:t>
      </w:r>
    </w:p>
    <w:p>
      <w:pPr>
        <w:spacing w:after="120" w:line="480"/>
        <w:ind w:firstLine="720"/>
        <w:jc w:val="both"/>
      </w:pPr>
      <w:r>
        <w:rPr>
          <w:rFonts w:ascii="Times New Roman" w:cs="Times New Roman" w:eastAsia="Times New Roman" w:hAnsi="Times New Roman"/>
          <w:sz w:val="24"/>
          <w:szCs w:val="24"/>
        </w:rPr>
        <w:t xml:space="preserve">Capello, M., Giuliodori, R. &amp; Iglesias, A. (2019). "Los determinantes del empleo público en las provincias argentinas." Paper presented at AAEP.</w:t>
      </w:r>
    </w:p>
    <w:p>
      <w:pPr>
        <w:spacing w:after="120" w:line="480"/>
        <w:ind w:firstLine="720"/>
        <w:jc w:val="both"/>
      </w:pPr>
      <w:r>
        <w:rPr>
          <w:rFonts w:ascii="Times New Roman" w:cs="Times New Roman" w:eastAsia="Times New Roman" w:hAnsi="Times New Roman"/>
          <w:sz w:val="24"/>
          <w:szCs w:val="24"/>
        </w:rPr>
        <w:t xml:space="preserve">Gervasoni, C. (2010). "A Rentier Theory of Subnational Regimes: Fiscal Federalism, Democracy, and Authoritarianism in the Argentine Provinces." </w:t>
      </w:r>
      <w:r>
        <w:rPr>
          <w:rFonts w:ascii="Times New Roman" w:cs="Times New Roman" w:eastAsia="Times New Roman" w:hAnsi="Times New Roman"/>
          <w:i/>
          <w:iCs/>
          <w:sz w:val="24"/>
          <w:szCs w:val="24"/>
        </w:rPr>
        <w:t xml:space="preserve">World Politics</w:t>
      </w:r>
      <w:r>
        <w:rPr>
          <w:rFonts w:ascii="Times New Roman" w:cs="Times New Roman" w:eastAsia="Times New Roman" w:hAnsi="Times New Roman"/>
          <w:sz w:val="24"/>
          <w:szCs w:val="24"/>
        </w:rPr>
        <w:t xml:space="preserve">, 62(2): 302–340.</w:t>
      </w:r>
    </w:p>
    <w:p>
      <w:pPr>
        <w:spacing w:after="120" w:line="480"/>
        <w:ind w:firstLine="720"/>
        <w:jc w:val="both"/>
      </w:pPr>
      <w:r>
        <w:rPr>
          <w:rFonts w:ascii="Times New Roman" w:cs="Times New Roman" w:eastAsia="Times New Roman" w:hAnsi="Times New Roman"/>
          <w:sz w:val="24"/>
          <w:szCs w:val="24"/>
        </w:rPr>
        <w:t xml:space="preserve">Gervasoni, C. (2018). </w:t>
      </w:r>
      <w:r>
        <w:rPr>
          <w:rFonts w:ascii="Times New Roman" w:cs="Times New Roman" w:eastAsia="Times New Roman" w:hAnsi="Times New Roman"/>
          <w:i/>
          <w:iCs/>
          <w:sz w:val="24"/>
          <w:szCs w:val="24"/>
        </w:rPr>
        <w:t xml:space="preserve">Hybrid Regimes within Democracies: Fiscal Federalism and Subnational Rentier States.</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Gervasoni, C. (2023). "Subnational Democracy in Argentina: Trends and Determinants." </w:t>
      </w:r>
      <w:r>
        <w:rPr>
          <w:rFonts w:ascii="Times New Roman" w:cs="Times New Roman" w:eastAsia="Times New Roman" w:hAnsi="Times New Roman"/>
          <w:i/>
          <w:iCs/>
          <w:sz w:val="24"/>
          <w:szCs w:val="24"/>
        </w:rPr>
        <w:t xml:space="preserve">Journal of Politics in Latin America</w:t>
      </w:r>
      <w:r>
        <w:rPr>
          <w:rFonts w:ascii="Times New Roman" w:cs="Times New Roman" w:eastAsia="Times New Roman" w:hAnsi="Times New Roman"/>
          <w:sz w:val="24"/>
          <w:szCs w:val="24"/>
        </w:rPr>
        <w:t xml:space="preserve">, 15(1).</w:t>
      </w:r>
    </w:p>
    <w:p>
      <w:pPr>
        <w:spacing w:after="120" w:line="480"/>
        <w:ind w:firstLine="720"/>
        <w:jc w:val="both"/>
      </w:pPr>
      <w:r>
        <w:rPr>
          <w:rFonts w:ascii="Times New Roman" w:cs="Times New Roman" w:eastAsia="Times New Roman" w:hAnsi="Times New Roman"/>
          <w:sz w:val="24"/>
          <w:szCs w:val="24"/>
        </w:rPr>
        <w:t xml:space="preserve">Gould, S.J. &amp; Vrba, E.S. (1982). "Exaptation—A Missing Term in the Science of Form." </w:t>
      </w:r>
      <w:r>
        <w:rPr>
          <w:rFonts w:ascii="Times New Roman" w:cs="Times New Roman" w:eastAsia="Times New Roman" w:hAnsi="Times New Roman"/>
          <w:i/>
          <w:iCs/>
          <w:sz w:val="24"/>
          <w:szCs w:val="24"/>
        </w:rPr>
        <w:t xml:space="preserve">Paleobiology</w:t>
      </w:r>
      <w:r>
        <w:rPr>
          <w:rFonts w:ascii="Times New Roman" w:cs="Times New Roman" w:eastAsia="Times New Roman" w:hAnsi="Times New Roman"/>
          <w:sz w:val="24"/>
          <w:szCs w:val="24"/>
        </w:rPr>
        <w:t xml:space="preserve">, 8(1): 4–15.</w:t>
      </w:r>
    </w:p>
    <w:p>
      <w:pPr>
        <w:spacing w:after="120" w:line="480"/>
        <w:ind w:firstLine="720"/>
        <w:jc w:val="both"/>
      </w:pPr>
      <w:r>
        <w:rPr>
          <w:rFonts w:ascii="Times New Roman" w:cs="Times New Roman" w:eastAsia="Times New Roman" w:hAnsi="Times New Roman"/>
          <w:sz w:val="24"/>
          <w:szCs w:val="24"/>
        </w:rPr>
        <w:t xml:space="preserve">Hodgson, G.M. &amp; Knudsen, T. (2010). </w:t>
      </w:r>
      <w:r>
        <w:rPr>
          <w:rFonts w:ascii="Times New Roman" w:cs="Times New Roman" w:eastAsia="Times New Roman" w:hAnsi="Times New Roman"/>
          <w:i/>
          <w:iCs/>
          <w:sz w:val="24"/>
          <w:szCs w:val="24"/>
        </w:rPr>
        <w:t xml:space="preserve">Darwin's Conjecture: The Search for General Principles of Social and Economic Evolution.</w:t>
      </w:r>
      <w:r>
        <w:rPr>
          <w:rFonts w:ascii="Times New Roman" w:cs="Times New Roman" w:eastAsia="Times New Roman" w:hAnsi="Times New Roman"/>
          <w:sz w:val="24"/>
          <w:szCs w:val="24"/>
        </w:rPr>
        <w:t xml:space="preserve"> University of Chicago Press.</w:t>
      </w:r>
    </w:p>
    <w:p>
      <w:pPr>
        <w:spacing w:after="120" w:line="480"/>
        <w:ind w:firstLine="720"/>
        <w:jc w:val="both"/>
      </w:pPr>
      <w:r>
        <w:rPr>
          <w:rFonts w:ascii="Times New Roman" w:cs="Times New Roman" w:eastAsia="Times New Roman" w:hAnsi="Times New Roman"/>
          <w:sz w:val="24"/>
          <w:szCs w:val="24"/>
        </w:rPr>
        <w:t xml:space="preserve">Kornai, J. (1980). </w:t>
      </w:r>
      <w:r>
        <w:rPr>
          <w:rFonts w:ascii="Times New Roman" w:cs="Times New Roman" w:eastAsia="Times New Roman" w:hAnsi="Times New Roman"/>
          <w:i/>
          <w:iCs/>
          <w:sz w:val="24"/>
          <w:szCs w:val="24"/>
        </w:rPr>
        <w:t xml:space="preserve">Economics of Shortage.</w:t>
      </w:r>
      <w:r>
        <w:rPr>
          <w:rFonts w:ascii="Times New Roman" w:cs="Times New Roman" w:eastAsia="Times New Roman" w:hAnsi="Times New Roman"/>
          <w:sz w:val="24"/>
          <w:szCs w:val="24"/>
        </w:rPr>
        <w:t xml:space="preserve"> North-Holland.</w:t>
      </w:r>
    </w:p>
    <w:p>
      <w:pPr>
        <w:spacing w:after="120" w:line="480"/>
        <w:ind w:firstLine="720"/>
        <w:jc w:val="both"/>
      </w:pPr>
      <w:r>
        <w:rPr>
          <w:rFonts w:ascii="Times New Roman" w:cs="Times New Roman" w:eastAsia="Times New Roman" w:hAnsi="Times New Roman"/>
          <w:sz w:val="24"/>
          <w:szCs w:val="24"/>
        </w:rPr>
        <w:t xml:space="preserve">Kornai, J. (2014). "The Soft Budget Constraint." </w:t>
      </w:r>
      <w:r>
        <w:rPr>
          <w:rFonts w:ascii="Times New Roman" w:cs="Times New Roman" w:eastAsia="Times New Roman" w:hAnsi="Times New Roman"/>
          <w:i/>
          <w:iCs/>
          <w:sz w:val="24"/>
          <w:szCs w:val="24"/>
        </w:rPr>
        <w:t xml:space="preserve">Acta Oeconomica</w:t>
      </w:r>
      <w:r>
        <w:rPr>
          <w:rFonts w:ascii="Times New Roman" w:cs="Times New Roman" w:eastAsia="Times New Roman" w:hAnsi="Times New Roman"/>
          <w:sz w:val="24"/>
          <w:szCs w:val="24"/>
        </w:rPr>
        <w:t xml:space="preserve">, 64(S1): 25–79.</w:t>
      </w:r>
    </w:p>
    <w:p>
      <w:pPr>
        <w:spacing w:after="120" w:line="480"/>
        <w:ind w:firstLine="720"/>
        <w:jc w:val="both"/>
      </w:pPr>
      <w:r>
        <w:rPr>
          <w:rFonts w:ascii="Times New Roman" w:cs="Times New Roman" w:eastAsia="Times New Roman" w:hAnsi="Times New Roman"/>
          <w:sz w:val="24"/>
          <w:szCs w:val="24"/>
        </w:rPr>
        <w:t xml:space="preserve">Lerer, I.A. (2025a). "Argentina's Fiscal Lock-in: Tax Reform as Extended Phenotype." SSRN Working Paper 5635152.</w:t>
      </w:r>
    </w:p>
    <w:p>
      <w:pPr>
        <w:spacing w:after="120" w:line="480"/>
        <w:ind w:firstLine="720"/>
        <w:jc w:val="both"/>
      </w:pPr>
      <w:r>
        <w:rPr>
          <w:rFonts w:ascii="Times New Roman" w:cs="Times New Roman" w:eastAsia="Times New Roman" w:hAnsi="Times New Roman"/>
          <w:sz w:val="24"/>
          <w:szCs w:val="24"/>
        </w:rPr>
        <w:t xml:space="preserve">Lerer, I.A. (2025b). "Climbing Mount Improbable: A Viable Path for Argentina's Fiscal Reform through IMF-Backed Gradual Transition." SSRN Working Paper 5645070.</w:t>
      </w:r>
    </w:p>
    <w:p>
      <w:pPr>
        <w:spacing w:after="120" w:line="480"/>
        <w:ind w:firstLine="720"/>
        <w:jc w:val="both"/>
      </w:pPr>
      <w:r>
        <w:rPr>
          <w:rFonts w:ascii="Times New Roman" w:cs="Times New Roman" w:eastAsia="Times New Roman" w:hAnsi="Times New Roman"/>
          <w:sz w:val="24"/>
          <w:szCs w:val="24"/>
        </w:rPr>
        <w:t xml:space="preserve">Oates, W.E. (1972). </w:t>
      </w:r>
      <w:r>
        <w:rPr>
          <w:rFonts w:ascii="Times New Roman" w:cs="Times New Roman" w:eastAsia="Times New Roman" w:hAnsi="Times New Roman"/>
          <w:i/>
          <w:iCs/>
          <w:sz w:val="24"/>
          <w:szCs w:val="24"/>
        </w:rPr>
        <w:t xml:space="preserve">Fiscal Federalism.</w:t>
      </w:r>
      <w:r>
        <w:rPr>
          <w:rFonts w:ascii="Times New Roman" w:cs="Times New Roman" w:eastAsia="Times New Roman" w:hAnsi="Times New Roman"/>
          <w:sz w:val="24"/>
          <w:szCs w:val="24"/>
        </w:rPr>
        <w:t xml:space="preserve"> Harcourt Brace Jovanovich.</w:t>
      </w:r>
    </w:p>
    <w:p>
      <w:pPr>
        <w:spacing w:after="120" w:line="480"/>
        <w:ind w:firstLine="720"/>
        <w:jc w:val="both"/>
      </w:pPr>
      <w:r>
        <w:rPr>
          <w:rFonts w:ascii="Times New Roman" w:cs="Times New Roman" w:eastAsia="Times New Roman" w:hAnsi="Times New Roman"/>
          <w:sz w:val="24"/>
          <w:szCs w:val="24"/>
        </w:rPr>
        <w:t xml:space="preserve">Oates, W.E. (2005). "Toward a Second-Generation Theory of Fiscal Federalism." </w:t>
      </w:r>
      <w:r>
        <w:rPr>
          <w:rFonts w:ascii="Times New Roman" w:cs="Times New Roman" w:eastAsia="Times New Roman" w:hAnsi="Times New Roman"/>
          <w:i/>
          <w:iCs/>
          <w:sz w:val="24"/>
          <w:szCs w:val="24"/>
        </w:rPr>
        <w:t xml:space="preserve">International Tax and Public Finance</w:t>
      </w:r>
      <w:r>
        <w:rPr>
          <w:rFonts w:ascii="Times New Roman" w:cs="Times New Roman" w:eastAsia="Times New Roman" w:hAnsi="Times New Roman"/>
          <w:sz w:val="24"/>
          <w:szCs w:val="24"/>
        </w:rPr>
        <w:t xml:space="preserve">, 12: 349–373.</w:t>
      </w:r>
    </w:p>
    <w:p>
      <w:pPr>
        <w:spacing w:after="120" w:line="480"/>
        <w:ind w:firstLine="720"/>
        <w:jc w:val="both"/>
      </w:pPr>
      <w:r>
        <w:rPr>
          <w:rFonts w:ascii="Times New Roman" w:cs="Times New Roman" w:eastAsia="Times New Roman" w:hAnsi="Times New Roman"/>
          <w:sz w:val="24"/>
          <w:szCs w:val="24"/>
        </w:rPr>
        <w:t xml:space="preserve">Rodden, J. (2006). </w:t>
      </w:r>
      <w:r>
        <w:rPr>
          <w:rFonts w:ascii="Times New Roman" w:cs="Times New Roman" w:eastAsia="Times New Roman" w:hAnsi="Times New Roman"/>
          <w:i/>
          <w:iCs/>
          <w:sz w:val="24"/>
          <w:szCs w:val="24"/>
        </w:rPr>
        <w:t xml:space="preserve">Hamilton's Paradox: The Promise and Peril of Fiscal Federalism.</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Ronconi, L. &amp; Zarazaga, R. (2019). "Distributive Politics at the Local Level: Peronist Brokers and Social Programs." Working Paper, Universidad de San Andrés.</w:t>
      </w:r>
    </w:p>
    <w:p>
      <w:pPr>
        <w:spacing w:after="120" w:line="480"/>
        <w:ind w:firstLine="720"/>
        <w:jc w:val="both"/>
      </w:pPr>
      <w:r>
        <w:rPr>
          <w:rFonts w:ascii="Times New Roman" w:cs="Times New Roman" w:eastAsia="Times New Roman" w:hAnsi="Times New Roman"/>
          <w:sz w:val="24"/>
          <w:szCs w:val="24"/>
        </w:rPr>
        <w:t xml:space="preserve">Salmon, P. (2006). "Horizontal Competition Among Governments." In E. Ahmad &amp; G. Brosio (Eds.), </w:t>
      </w:r>
      <w:r>
        <w:rPr>
          <w:rFonts w:ascii="Times New Roman" w:cs="Times New Roman" w:eastAsia="Times New Roman" w:hAnsi="Times New Roman"/>
          <w:i/>
          <w:iCs/>
          <w:sz w:val="24"/>
          <w:szCs w:val="24"/>
        </w:rPr>
        <w:t xml:space="preserve">Handbook of Fiscal Federalism.</w:t>
      </w:r>
      <w:r>
        <w:rPr>
          <w:rFonts w:ascii="Times New Roman" w:cs="Times New Roman" w:eastAsia="Times New Roman" w:hAnsi="Times New Roman"/>
          <w:sz w:val="24"/>
          <w:szCs w:val="24"/>
        </w:rPr>
        <w:t xml:space="preserve"> Edward Elgar.</w:t>
      </w:r>
    </w:p>
    <w:p>
      <w:pPr>
        <w:spacing w:after="120" w:line="480"/>
        <w:ind w:firstLine="720"/>
        <w:jc w:val="both"/>
      </w:pPr>
      <w:r>
        <w:rPr>
          <w:rFonts w:ascii="Times New Roman" w:cs="Times New Roman" w:eastAsia="Times New Roman" w:hAnsi="Times New Roman"/>
          <w:sz w:val="24"/>
          <w:szCs w:val="24"/>
        </w:rPr>
        <w:t xml:space="preserve">Scharpf, F.W. (1988). "The Joint-Decision Trap: Lessons from German Federalism and European Integration." </w:t>
      </w:r>
      <w:r>
        <w:rPr>
          <w:rFonts w:ascii="Times New Roman" w:cs="Times New Roman" w:eastAsia="Times New Roman" w:hAnsi="Times New Roman"/>
          <w:i/>
          <w:iCs/>
          <w:sz w:val="24"/>
          <w:szCs w:val="24"/>
        </w:rPr>
        <w:t xml:space="preserve">Public Administration</w:t>
      </w:r>
      <w:r>
        <w:rPr>
          <w:rFonts w:ascii="Times New Roman" w:cs="Times New Roman" w:eastAsia="Times New Roman" w:hAnsi="Times New Roman"/>
          <w:sz w:val="24"/>
          <w:szCs w:val="24"/>
        </w:rPr>
        <w:t xml:space="preserve">, 66(3): 239–278.</w:t>
      </w:r>
    </w:p>
    <w:p>
      <w:pPr>
        <w:spacing w:after="120" w:line="480"/>
        <w:ind w:firstLine="720"/>
        <w:jc w:val="both"/>
      </w:pPr>
      <w:r>
        <w:rPr>
          <w:rFonts w:ascii="Times New Roman" w:cs="Times New Roman" w:eastAsia="Times New Roman" w:hAnsi="Times New Roman"/>
          <w:sz w:val="24"/>
          <w:szCs w:val="24"/>
        </w:rPr>
        <w:t xml:space="preserve">Scott, J.C. (1990). </w:t>
      </w:r>
      <w:r>
        <w:rPr>
          <w:rFonts w:ascii="Times New Roman" w:cs="Times New Roman" w:eastAsia="Times New Roman" w:hAnsi="Times New Roman"/>
          <w:i/>
          <w:iCs/>
          <w:sz w:val="24"/>
          <w:szCs w:val="24"/>
        </w:rPr>
        <w:t xml:space="preserve">Domination and the Arts of Resistance: Hidden Transcripts.</w:t>
      </w:r>
      <w:r>
        <w:rPr>
          <w:rFonts w:ascii="Times New Roman" w:cs="Times New Roman" w:eastAsia="Times New Roman" w:hAnsi="Times New Roman"/>
          <w:sz w:val="24"/>
          <w:szCs w:val="24"/>
        </w:rPr>
        <w:t xml:space="preserve"> Yale University Press.</w:t>
      </w:r>
    </w:p>
    <w:p>
      <w:pPr>
        <w:spacing w:after="120" w:line="480"/>
        <w:ind w:firstLine="720"/>
        <w:jc w:val="both"/>
      </w:pPr>
      <w:r>
        <w:rPr>
          <w:rFonts w:ascii="Times New Roman" w:cs="Times New Roman" w:eastAsia="Times New Roman" w:hAnsi="Times New Roman"/>
          <w:sz w:val="24"/>
          <w:szCs w:val="24"/>
        </w:rPr>
        <w:t xml:space="preserve">Steinmo, S. (2008). "What is Historical Institutionalism?" In D. Della Porta &amp; M. Keating (Eds.), </w:t>
      </w:r>
      <w:r>
        <w:rPr>
          <w:rFonts w:ascii="Times New Roman" w:cs="Times New Roman" w:eastAsia="Times New Roman" w:hAnsi="Times New Roman"/>
          <w:i/>
          <w:iCs/>
          <w:sz w:val="24"/>
          <w:szCs w:val="24"/>
        </w:rPr>
        <w:t xml:space="preserve">Approaches and Methodologies in the Social Sciences.</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Streeck, W. &amp; Thelen, K. (2005). </w:t>
      </w:r>
      <w:r>
        <w:rPr>
          <w:rFonts w:ascii="Times New Roman" w:cs="Times New Roman" w:eastAsia="Times New Roman" w:hAnsi="Times New Roman"/>
          <w:i/>
          <w:iCs/>
          <w:sz w:val="24"/>
          <w:szCs w:val="24"/>
        </w:rPr>
        <w:t xml:space="preserve">Beyond Continuity: Institutional Change in Advanced Political Economies.</w:t>
      </w:r>
      <w:r>
        <w:rPr>
          <w:rFonts w:ascii="Times New Roman" w:cs="Times New Roman" w:eastAsia="Times New Roman" w:hAnsi="Times New Roman"/>
          <w:sz w:val="24"/>
          <w:szCs w:val="24"/>
        </w:rPr>
        <w:t xml:space="preserve"> Oxford University Press.</w:t>
      </w:r>
    </w:p>
    <w:p>
      <w:pPr>
        <w:spacing w:after="120" w:line="480"/>
        <w:ind w:firstLine="720"/>
        <w:jc w:val="both"/>
      </w:pPr>
      <w:r>
        <w:rPr>
          <w:rFonts w:ascii="Times New Roman" w:cs="Times New Roman" w:eastAsia="Times New Roman" w:hAnsi="Times New Roman"/>
          <w:sz w:val="24"/>
          <w:szCs w:val="24"/>
        </w:rPr>
        <w:t xml:space="preserve">Tiebout, C. (1956). "A Pure Theory of Local Expenditures." </w:t>
      </w:r>
      <w:r>
        <w:rPr>
          <w:rFonts w:ascii="Times New Roman" w:cs="Times New Roman" w:eastAsia="Times New Roman" w:hAnsi="Times New Roman"/>
          <w:i/>
          <w:iCs/>
          <w:sz w:val="24"/>
          <w:szCs w:val="24"/>
        </w:rPr>
        <w:t xml:space="preserve">Journal of Political Economy</w:t>
      </w:r>
      <w:r>
        <w:rPr>
          <w:rFonts w:ascii="Times New Roman" w:cs="Times New Roman" w:eastAsia="Times New Roman" w:hAnsi="Times New Roman"/>
          <w:sz w:val="24"/>
          <w:szCs w:val="24"/>
        </w:rPr>
        <w:t xml:space="preserve">, 64(5): 416–424.</w:t>
      </w:r>
    </w:p>
    <w:p>
      <w:pPr>
        <w:spacing w:after="120" w:line="480"/>
        <w:ind w:firstLine="720"/>
        <w:jc w:val="both"/>
      </w:pPr>
      <w:r>
        <w:rPr>
          <w:rFonts w:ascii="Times New Roman" w:cs="Times New Roman" w:eastAsia="Times New Roman" w:hAnsi="Times New Roman"/>
          <w:sz w:val="24"/>
          <w:szCs w:val="24"/>
        </w:rPr>
        <w:t xml:space="preserve">Vigneault, M. (2005). "Intergovernmental Fiscal Relations and the Soft Budget Constraint Problem." IIGR Working Paper 2005-2, Queen's University.</w:t>
      </w:r>
    </w:p>
    <w:p>
      <w:pPr>
        <w:spacing w:after="120" w:line="480"/>
        <w:ind w:firstLine="720"/>
        <w:jc w:val="both"/>
      </w:pPr>
      <w:r>
        <w:rPr>
          <w:rFonts w:ascii="Times New Roman" w:cs="Times New Roman" w:eastAsia="Times New Roman" w:hAnsi="Times New Roman"/>
          <w:sz w:val="24"/>
          <w:szCs w:val="24"/>
        </w:rPr>
        <w:t xml:space="preserve">Weitz-Shapiro, R. (2014). </w:t>
      </w:r>
      <w:r>
        <w:rPr>
          <w:rFonts w:ascii="Times New Roman" w:cs="Times New Roman" w:eastAsia="Times New Roman" w:hAnsi="Times New Roman"/>
          <w:i/>
          <w:iCs/>
          <w:sz w:val="24"/>
          <w:szCs w:val="24"/>
        </w:rPr>
        <w:t xml:space="preserve">Curbing Clientelism in Argentina: Politics, Poverty, and Social Policy.</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Wooders, M. (1999). "Multijurisdictional Economies, the Tiebout Hypothesis, and Sorting." </w:t>
      </w:r>
      <w:r>
        <w:rPr>
          <w:rFonts w:ascii="Times New Roman" w:cs="Times New Roman" w:eastAsia="Times New Roman" w:hAnsi="Times New Roman"/>
          <w:i/>
          <w:iCs/>
          <w:sz w:val="24"/>
          <w:szCs w:val="24"/>
        </w:rPr>
        <w:t xml:space="preserve">Proceedings of the National Academy of Sciences</w:t>
      </w:r>
      <w:r>
        <w:rPr>
          <w:rFonts w:ascii="Times New Roman" w:cs="Times New Roman" w:eastAsia="Times New Roman" w:hAnsi="Times New Roman"/>
          <w:sz w:val="24"/>
          <w:szCs w:val="24"/>
        </w:rPr>
        <w:t xml:space="preserve">, 96(19): 10585–10587.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Subsidized Stasis — Lerer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2026-03-24T02:45:41.827Z</dcterms:created>
  <dcterms:modified xsi:type="dcterms:W3CDTF">2026-03-24T02:45:41.830Z</dcterms:modified>
</cp:coreProperties>
</file>

<file path=docProps/custom.xml><?xml version="1.0" encoding="utf-8"?>
<Properties xmlns="http://schemas.openxmlformats.org/officeDocument/2006/custom-properties" xmlns:vt="http://schemas.openxmlformats.org/officeDocument/2006/docPropsVTypes"/>
</file>