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SILENT SPRAY</w:t>
      </w:r>
    </w:p>
    <w:p>
      <w:r>
        <w:t>Drop: Silent Spray</w:t>
      </w:r>
    </w:p>
    <w:p>
      <w:pPr>
        <w:pStyle w:val="Heading1"/>
      </w:pPr>
      <w:r>
        <w:t>Frase</w:t>
      </w:r>
    </w:p>
    <w:p>
      <w:r>
        <w:t>“Speak loud without saying a word.”</w:t>
      </w:r>
    </w:p>
    <w:p>
      <w:pPr>
        <w:pStyle w:val="Heading1"/>
      </w:pPr>
      <w:r>
        <w:t>Concepto</w:t>
      </w:r>
    </w:p>
    <w:p>
      <w:r>
        <w:t>Silent Spray representa la expresión urbana silenciosa: el contraste entre lo minimalista al frente y el caos creativo en la espalda. Inspirado en el graffiti callejero, transmite identidad, rebeldía y autenticidad sin necesidad de palabras.</w:t>
      </w:r>
    </w:p>
    <w:p>
      <w:pPr>
        <w:pStyle w:val="Heading1"/>
      </w:pPr>
      <w:r>
        <w:t>Diseño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16A2F-0C0C-4EE4-87D5-953D1BB41B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