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pPr>
    </w:p>
    <w:p>
      <w:pPr>
        <w:spacing w:after="360"/>
        <w:jc w:val="center"/>
      </w:pPr>
      <w:r>
        <w:rPr>
          <w:rFonts w:ascii="Calibri" w:hAnsi="Calibri"/>
          <w:b/>
          <w:color w:val="7A5A00"/>
          <w:sz w:val="20"/>
        </w:rPr>
        <w:t>TECHNICAL PROJECT REPORT</w:t>
      </w:r>
    </w:p>
    <w:p>
      <w:pPr>
        <w:spacing w:after="160"/>
        <w:jc w:val="center"/>
      </w:pPr>
      <w:r>
        <w:rPr>
          <w:rFonts w:ascii="Calibri" w:hAnsi="Calibri"/>
          <w:b/>
          <w:color w:val="0B2545"/>
          <w:sz w:val="64"/>
        </w:rPr>
        <w:t>Pulse</w:t>
      </w:r>
    </w:p>
    <w:p>
      <w:pPr>
        <w:spacing w:after="120"/>
        <w:jc w:val="center"/>
      </w:pPr>
      <w:r>
        <w:rPr>
          <w:rFonts w:ascii="Calibri" w:hAnsi="Calibri"/>
          <w:b w:val="0"/>
          <w:color w:val="1F4D78"/>
          <w:sz w:val="34"/>
        </w:rPr>
        <w:t>Service Monitoring Platform</w:t>
      </w:r>
    </w:p>
    <w:p>
      <w:pPr>
        <w:spacing w:after="1400"/>
        <w:jc w:val="center"/>
      </w:pPr>
      <w:r>
        <w:rPr>
          <w:rFonts w:ascii="Calibri" w:hAnsi="Calibri"/>
          <w:i/>
          <w:color w:val="667085"/>
          <w:sz w:val="22"/>
        </w:rPr>
        <w:t>Architecture, capabilities, security, deployment, quality, and roadmap assessment</w:t>
      </w:r>
    </w:p>
    <w:p>
      <w:pPr>
        <w:spacing w:after="360"/>
        <w:pBdr>
          <w:bottom w:val="single" w:sz="16" w:space="2" w:color="2E74B5"/>
        </w:pBdr>
      </w:pPr>
    </w:p>
    <w:p>
      <w:pPr>
        <w:spacing w:after="100"/>
        <w:jc w:val="center"/>
      </w:pPr>
      <w:r>
        <w:rPr>
          <w:rFonts w:ascii="Calibri" w:hAnsi="Calibri"/>
          <w:b/>
          <w:color w:val="0B2545"/>
          <w:sz w:val="22"/>
        </w:rPr>
        <w:t>Prepared 3 October 2026</w:t>
      </w:r>
    </w:p>
    <w:p>
      <w:pPr>
        <w:jc w:val="center"/>
      </w:pPr>
      <w:r>
        <w:rPr>
          <w:rFonts w:ascii="Calibri" w:hAnsi="Calibri"/>
          <w:color w:val="667085"/>
          <w:sz w:val="19"/>
        </w:rPr>
        <w:t>Based on the repository implementation, configuration, migrations, tests, and project documentation</w:t>
      </w:r>
    </w:p>
    <w:p>
      <w:r>
        <w:br w:type="page"/>
      </w:r>
    </w:p>
    <w:p>
      <w:pPr>
        <w:pStyle w:val="Heading1"/>
      </w:pPr>
      <w:r>
        <w:t>Executive summary</w:t>
      </w:r>
    </w:p>
    <w:tbl>
      <w:tblPr>
        <w:tblStyle w:val="TableGrid"/>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rPr>
          <w:tblHeader w:val="true"/>
        </w:trPr>
        <w:tc>
          <w:tcPr>
            <w:tcW w:type="dxa" w:w="9360"/>
            <w:tcMar>
              <w:top w:w="80" w:type="dxa"/>
              <w:start w:w="120" w:type="dxa"/>
              <w:bottom w:w="80" w:type="dxa"/>
              <w:end w:w="120" w:type="dxa"/>
            </w:tcMar>
            <w:vAlign w:val="center"/>
            <w:shd w:fill="F4F7FB"/>
          </w:tcPr>
          <w:p>
            <w:pPr>
              <w:spacing w:after="40"/>
            </w:pPr>
            <w:r>
              <w:rPr>
                <w:rFonts w:ascii="Calibri" w:hAnsi="Calibri"/>
                <w:b/>
                <w:color w:val="2E74B5"/>
                <w:sz w:val="22"/>
              </w:rPr>
              <w:t xml:space="preserve">Assessment  </w:t>
            </w:r>
            <w:r>
              <w:rPr>
                <w:rFonts w:ascii="Calibri" w:hAnsi="Calibri"/>
                <w:color w:val="202124"/>
                <w:sz w:val="22"/>
              </w:rPr>
              <w:t>Pulse is a coherent, production-shaped monitoring MVP built as a modular monolith. Its strongest qualities are a clear separation between availability incidents and telemetry alerts, commit-safe real-time delivery, and deliberate security controls around authentication and outbound endpoint checks.</w:t>
            </w:r>
          </w:p>
        </w:tc>
      </w:tr>
    </w:tbl>
    <w:p>
      <w:pPr>
        <w:spacing w:after="40"/>
      </w:pPr>
    </w:p>
    <w:p>
      <w:r>
        <w:rPr>
          <w:rFonts w:ascii="Calibri" w:hAnsi="Calibri"/>
          <w:color w:val="202124"/>
          <w:sz w:val="22"/>
        </w:rPr>
        <w:t>Pulse monitors registered public HTTP/HTTPS services and presents their state in a live browser dashboard. The backend performs real availability checks, stores response history, opens and resolves outage incidents, and optionally notifies a Telegram chat. In parallel, it generates simulated CPU and memory telemetry and evaluates per-service warning thresholds. PostgreSQL is the durable source of truth; STOMP/WebSocket events keep the user interface current between REST refreshes.</w:t>
      </w:r>
    </w:p>
    <w:p>
      <w:r>
        <w:rPr>
          <w:rFonts w:ascii="Calibri" w:hAnsi="Calibri"/>
          <w:color w:val="202124"/>
          <w:sz w:val="22"/>
        </w:rPr>
        <w:t>The architecture is intentionally compact. A React/Vite frontend, a Spring Boot backend, and PostgreSQL form the local stack. The backend remains one deployable application, but its packages separate API, domain services, persistence, security, WebSocket delivery, and notifications. This gives the project enough modularity for continued development without introducing the operational burden of microservices or a message broker.</w:t>
      </w:r>
    </w:p>
    <w:p>
      <w:pPr>
        <w:pStyle w:val="Heading2"/>
      </w:pPr>
      <w:r>
        <w:t>Project snapshot</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700"/>
        <w:gridCol w:w="6660"/>
      </w:tblGrid>
      <w:tr>
        <w:trPr>
          <w:tblHeader w:val="true"/>
        </w:trPr>
        <w:tc>
          <w:tcPr>
            <w:tcW w:type="dxa" w:w="2700"/>
            <w:shd w:fill="F2F4F7"/>
            <w:tcMar>
              <w:top w:w="80" w:type="dxa"/>
              <w:start w:w="120" w:type="dxa"/>
              <w:bottom w:w="80" w:type="dxa"/>
              <w:end w:w="120" w:type="dxa"/>
            </w:tcMar>
            <w:vAlign w:val="center"/>
          </w:tcPr>
          <w:p>
            <w:pPr>
              <w:spacing w:after="0"/>
              <w:jc w:val="left"/>
            </w:pPr>
            <w:r>
              <w:rPr>
                <w:rFonts w:ascii="Calibri" w:hAnsi="Calibri"/>
                <w:b/>
                <w:color w:val="0B2545"/>
                <w:sz w:val="19"/>
              </w:rPr>
              <w:t>Area</w:t>
            </w:r>
          </w:p>
        </w:tc>
        <w:tc>
          <w:tcPr>
            <w:tcW w:type="dxa" w:w="6660"/>
            <w:shd w:fill="F2F4F7"/>
            <w:tcMar>
              <w:top w:w="80" w:type="dxa"/>
              <w:start w:w="120" w:type="dxa"/>
              <w:bottom w:w="80" w:type="dxa"/>
              <w:end w:w="120" w:type="dxa"/>
            </w:tcMar>
            <w:vAlign w:val="center"/>
          </w:tcPr>
          <w:p>
            <w:pPr>
              <w:spacing w:after="0"/>
              <w:jc w:val="left"/>
            </w:pPr>
            <w:r>
              <w:rPr>
                <w:rFonts w:ascii="Calibri" w:hAnsi="Calibri"/>
                <w:b/>
                <w:color w:val="0B2545"/>
                <w:sz w:val="19"/>
              </w:rPr>
              <w:t>Current position</w:t>
            </w:r>
          </w:p>
        </w:tc>
      </w:tr>
      <w:tr>
        <w:tc>
          <w:tcPr>
            <w:tcW w:type="dxa" w:w="2700"/>
            <w:tcMar>
              <w:top w:w="80" w:type="dxa"/>
              <w:start w:w="120" w:type="dxa"/>
              <w:bottom w:w="80" w:type="dxa"/>
              <w:end w:w="120" w:type="dxa"/>
            </w:tcMar>
            <w:vAlign w:val="center"/>
          </w:tcPr>
          <w:p>
            <w:pPr>
              <w:spacing w:after="0" w:line="259" w:lineRule="auto"/>
              <w:jc w:val="left"/>
            </w:pPr>
            <w:r>
              <w:rPr>
                <w:rFonts w:ascii="Calibri" w:hAnsi="Calibri"/>
                <w:color w:val="202124"/>
                <w:sz w:val="19"/>
              </w:rPr>
              <w:t>Primary purpose</w:t>
            </w:r>
          </w:p>
        </w:tc>
        <w:tc>
          <w:tcPr>
            <w:tcW w:type="dxa" w:w="6660"/>
            <w:tcMar>
              <w:top w:w="80" w:type="dxa"/>
              <w:start w:w="120" w:type="dxa"/>
              <w:bottom w:w="80" w:type="dxa"/>
              <w:end w:w="120" w:type="dxa"/>
            </w:tcMar>
            <w:vAlign w:val="center"/>
          </w:tcPr>
          <w:p>
            <w:pPr>
              <w:spacing w:after="0" w:line="259" w:lineRule="auto"/>
              <w:jc w:val="left"/>
            </w:pPr>
            <w:r>
              <w:rPr>
                <w:rFonts w:ascii="Calibri" w:hAnsi="Calibri"/>
                <w:color w:val="202124"/>
                <w:sz w:val="19"/>
              </w:rPr>
              <w:t>Self-hosted availability monitoring with live incident tracking and simulated resource telemetry</w:t>
            </w:r>
          </w:p>
        </w:tc>
      </w:tr>
      <w:tr>
        <w:tc>
          <w:tcPr>
            <w:tcW w:type="dxa" w:w="2700"/>
            <w:tcMar>
              <w:top w:w="80" w:type="dxa"/>
              <w:start w:w="120" w:type="dxa"/>
              <w:bottom w:w="80" w:type="dxa"/>
              <w:end w:w="120" w:type="dxa"/>
            </w:tcMar>
            <w:vAlign w:val="center"/>
          </w:tcPr>
          <w:p>
            <w:pPr>
              <w:spacing w:after="0" w:line="259" w:lineRule="auto"/>
              <w:jc w:val="left"/>
            </w:pPr>
            <w:r>
              <w:rPr>
                <w:rFonts w:ascii="Calibri" w:hAnsi="Calibri"/>
                <w:color w:val="202124"/>
                <w:sz w:val="19"/>
              </w:rPr>
              <w:t>Application shape</w:t>
            </w:r>
          </w:p>
        </w:tc>
        <w:tc>
          <w:tcPr>
            <w:tcW w:type="dxa" w:w="6660"/>
            <w:tcMar>
              <w:top w:w="80" w:type="dxa"/>
              <w:start w:w="120" w:type="dxa"/>
              <w:bottom w:w="80" w:type="dxa"/>
              <w:end w:w="120" w:type="dxa"/>
            </w:tcMar>
            <w:vAlign w:val="center"/>
          </w:tcPr>
          <w:p>
            <w:pPr>
              <w:spacing w:after="0" w:line="259" w:lineRule="auto"/>
              <w:jc w:val="left"/>
            </w:pPr>
            <w:r>
              <w:rPr>
                <w:rFonts w:ascii="Calibri" w:hAnsi="Calibri"/>
                <w:color w:val="202124"/>
                <w:sz w:val="19"/>
              </w:rPr>
              <w:t>React SPA + Spring Boot modular monolith + PostgreSQL</w:t>
            </w:r>
          </w:p>
        </w:tc>
      </w:tr>
      <w:tr>
        <w:tc>
          <w:tcPr>
            <w:tcW w:type="dxa" w:w="2700"/>
            <w:tcMar>
              <w:top w:w="80" w:type="dxa"/>
              <w:start w:w="120" w:type="dxa"/>
              <w:bottom w:w="80" w:type="dxa"/>
              <w:end w:w="120" w:type="dxa"/>
            </w:tcMar>
            <w:vAlign w:val="center"/>
          </w:tcPr>
          <w:p>
            <w:pPr>
              <w:spacing w:after="0" w:line="259" w:lineRule="auto"/>
              <w:jc w:val="left"/>
            </w:pPr>
            <w:r>
              <w:rPr>
                <w:rFonts w:ascii="Calibri" w:hAnsi="Calibri"/>
                <w:color w:val="202124"/>
                <w:sz w:val="19"/>
              </w:rPr>
              <w:t>Real-time channel</w:t>
            </w:r>
          </w:p>
        </w:tc>
        <w:tc>
          <w:tcPr>
            <w:tcW w:type="dxa" w:w="6660"/>
            <w:tcMar>
              <w:top w:w="80" w:type="dxa"/>
              <w:start w:w="120" w:type="dxa"/>
              <w:bottom w:w="80" w:type="dxa"/>
              <w:end w:w="120" w:type="dxa"/>
            </w:tcMar>
            <w:vAlign w:val="center"/>
          </w:tcPr>
          <w:p>
            <w:pPr>
              <w:spacing w:after="0" w:line="259" w:lineRule="auto"/>
              <w:jc w:val="left"/>
            </w:pPr>
            <w:r>
              <w:rPr>
                <w:rFonts w:ascii="Calibri" w:hAnsi="Calibri"/>
                <w:color w:val="202124"/>
                <w:sz w:val="19"/>
              </w:rPr>
              <w:t>STOMP over WebSocket, with REST recovery after reconnect</w:t>
            </w:r>
          </w:p>
        </w:tc>
      </w:tr>
      <w:tr>
        <w:tc>
          <w:tcPr>
            <w:tcW w:type="dxa" w:w="2700"/>
            <w:tcMar>
              <w:top w:w="80" w:type="dxa"/>
              <w:start w:w="120" w:type="dxa"/>
              <w:bottom w:w="80" w:type="dxa"/>
              <w:end w:w="120" w:type="dxa"/>
            </w:tcMar>
            <w:vAlign w:val="center"/>
          </w:tcPr>
          <w:p>
            <w:pPr>
              <w:spacing w:after="0" w:line="259" w:lineRule="auto"/>
              <w:jc w:val="left"/>
            </w:pPr>
            <w:r>
              <w:rPr>
                <w:rFonts w:ascii="Calibri" w:hAnsi="Calibri"/>
                <w:color w:val="202124"/>
                <w:sz w:val="19"/>
              </w:rPr>
              <w:t>Security model</w:t>
            </w:r>
          </w:p>
        </w:tc>
        <w:tc>
          <w:tcPr>
            <w:tcW w:type="dxa" w:w="6660"/>
            <w:tcMar>
              <w:top w:w="80" w:type="dxa"/>
              <w:start w:w="120" w:type="dxa"/>
              <w:bottom w:w="80" w:type="dxa"/>
              <w:end w:w="120" w:type="dxa"/>
            </w:tcMar>
            <w:vAlign w:val="center"/>
          </w:tcPr>
          <w:p>
            <w:pPr>
              <w:spacing w:after="0" w:line="259" w:lineRule="auto"/>
              <w:jc w:val="left"/>
            </w:pPr>
            <w:r>
              <w:rPr>
                <w:rFonts w:ascii="Calibri" w:hAnsi="Calibri"/>
                <w:color w:val="202124"/>
                <w:sz w:val="19"/>
              </w:rPr>
              <w:t>One environment-configured user, BCrypt password hash, short-lived HMAC JWT</w:t>
            </w:r>
          </w:p>
        </w:tc>
      </w:tr>
      <w:tr>
        <w:tc>
          <w:tcPr>
            <w:tcW w:type="dxa" w:w="2700"/>
            <w:tcMar>
              <w:top w:w="80" w:type="dxa"/>
              <w:start w:w="120" w:type="dxa"/>
              <w:bottom w:w="80" w:type="dxa"/>
              <w:end w:w="120" w:type="dxa"/>
            </w:tcMar>
            <w:vAlign w:val="center"/>
          </w:tcPr>
          <w:p>
            <w:pPr>
              <w:spacing w:after="0" w:line="259" w:lineRule="auto"/>
              <w:jc w:val="left"/>
            </w:pPr>
            <w:r>
              <w:rPr>
                <w:rFonts w:ascii="Calibri" w:hAnsi="Calibri"/>
                <w:color w:val="202124"/>
                <w:sz w:val="19"/>
              </w:rPr>
              <w:t>External integration</w:t>
            </w:r>
          </w:p>
        </w:tc>
        <w:tc>
          <w:tcPr>
            <w:tcW w:type="dxa" w:w="6660"/>
            <w:tcMar>
              <w:top w:w="80" w:type="dxa"/>
              <w:start w:w="120" w:type="dxa"/>
              <w:bottom w:w="80" w:type="dxa"/>
              <w:end w:w="120" w:type="dxa"/>
            </w:tcMar>
            <w:vAlign w:val="center"/>
          </w:tcPr>
          <w:p>
            <w:pPr>
              <w:spacing w:after="0" w:line="259" w:lineRule="auto"/>
              <w:jc w:val="left"/>
            </w:pPr>
            <w:r>
              <w:rPr>
                <w:rFonts w:ascii="Calibri" w:hAnsi="Calibri"/>
                <w:color w:val="202124"/>
                <w:sz w:val="19"/>
              </w:rPr>
              <w:t>Telegram Bot API for optional incident and recovery notifications</w:t>
            </w:r>
          </w:p>
        </w:tc>
      </w:tr>
      <w:tr>
        <w:tc>
          <w:tcPr>
            <w:tcW w:type="dxa" w:w="2700"/>
            <w:tcMar>
              <w:top w:w="80" w:type="dxa"/>
              <w:start w:w="120" w:type="dxa"/>
              <w:bottom w:w="80" w:type="dxa"/>
              <w:end w:w="120" w:type="dxa"/>
            </w:tcMar>
            <w:vAlign w:val="center"/>
          </w:tcPr>
          <w:p>
            <w:pPr>
              <w:spacing w:after="0" w:line="259" w:lineRule="auto"/>
              <w:jc w:val="left"/>
            </w:pPr>
            <w:r>
              <w:rPr>
                <w:rFonts w:ascii="Calibri" w:hAnsi="Calibri"/>
                <w:color w:val="202124"/>
                <w:sz w:val="19"/>
              </w:rPr>
              <w:t>Deployment</w:t>
            </w:r>
          </w:p>
        </w:tc>
        <w:tc>
          <w:tcPr>
            <w:tcW w:type="dxa" w:w="6660"/>
            <w:tcMar>
              <w:top w:w="80" w:type="dxa"/>
              <w:start w:w="120" w:type="dxa"/>
              <w:bottom w:w="80" w:type="dxa"/>
              <w:end w:w="120" w:type="dxa"/>
            </w:tcMar>
            <w:vAlign w:val="center"/>
          </w:tcPr>
          <w:p>
            <w:pPr>
              <w:spacing w:after="0" w:line="259" w:lineRule="auto"/>
              <w:jc w:val="left"/>
            </w:pPr>
            <w:r>
              <w:rPr>
                <w:rFonts w:ascii="Calibri" w:hAnsi="Calibri"/>
                <w:color w:val="202124"/>
                <w:sz w:val="19"/>
              </w:rPr>
              <w:t>Local full-stack Compose and production-oriented backend/proxy Compose</w:t>
            </w:r>
          </w:p>
        </w:tc>
      </w:tr>
      <w:tr>
        <w:tc>
          <w:tcPr>
            <w:tcW w:type="dxa" w:w="2700"/>
            <w:tcMar>
              <w:top w:w="80" w:type="dxa"/>
              <w:start w:w="120" w:type="dxa"/>
              <w:bottom w:w="80" w:type="dxa"/>
              <w:end w:w="120" w:type="dxa"/>
            </w:tcMar>
            <w:vAlign w:val="center"/>
          </w:tcPr>
          <w:p>
            <w:pPr>
              <w:spacing w:after="0" w:line="259" w:lineRule="auto"/>
              <w:jc w:val="left"/>
            </w:pPr>
            <w:r>
              <w:rPr>
                <w:rFonts w:ascii="Calibri" w:hAnsi="Calibri"/>
                <w:color w:val="202124"/>
                <w:sz w:val="19"/>
              </w:rPr>
              <w:t>Repository tests</w:t>
            </w:r>
          </w:p>
        </w:tc>
        <w:tc>
          <w:tcPr>
            <w:tcW w:type="dxa" w:w="6660"/>
            <w:tcMar>
              <w:top w:w="80" w:type="dxa"/>
              <w:start w:w="120" w:type="dxa"/>
              <w:bottom w:w="80" w:type="dxa"/>
              <w:end w:w="120" w:type="dxa"/>
            </w:tcMar>
            <w:vAlign w:val="center"/>
          </w:tcPr>
          <w:p>
            <w:pPr>
              <w:spacing w:after="0" w:line="259" w:lineRule="auto"/>
              <w:jc w:val="left"/>
            </w:pPr>
            <w:r>
              <w:rPr>
                <w:rFonts w:ascii="Calibri" w:hAnsi="Calibri"/>
                <w:color w:val="202124"/>
                <w:sz w:val="19"/>
              </w:rPr>
              <w:t>21 backend test source files and 6 frontend test source files</w:t>
            </w:r>
          </w:p>
        </w:tc>
      </w:tr>
    </w:tbl>
    <w:p>
      <w:pPr>
        <w:spacing w:after="40"/>
      </w:pPr>
    </w:p>
    <w:p>
      <w:pPr>
        <w:pStyle w:val="Heading2"/>
      </w:pPr>
      <w:r>
        <w:t>Overall assessment</w:t>
      </w:r>
    </w:p>
    <w:p>
      <w:pPr>
        <w:numPr>
          <w:ilvl w:val="0"/>
          <w:numId w:val="109"/>
        </w:numPr>
        <w:spacing w:after="160" w:line="280" w:lineRule="auto"/>
      </w:pPr>
      <w:r>
        <w:rPr>
          <w:rFonts w:ascii="Calibri" w:hAnsi="Calibri"/>
          <w:color w:val="202124"/>
          <w:sz w:val="22"/>
        </w:rPr>
        <w:t>The implemented feature set has advanced beyond the original Phase 1 telemetry slice into real endpoint monitoring, incidents, authentication, outbound-request hardening, and notifications.</w:t>
      </w:r>
    </w:p>
    <w:p>
      <w:pPr>
        <w:numPr>
          <w:ilvl w:val="0"/>
          <w:numId w:val="109"/>
        </w:numPr>
        <w:spacing w:after="160" w:line="280" w:lineRule="auto"/>
      </w:pPr>
      <w:r>
        <w:rPr>
          <w:rFonts w:ascii="Calibri" w:hAnsi="Calibri"/>
          <w:color w:val="202124"/>
          <w:sz w:val="22"/>
        </w:rPr>
        <w:t>The design preserves simplicity: there is no Kafka, Redis, external STOMP broker, agent fleet, or premature service decomposition.</w:t>
      </w:r>
    </w:p>
    <w:p>
      <w:pPr>
        <w:numPr>
          <w:ilvl w:val="0"/>
          <w:numId w:val="109"/>
        </w:numPr>
        <w:spacing w:after="160" w:line="280" w:lineRule="auto"/>
      </w:pPr>
      <w:r>
        <w:rPr>
          <w:rFonts w:ascii="Calibri" w:hAnsi="Calibri"/>
          <w:color w:val="202124"/>
          <w:sz w:val="22"/>
        </w:rPr>
        <w:t>The main production gaps are operational rather than structural: TLS, secret management, backups, retention, observability, CI/CD, and a broader identity model remain future work.</w:t>
      </w:r>
    </w:p>
    <w:p>
      <w:pPr>
        <w:pStyle w:val="Heading1"/>
      </w:pPr>
      <w:r>
        <w:t>1. Product overview</w:t>
      </w:r>
    </w:p>
    <w:p>
      <w:r>
        <w:rPr>
          <w:rFonts w:ascii="Calibri" w:hAnsi="Calibri"/>
          <w:color w:val="202124"/>
          <w:sz w:val="22"/>
        </w:rPr>
        <w:t>Pulse is designed for a small operator or team that needs a straightforward view of whether services are reachable, how quickly they respond, when outages begin and recover, and whether simulated resource usage crosses configured warning thresholds. A registered service contains a name, description, endpoint, availability state, and CPU/memory thresholds.</w:t>
      </w:r>
    </w:p>
    <w:p>
      <w:pPr>
        <w:pStyle w:val="Heading2"/>
      </w:pPr>
      <w:r>
        <w:t>Current user capabilities</w:t>
      </w:r>
    </w:p>
    <w:p>
      <w:pPr>
        <w:numPr>
          <w:ilvl w:val="0"/>
          <w:numId w:val="109"/>
        </w:numPr>
        <w:spacing w:after="160" w:line="280" w:lineRule="auto"/>
      </w:pPr>
      <w:r>
        <w:rPr>
          <w:rFonts w:ascii="Calibri" w:hAnsi="Calibri"/>
          <w:color w:val="202124"/>
          <w:sz w:val="22"/>
        </w:rPr>
        <w:t>Authenticate and maintain a browser session using a JWT held in session storage.</w:t>
      </w:r>
    </w:p>
    <w:p>
      <w:pPr>
        <w:numPr>
          <w:ilvl w:val="0"/>
          <w:numId w:val="109"/>
        </w:numPr>
        <w:spacing w:after="160" w:line="280" w:lineRule="auto"/>
      </w:pPr>
      <w:r>
        <w:rPr>
          <w:rFonts w:ascii="Calibri" w:hAnsi="Calibri"/>
          <w:color w:val="202124"/>
          <w:sz w:val="22"/>
        </w:rPr>
        <w:t>Register and remove services and adjust CPU and memory warning thresholds.</w:t>
      </w:r>
    </w:p>
    <w:p>
      <w:pPr>
        <w:numPr>
          <w:ilvl w:val="0"/>
          <w:numId w:val="109"/>
        </w:numPr>
        <w:spacing w:after="160" w:line="280" w:lineRule="auto"/>
      </w:pPr>
      <w:r>
        <w:rPr>
          <w:rFonts w:ascii="Calibri" w:hAnsi="Calibri"/>
          <w:color w:val="202124"/>
          <w:sz w:val="22"/>
        </w:rPr>
        <w:t>View current service availability, HTTP status, response time, last-check details, and health-check history.</w:t>
      </w:r>
    </w:p>
    <w:p>
      <w:pPr>
        <w:numPr>
          <w:ilvl w:val="0"/>
          <w:numId w:val="109"/>
        </w:numPr>
        <w:spacing w:after="160" w:line="280" w:lineRule="auto"/>
      </w:pPr>
      <w:r>
        <w:rPr>
          <w:rFonts w:ascii="Calibri" w:hAnsi="Calibri"/>
          <w:color w:val="202124"/>
          <w:sz w:val="22"/>
        </w:rPr>
        <w:t>Track active and resolved incidents without receiving repeated alerts for every failed check.</w:t>
      </w:r>
    </w:p>
    <w:p>
      <w:pPr>
        <w:numPr>
          <w:ilvl w:val="0"/>
          <w:numId w:val="109"/>
        </w:numPr>
        <w:spacing w:after="160" w:line="280" w:lineRule="auto"/>
      </w:pPr>
      <w:r>
        <w:rPr>
          <w:rFonts w:ascii="Calibri" w:hAnsi="Calibri"/>
          <w:color w:val="202124"/>
          <w:sz w:val="22"/>
        </w:rPr>
        <w:t>Explore simulated CPU and memory charts, recent samples, and active or resolved threshold alerts.</w:t>
      </w:r>
    </w:p>
    <w:p>
      <w:pPr>
        <w:numPr>
          <w:ilvl w:val="0"/>
          <w:numId w:val="109"/>
        </w:numPr>
        <w:spacing w:after="160" w:line="280" w:lineRule="auto"/>
      </w:pPr>
      <w:r>
        <w:rPr>
          <w:rFonts w:ascii="Calibri" w:hAnsi="Calibri"/>
          <w:color w:val="202124"/>
          <w:sz w:val="22"/>
        </w:rPr>
        <w:t>Receive live dashboard updates and recover missed state through REST after a WebSocket reconnect.</w:t>
      </w:r>
    </w:p>
    <w:p>
      <w:pPr>
        <w:numPr>
          <w:ilvl w:val="0"/>
          <w:numId w:val="109"/>
        </w:numPr>
        <w:spacing w:after="160" w:line="280" w:lineRule="auto"/>
      </w:pPr>
      <w:r>
        <w:rPr>
          <w:rFonts w:ascii="Calibri" w:hAnsi="Calibri"/>
          <w:color w:val="202124"/>
          <w:sz w:val="22"/>
        </w:rPr>
        <w:t>Enable Telegram notifications for incident creation and recovery without coupling the monitor to that provider.</w:t>
      </w:r>
    </w:p>
    <w:p>
      <w:pPr>
        <w:pStyle w:val="Heading2"/>
      </w:pPr>
      <w:r>
        <w:t>Domain concepts</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1900"/>
        <w:gridCol w:w="3500"/>
        <w:gridCol w:w="3960"/>
      </w:tblGrid>
      <w:tr>
        <w:trPr>
          <w:tblHeader w:val="true"/>
        </w:trPr>
        <w:tc>
          <w:tcPr>
            <w:tcW w:type="dxa" w:w="1900"/>
            <w:shd w:fill="F2F4F7"/>
            <w:tcMar>
              <w:top w:w="80" w:type="dxa"/>
              <w:start w:w="120" w:type="dxa"/>
              <w:bottom w:w="80" w:type="dxa"/>
              <w:end w:w="120" w:type="dxa"/>
            </w:tcMar>
            <w:vAlign w:val="center"/>
          </w:tcPr>
          <w:p>
            <w:pPr>
              <w:spacing w:after="0"/>
              <w:jc w:val="left"/>
            </w:pPr>
            <w:r>
              <w:rPr>
                <w:rFonts w:ascii="Calibri" w:hAnsi="Calibri"/>
                <w:b/>
                <w:color w:val="0B2545"/>
                <w:sz w:val="19"/>
              </w:rPr>
              <w:t>Concept</w:t>
            </w:r>
          </w:p>
        </w:tc>
        <w:tc>
          <w:tcPr>
            <w:tcW w:type="dxa" w:w="3500"/>
            <w:shd w:fill="F2F4F7"/>
            <w:tcMar>
              <w:top w:w="80" w:type="dxa"/>
              <w:start w:w="120" w:type="dxa"/>
              <w:bottom w:w="80" w:type="dxa"/>
              <w:end w:w="120" w:type="dxa"/>
            </w:tcMar>
            <w:vAlign w:val="center"/>
          </w:tcPr>
          <w:p>
            <w:pPr>
              <w:spacing w:after="0"/>
              <w:jc w:val="left"/>
            </w:pPr>
            <w:r>
              <w:rPr>
                <w:rFonts w:ascii="Calibri" w:hAnsi="Calibri"/>
                <w:b/>
                <w:color w:val="0B2545"/>
                <w:sz w:val="19"/>
              </w:rPr>
              <w:t>Role</w:t>
            </w:r>
          </w:p>
        </w:tc>
        <w:tc>
          <w:tcPr>
            <w:tcW w:type="dxa" w:w="3960"/>
            <w:shd w:fill="F2F4F7"/>
            <w:tcMar>
              <w:top w:w="80" w:type="dxa"/>
              <w:start w:w="120" w:type="dxa"/>
              <w:bottom w:w="80" w:type="dxa"/>
              <w:end w:w="120" w:type="dxa"/>
            </w:tcMar>
            <w:vAlign w:val="center"/>
          </w:tcPr>
          <w:p>
            <w:pPr>
              <w:spacing w:after="0"/>
              <w:jc w:val="left"/>
            </w:pPr>
            <w:r>
              <w:rPr>
                <w:rFonts w:ascii="Calibri" w:hAnsi="Calibri"/>
                <w:b/>
                <w:color w:val="0B2545"/>
                <w:sz w:val="19"/>
              </w:rPr>
              <w:t>Lifecycle</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202124"/>
                <w:sz w:val="19"/>
              </w:rPr>
              <w:t>Service</w:t>
            </w:r>
          </w:p>
        </w:tc>
        <w:tc>
          <w:tcPr>
            <w:tcW w:type="dxa" w:w="3500"/>
            <w:tcMar>
              <w:top w:w="80" w:type="dxa"/>
              <w:start w:w="120" w:type="dxa"/>
              <w:bottom w:w="80" w:type="dxa"/>
              <w:end w:w="120" w:type="dxa"/>
            </w:tcMar>
            <w:vAlign w:val="center"/>
          </w:tcPr>
          <w:p>
            <w:pPr>
              <w:spacing w:after="0" w:line="259" w:lineRule="auto"/>
              <w:jc w:val="left"/>
            </w:pPr>
            <w:r>
              <w:rPr>
                <w:rFonts w:ascii="Calibri" w:hAnsi="Calibri"/>
                <w:color w:val="202124"/>
                <w:sz w:val="19"/>
              </w:rPr>
              <w:t>The monitored endpoint and its configuration</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UNKNOWN until checked; then UP or DOWN</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202124"/>
                <w:sz w:val="19"/>
              </w:rPr>
              <w:t>Health check</w:t>
            </w:r>
          </w:p>
        </w:tc>
        <w:tc>
          <w:tcPr>
            <w:tcW w:type="dxa" w:w="3500"/>
            <w:tcMar>
              <w:top w:w="80" w:type="dxa"/>
              <w:start w:w="120" w:type="dxa"/>
              <w:bottom w:w="80" w:type="dxa"/>
              <w:end w:w="120" w:type="dxa"/>
            </w:tcMar>
            <w:vAlign w:val="center"/>
          </w:tcPr>
          <w:p>
            <w:pPr>
              <w:spacing w:after="0" w:line="259" w:lineRule="auto"/>
              <w:jc w:val="left"/>
            </w:pPr>
            <w:r>
              <w:rPr>
                <w:rFonts w:ascii="Calibri" w:hAnsi="Calibri"/>
                <w:color w:val="202124"/>
                <w:sz w:val="19"/>
              </w:rPr>
              <w:t>A point-in-time HTTP availability result</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Immutable history with status, latency, code, reason, and timestamp</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202124"/>
                <w:sz w:val="19"/>
              </w:rPr>
              <w:t>Incident</w:t>
            </w:r>
          </w:p>
        </w:tc>
        <w:tc>
          <w:tcPr>
            <w:tcW w:type="dxa" w:w="3500"/>
            <w:tcMar>
              <w:top w:w="80" w:type="dxa"/>
              <w:start w:w="120" w:type="dxa"/>
              <w:bottom w:w="80" w:type="dxa"/>
              <w:end w:w="120" w:type="dxa"/>
            </w:tcMar>
            <w:vAlign w:val="center"/>
          </w:tcPr>
          <w:p>
            <w:pPr>
              <w:spacing w:after="0" w:line="259" w:lineRule="auto"/>
              <w:jc w:val="left"/>
            </w:pPr>
            <w:r>
              <w:rPr>
                <w:rFonts w:ascii="Calibri" w:hAnsi="Calibri"/>
                <w:color w:val="202124"/>
                <w:sz w:val="19"/>
              </w:rPr>
              <w:t>A continuous service outage</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Created on transition to DOWN; resolved on the next UP result</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202124"/>
                <w:sz w:val="19"/>
              </w:rPr>
              <w:t>Metric</w:t>
            </w:r>
          </w:p>
        </w:tc>
        <w:tc>
          <w:tcPr>
            <w:tcW w:type="dxa" w:w="3500"/>
            <w:tcMar>
              <w:top w:w="80" w:type="dxa"/>
              <w:start w:w="120" w:type="dxa"/>
              <w:bottom w:w="80" w:type="dxa"/>
              <w:end w:w="120" w:type="dxa"/>
            </w:tcMar>
            <w:vAlign w:val="center"/>
          </w:tcPr>
          <w:p>
            <w:pPr>
              <w:spacing w:after="0" w:line="259" w:lineRule="auto"/>
              <w:jc w:val="left"/>
            </w:pPr>
            <w:r>
              <w:rPr>
                <w:rFonts w:ascii="Calibri" w:hAnsi="Calibri"/>
                <w:color w:val="202124"/>
                <w:sz w:val="19"/>
              </w:rPr>
              <w:t>A simulated CPU/memory observation</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Immutable time-series sample</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202124"/>
                <w:sz w:val="19"/>
              </w:rPr>
              <w:t>Alert</w:t>
            </w:r>
          </w:p>
        </w:tc>
        <w:tc>
          <w:tcPr>
            <w:tcW w:type="dxa" w:w="3500"/>
            <w:tcMar>
              <w:top w:w="80" w:type="dxa"/>
              <w:start w:w="120" w:type="dxa"/>
              <w:bottom w:w="80" w:type="dxa"/>
              <w:end w:w="120" w:type="dxa"/>
            </w:tcMar>
            <w:vAlign w:val="center"/>
          </w:tcPr>
          <w:p>
            <w:pPr>
              <w:spacing w:after="0" w:line="259" w:lineRule="auto"/>
              <w:jc w:val="left"/>
            </w:pPr>
            <w:r>
              <w:rPr>
                <w:rFonts w:ascii="Calibri" w:hAnsi="Calibri"/>
                <w:color w:val="202124"/>
                <w:sz w:val="19"/>
              </w:rPr>
              <w:t>A threshold-breach episode for one metric type</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Created above threshold; retained through repeats; resolved at recovery</w:t>
            </w:r>
          </w:p>
        </w:tc>
      </w:tr>
    </w:tbl>
    <w:p>
      <w:pPr>
        <w:spacing w:after="40"/>
      </w:pPr>
    </w:p>
    <w:p>
      <w:pPr>
        <w:pStyle w:val="Heading2"/>
      </w:pPr>
      <w:r>
        <w:t>Scope boundaries</w:t>
      </w:r>
    </w:p>
    <w:p>
      <w:r>
        <w:rPr>
          <w:rFonts w:ascii="Calibri" w:hAnsi="Calibri"/>
          <w:color w:val="202124"/>
          <w:sz w:val="22"/>
        </w:rPr>
        <w:t>Pulse currently checks endpoint availability but does not collect CPU or memory from the target service. Those values are intentionally simulated. The system also excludes multi-tenancy, enterprise identity, distributed workers, long-term metric aggregation, and automated retention. These boundaries keep the current codebase understandable and make the distinction between demonstrated telemetry behavior and real availability monitoring explicit.</w:t>
      </w:r>
    </w:p>
    <w:p>
      <w:pPr>
        <w:pStyle w:val="Heading1"/>
      </w:pPr>
      <w:r>
        <w:t>2. System architecture</w:t>
      </w:r>
    </w:p>
    <w:p>
      <w:pPr>
        <w:spacing w:after="60"/>
        <w:jc w:val="center"/>
      </w:pPr>
      <w:r>
        <w:drawing>
          <wp:inline xmlns:a="http://schemas.openxmlformats.org/drawingml/2006/main" xmlns:pic="http://schemas.openxmlformats.org/drawingml/2006/picture">
            <wp:extent cx="5943600" cy="3011424"/>
            <wp:docPr id="1" name="Picture 1" descr="Pulse architecture showing the browser and Nginx frontend, Spring Boot backend, PostgreSQL database, public endpoint checks, schedulers, and optional Telegram notifications." title="Pulse runtime architecture"/>
            <wp:cNvGraphicFramePr>
              <a:graphicFrameLocks noChangeAspect="1"/>
            </wp:cNvGraphicFramePr>
            <a:graphic>
              <a:graphicData uri="http://schemas.openxmlformats.org/drawingml/2006/picture">
                <pic:pic>
                  <pic:nvPicPr>
                    <pic:cNvPr id="0" name="pulse_architecture_report.png"/>
                    <pic:cNvPicPr/>
                  </pic:nvPicPr>
                  <pic:blipFill>
                    <a:blip r:embed="rId11"/>
                    <a:stretch>
                      <a:fillRect/>
                    </a:stretch>
                  </pic:blipFill>
                  <pic:spPr>
                    <a:xfrm>
                      <a:off x="0" y="0"/>
                      <a:ext cx="5943600" cy="3011424"/>
                    </a:xfrm>
                    <a:prstGeom prst="rect"/>
                  </pic:spPr>
                </pic:pic>
              </a:graphicData>
            </a:graphic>
          </wp:inline>
        </w:drawing>
      </w:r>
    </w:p>
    <w:p>
      <w:pPr>
        <w:spacing w:after="200"/>
        <w:jc w:val="center"/>
      </w:pPr>
      <w:r>
        <w:rPr>
          <w:rFonts w:ascii="Calibri" w:hAnsi="Calibri"/>
          <w:i/>
          <w:color w:val="667085"/>
          <w:sz w:val="18"/>
        </w:rPr>
        <w:t>Figure 1. Pulse runtime architecture and principal data paths</w:t>
      </w:r>
    </w:p>
    <w:p>
      <w:pPr>
        <w:pStyle w:val="Heading2"/>
      </w:pPr>
      <w:r>
        <w:t>Architectural style</w:t>
      </w:r>
    </w:p>
    <w:p>
      <w:r>
        <w:rPr>
          <w:rFonts w:ascii="Calibri" w:hAnsi="Calibri"/>
          <w:color w:val="202124"/>
          <w:sz w:val="22"/>
        </w:rPr>
        <w:t>The backend is a layered modular monolith. Controllers expose focused JSON APIs; services coordinate transactions and state transitions; repositories isolate persistence; entities define stored state; DTOs define external contracts; and dedicated packages handle WebSocket publication, security, and notifications. The deployment unit remains a single executable Spring Boot application.</w:t>
      </w:r>
    </w:p>
    <w:p>
      <w:pPr>
        <w:pStyle w:val="Heading2"/>
      </w:pPr>
      <w:r>
        <w:t>Component responsibilities</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1700"/>
        <w:gridCol w:w="2900"/>
        <w:gridCol w:w="4760"/>
      </w:tblGrid>
      <w:tr>
        <w:trPr>
          <w:tblHeader w:val="true"/>
        </w:trPr>
        <w:tc>
          <w:tcPr>
            <w:tcW w:type="dxa" w:w="1700"/>
            <w:shd w:fill="F2F4F7"/>
            <w:tcMar>
              <w:top w:w="80" w:type="dxa"/>
              <w:start w:w="120" w:type="dxa"/>
              <w:bottom w:w="80" w:type="dxa"/>
              <w:end w:w="120" w:type="dxa"/>
            </w:tcMar>
            <w:vAlign w:val="center"/>
          </w:tcPr>
          <w:p>
            <w:pPr>
              <w:spacing w:after="0"/>
              <w:jc w:val="left"/>
            </w:pPr>
            <w:r>
              <w:rPr>
                <w:rFonts w:ascii="Calibri" w:hAnsi="Calibri"/>
                <w:b/>
                <w:color w:val="0B2545"/>
                <w:sz w:val="19"/>
              </w:rPr>
              <w:t>Component</w:t>
            </w:r>
          </w:p>
        </w:tc>
        <w:tc>
          <w:tcPr>
            <w:tcW w:type="dxa" w:w="2900"/>
            <w:shd w:fill="F2F4F7"/>
            <w:tcMar>
              <w:top w:w="80" w:type="dxa"/>
              <w:start w:w="120" w:type="dxa"/>
              <w:bottom w:w="80" w:type="dxa"/>
              <w:end w:w="120" w:type="dxa"/>
            </w:tcMar>
            <w:vAlign w:val="center"/>
          </w:tcPr>
          <w:p>
            <w:pPr>
              <w:spacing w:after="0"/>
              <w:jc w:val="left"/>
            </w:pPr>
            <w:r>
              <w:rPr>
                <w:rFonts w:ascii="Calibri" w:hAnsi="Calibri"/>
                <w:b/>
                <w:color w:val="0B2545"/>
                <w:sz w:val="19"/>
              </w:rPr>
              <w:t>Technology</w:t>
            </w:r>
          </w:p>
        </w:tc>
        <w:tc>
          <w:tcPr>
            <w:tcW w:type="dxa" w:w="4760"/>
            <w:shd w:fill="F2F4F7"/>
            <w:tcMar>
              <w:top w:w="80" w:type="dxa"/>
              <w:start w:w="120" w:type="dxa"/>
              <w:bottom w:w="80" w:type="dxa"/>
              <w:end w:w="120" w:type="dxa"/>
            </w:tcMar>
            <w:vAlign w:val="center"/>
          </w:tcPr>
          <w:p>
            <w:pPr>
              <w:spacing w:after="0"/>
              <w:jc w:val="left"/>
            </w:pPr>
            <w:r>
              <w:rPr>
                <w:rFonts w:ascii="Calibri" w:hAnsi="Calibri"/>
                <w:b/>
                <w:color w:val="0B2545"/>
                <w:sz w:val="19"/>
              </w:rPr>
              <w:t>Responsibility</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Frontend</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02124"/>
                <w:sz w:val="19"/>
              </w:rPr>
              <w:t>React 19, TypeScript, Vite, Axios, Recharts</w:t>
            </w:r>
          </w:p>
        </w:tc>
        <w:tc>
          <w:tcPr>
            <w:tcW w:type="dxa" w:w="4760"/>
            <w:tcMar>
              <w:top w:w="80" w:type="dxa"/>
              <w:start w:w="120" w:type="dxa"/>
              <w:bottom w:w="80" w:type="dxa"/>
              <w:end w:w="120" w:type="dxa"/>
            </w:tcMar>
            <w:vAlign w:val="center"/>
          </w:tcPr>
          <w:p>
            <w:pPr>
              <w:spacing w:after="0" w:line="259" w:lineRule="auto"/>
              <w:jc w:val="left"/>
            </w:pPr>
            <w:r>
              <w:rPr>
                <w:rFonts w:ascii="Calibri" w:hAnsi="Calibri"/>
                <w:color w:val="202124"/>
                <w:sz w:val="19"/>
              </w:rPr>
              <w:t>Authentication, service workflows, charts, history views, and real-time reconciliation</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Backend</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02124"/>
                <w:sz w:val="19"/>
              </w:rPr>
              <w:t>Java 25, Spring Boot 4.1.1</w:t>
            </w:r>
          </w:p>
        </w:tc>
        <w:tc>
          <w:tcPr>
            <w:tcW w:type="dxa" w:w="4760"/>
            <w:tcMar>
              <w:top w:w="80" w:type="dxa"/>
              <w:start w:w="120" w:type="dxa"/>
              <w:bottom w:w="80" w:type="dxa"/>
              <w:end w:w="120" w:type="dxa"/>
            </w:tcMar>
            <w:vAlign w:val="center"/>
          </w:tcPr>
          <w:p>
            <w:pPr>
              <w:spacing w:after="0" w:line="259" w:lineRule="auto"/>
              <w:jc w:val="left"/>
            </w:pPr>
            <w:r>
              <w:rPr>
                <w:rFonts w:ascii="Calibri" w:hAnsi="Calibri"/>
                <w:color w:val="202124"/>
                <w:sz w:val="19"/>
              </w:rPr>
              <w:t>REST/STOMP APIs, schedulers, validation, domain transitions, notifications, and transactions</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Database</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02124"/>
                <w:sz w:val="19"/>
              </w:rPr>
              <w:t>PostgreSQL 18, Flyway, JPA</w:t>
            </w:r>
          </w:p>
        </w:tc>
        <w:tc>
          <w:tcPr>
            <w:tcW w:type="dxa" w:w="4760"/>
            <w:tcMar>
              <w:top w:w="80" w:type="dxa"/>
              <w:start w:w="120" w:type="dxa"/>
              <w:bottom w:w="80" w:type="dxa"/>
              <w:end w:w="120" w:type="dxa"/>
            </w:tcMar>
            <w:vAlign w:val="center"/>
          </w:tcPr>
          <w:p>
            <w:pPr>
              <w:spacing w:after="0" w:line="259" w:lineRule="auto"/>
              <w:jc w:val="left"/>
            </w:pPr>
            <w:r>
              <w:rPr>
                <w:rFonts w:ascii="Calibri" w:hAnsi="Calibri"/>
                <w:color w:val="202124"/>
                <w:sz w:val="19"/>
              </w:rPr>
              <w:t>Durable services, metrics, alerts, health checks, and incidents</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Web tier</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02124"/>
                <w:sz w:val="19"/>
              </w:rPr>
              <w:t>Nginx</w:t>
            </w:r>
          </w:p>
        </w:tc>
        <w:tc>
          <w:tcPr>
            <w:tcW w:type="dxa" w:w="4760"/>
            <w:tcMar>
              <w:top w:w="80" w:type="dxa"/>
              <w:start w:w="120" w:type="dxa"/>
              <w:bottom w:w="80" w:type="dxa"/>
              <w:end w:w="120" w:type="dxa"/>
            </w:tcMar>
            <w:vAlign w:val="center"/>
          </w:tcPr>
          <w:p>
            <w:pPr>
              <w:spacing w:after="0" w:line="259" w:lineRule="auto"/>
              <w:jc w:val="left"/>
            </w:pPr>
            <w:r>
              <w:rPr>
                <w:rFonts w:ascii="Calibri" w:hAnsi="Calibri"/>
                <w:color w:val="202124"/>
                <w:sz w:val="19"/>
              </w:rPr>
              <w:t>SPA delivery plus same-origin API and WebSocket proxying</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Notification</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02124"/>
                <w:sz w:val="19"/>
              </w:rPr>
              <w:t>Telegram Bot API</w:t>
            </w:r>
          </w:p>
        </w:tc>
        <w:tc>
          <w:tcPr>
            <w:tcW w:type="dxa" w:w="4760"/>
            <w:tcMar>
              <w:top w:w="80" w:type="dxa"/>
              <w:start w:w="120" w:type="dxa"/>
              <w:bottom w:w="80" w:type="dxa"/>
              <w:end w:w="120" w:type="dxa"/>
            </w:tcMar>
            <w:vAlign w:val="center"/>
          </w:tcPr>
          <w:p>
            <w:pPr>
              <w:spacing w:after="0" w:line="259" w:lineRule="auto"/>
              <w:jc w:val="left"/>
            </w:pPr>
            <w:r>
              <w:rPr>
                <w:rFonts w:ascii="Calibri" w:hAnsi="Calibri"/>
                <w:color w:val="202124"/>
                <w:sz w:val="19"/>
              </w:rPr>
              <w:t>Optional incident-created and incident-resolved messages</w:t>
            </w:r>
          </w:p>
        </w:tc>
      </w:tr>
    </w:tbl>
    <w:p>
      <w:pPr>
        <w:spacing w:after="40"/>
      </w:pPr>
    </w:p>
    <w:p>
      <w:pPr>
        <w:pStyle w:val="Heading2"/>
      </w:pPr>
      <w:r>
        <w:t>Why this shape fits the project</w:t>
      </w:r>
    </w:p>
    <w:p>
      <w:r>
        <w:rPr>
          <w:rFonts w:ascii="Calibri" w:hAnsi="Calibri"/>
          <w:color w:val="202124"/>
          <w:sz w:val="22"/>
        </w:rPr>
        <w:t>The current workload is schedule-driven, stateful, and modest enough to run safely inside one backend. PostgreSQL constraints and transactional event listeners provide strong consistency without an event broker. Scaling into separate services would add network failure modes, deployment coordination, and duplicated observability before the product has demonstrated a need for them.</w:t>
      </w:r>
    </w:p>
    <w:p>
      <w:pPr>
        <w:pStyle w:val="Heading1"/>
      </w:pPr>
      <w:r>
        <w:t>3. Processing and data flows</w:t>
      </w:r>
    </w:p>
    <w:p>
      <w:pPr>
        <w:pStyle w:val="Heading2"/>
      </w:pPr>
      <w:r>
        <w:t>Availability and incident flow</w:t>
      </w:r>
    </w:p>
    <w:p>
      <w:pPr>
        <w:numPr>
          <w:ilvl w:val="0"/>
          <w:numId w:val="110"/>
        </w:numPr>
        <w:spacing w:after="160" w:line="280" w:lineRule="auto"/>
      </w:pPr>
      <w:r>
        <w:rPr>
          <w:rFonts w:ascii="Calibri" w:hAnsi="Calibri"/>
          <w:color w:val="202124"/>
          <w:sz w:val="22"/>
        </w:rPr>
        <w:t>The health scheduler runs at a configurable fixed delay, 30 seconds by default, and processes registered services independently.</w:t>
      </w:r>
    </w:p>
    <w:p>
      <w:pPr>
        <w:numPr>
          <w:ilvl w:val="0"/>
          <w:numId w:val="110"/>
        </w:numPr>
        <w:spacing w:after="160" w:line="280" w:lineRule="auto"/>
      </w:pPr>
      <w:r>
        <w:rPr>
          <w:rFonts w:ascii="Calibri" w:hAnsi="Calibri"/>
          <w:color w:val="202124"/>
          <w:sz w:val="22"/>
        </w:rPr>
        <w:t>Before persistence and again before a request, the endpoint destination is validated to prevent access to loopback, private, link-local, multicast, metadata, and obvious internal container targets.</w:t>
      </w:r>
    </w:p>
    <w:p>
      <w:pPr>
        <w:numPr>
          <w:ilvl w:val="0"/>
          <w:numId w:val="110"/>
        </w:numPr>
        <w:spacing w:after="160" w:line="280" w:lineRule="auto"/>
      </w:pPr>
      <w:r>
        <w:rPr>
          <w:rFonts w:ascii="Calibri" w:hAnsi="Calibri"/>
          <w:color w:val="202124"/>
          <w:sz w:val="22"/>
        </w:rPr>
        <w:t>The HTTP client records UP or DOWN, response time, HTTP status when available, a timestamp, and a bounded failure reason. Redirect targets are validated and recorded rather than followed automatically.</w:t>
      </w:r>
    </w:p>
    <w:p>
      <w:pPr>
        <w:numPr>
          <w:ilvl w:val="0"/>
          <w:numId w:val="110"/>
        </w:numPr>
        <w:spacing w:after="160" w:line="280" w:lineRule="auto"/>
      </w:pPr>
      <w:r>
        <w:rPr>
          <w:rFonts w:ascii="Calibri" w:hAnsi="Calibri"/>
          <w:color w:val="202124"/>
          <w:sz w:val="22"/>
        </w:rPr>
        <w:t>The result service persists the health check, updates service availability, and applies the incident state machine. Only one active incident is allowed per service.</w:t>
      </w:r>
    </w:p>
    <w:p>
      <w:pPr>
        <w:numPr>
          <w:ilvl w:val="0"/>
          <w:numId w:val="110"/>
        </w:numPr>
        <w:spacing w:after="160" w:line="280" w:lineRule="auto"/>
      </w:pPr>
      <w:r>
        <w:rPr>
          <w:rFonts w:ascii="Calibri" w:hAnsi="Calibri"/>
          <w:color w:val="202124"/>
          <w:sz w:val="22"/>
        </w:rPr>
        <w:t>After commit, the health result and any incident transition are published to STOMP. Incident notifications are dispatched to the in-app channel and, when configured, Telegram.</w:t>
      </w:r>
    </w:p>
    <w:p>
      <w:pPr>
        <w:pStyle w:val="Heading2"/>
      </w:pPr>
      <w:r>
        <w:t>Metric and alert flow</w:t>
      </w:r>
    </w:p>
    <w:p>
      <w:pPr>
        <w:numPr>
          <w:ilvl w:val="0"/>
          <w:numId w:val="110"/>
        </w:numPr>
        <w:spacing w:after="160" w:line="280" w:lineRule="auto"/>
      </w:pPr>
      <w:r>
        <w:rPr>
          <w:rFonts w:ascii="Calibri" w:hAnsi="Calibri"/>
          <w:color w:val="202124"/>
          <w:sz w:val="22"/>
        </w:rPr>
        <w:t>A second scheduler generates one bounded CPU/memory sample per service every five seconds by default.</w:t>
      </w:r>
    </w:p>
    <w:p>
      <w:pPr>
        <w:numPr>
          <w:ilvl w:val="0"/>
          <w:numId w:val="110"/>
        </w:numPr>
        <w:spacing w:after="160" w:line="280" w:lineRule="auto"/>
      </w:pPr>
      <w:r>
        <w:rPr>
          <w:rFonts w:ascii="Calibri" w:hAnsi="Calibri"/>
          <w:color w:val="202124"/>
          <w:sz w:val="22"/>
        </w:rPr>
        <w:t>The sample is stored in its own transaction and published to the service metric topic only after commit.</w:t>
      </w:r>
    </w:p>
    <w:p>
      <w:pPr>
        <w:numPr>
          <w:ilvl w:val="0"/>
          <w:numId w:val="110"/>
        </w:numPr>
        <w:spacing w:after="160" w:line="280" w:lineRule="auto"/>
      </w:pPr>
      <w:r>
        <w:rPr>
          <w:rFonts w:ascii="Calibri" w:hAnsi="Calibri"/>
          <w:color w:val="202124"/>
          <w:sz w:val="22"/>
        </w:rPr>
        <w:t>CPU and memory are evaluated independently against the service thresholds.</w:t>
      </w:r>
    </w:p>
    <w:p>
      <w:pPr>
        <w:numPr>
          <w:ilvl w:val="0"/>
          <w:numId w:val="110"/>
        </w:numPr>
        <w:spacing w:after="160" w:line="280" w:lineRule="auto"/>
      </w:pPr>
      <w:r>
        <w:rPr>
          <w:rFonts w:ascii="Calibri" w:hAnsi="Calibri"/>
          <w:color w:val="202124"/>
          <w:sz w:val="22"/>
        </w:rPr>
        <w:t>A strict breach creates an active alert only if none exists for that service and metric type. Continued breaches do not create duplicates; a value at or below the threshold resolves the episode.</w:t>
      </w:r>
    </w:p>
    <w:p>
      <w:pPr>
        <w:pStyle w:val="Heading2"/>
      </w:pPr>
      <w:r>
        <w:t>Consistency model</w:t>
      </w:r>
    </w:p>
    <w:tbl>
      <w:tblPr>
        <w:tblStyle w:val="TableGrid"/>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rPr>
          <w:tblHeader w:val="true"/>
        </w:trPr>
        <w:tc>
          <w:tcPr>
            <w:tcW w:type="dxa" w:w="9360"/>
            <w:tcMar>
              <w:top w:w="80" w:type="dxa"/>
              <w:start w:w="120" w:type="dxa"/>
              <w:bottom w:w="80" w:type="dxa"/>
              <w:end w:w="120" w:type="dxa"/>
            </w:tcMar>
            <w:vAlign w:val="center"/>
            <w:shd w:fill="F4F7FB"/>
          </w:tcPr>
          <w:p>
            <w:pPr>
              <w:spacing w:after="40"/>
            </w:pPr>
            <w:r>
              <w:rPr>
                <w:rFonts w:ascii="Calibri" w:hAnsi="Calibri"/>
                <w:b/>
                <w:color w:val="2E74B5"/>
                <w:sz w:val="22"/>
              </w:rPr>
              <w:t xml:space="preserve">Design principle  </w:t>
            </w:r>
            <w:r>
              <w:rPr>
                <w:rFonts w:ascii="Calibri" w:hAnsi="Calibri"/>
                <w:color w:val="202124"/>
                <w:sz w:val="22"/>
              </w:rPr>
              <w:t>PostgreSQL and REST remain authoritative. WebSocket messages are committed deltas, not the sole record. The frontend uses entity IDs to apply repeated events idempotently and performs REST recovery after reconnecting.</w:t>
            </w:r>
          </w:p>
        </w:tc>
      </w:tr>
    </w:tbl>
    <w:p>
      <w:pPr>
        <w:spacing w:after="40"/>
      </w:pPr>
    </w:p>
    <w:p>
      <w:r>
        <w:rPr>
          <w:rFonts w:ascii="Calibri" w:hAnsi="Calibri"/>
          <w:color w:val="202124"/>
          <w:sz w:val="22"/>
        </w:rPr>
        <w:t>Transactional application events separate database work from external effects. WebSocket and notification listeners run after a successful commit, preventing rolled-back changes from appearing in the UI or being sent to Telegram. Database indexes reinforce application logic by allowing only one active incident per service and one active alert per service/metric type.</w:t>
      </w:r>
    </w:p>
    <w:p>
      <w:pPr>
        <w:pStyle w:val="Heading2"/>
      </w:pPr>
      <w:r>
        <w:t>Core persistence model</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1700"/>
        <w:gridCol w:w="2200"/>
        <w:gridCol w:w="5460"/>
      </w:tblGrid>
      <w:tr>
        <w:trPr>
          <w:tblHeader w:val="true"/>
        </w:trPr>
        <w:tc>
          <w:tcPr>
            <w:tcW w:type="dxa" w:w="1700"/>
            <w:shd w:fill="F2F4F7"/>
            <w:tcMar>
              <w:top w:w="80" w:type="dxa"/>
              <w:start w:w="120" w:type="dxa"/>
              <w:bottom w:w="80" w:type="dxa"/>
              <w:end w:w="120" w:type="dxa"/>
            </w:tcMar>
            <w:vAlign w:val="center"/>
          </w:tcPr>
          <w:p>
            <w:pPr>
              <w:spacing w:after="0"/>
              <w:jc w:val="left"/>
            </w:pPr>
            <w:r>
              <w:rPr>
                <w:rFonts w:ascii="Calibri" w:hAnsi="Calibri"/>
                <w:b/>
                <w:color w:val="0B2545"/>
                <w:sz w:val="19"/>
              </w:rPr>
              <w:t>Table</w:t>
            </w:r>
          </w:p>
        </w:tc>
        <w:tc>
          <w:tcPr>
            <w:tcW w:type="dxa" w:w="2200"/>
            <w:shd w:fill="F2F4F7"/>
            <w:tcMar>
              <w:top w:w="80" w:type="dxa"/>
              <w:start w:w="120" w:type="dxa"/>
              <w:bottom w:w="80" w:type="dxa"/>
              <w:end w:w="120" w:type="dxa"/>
            </w:tcMar>
            <w:vAlign w:val="center"/>
          </w:tcPr>
          <w:p>
            <w:pPr>
              <w:spacing w:after="0"/>
              <w:jc w:val="left"/>
            </w:pPr>
            <w:r>
              <w:rPr>
                <w:rFonts w:ascii="Calibri" w:hAnsi="Calibri"/>
                <w:b/>
                <w:color w:val="0B2545"/>
                <w:sz w:val="19"/>
              </w:rPr>
              <w:t>Relationship</w:t>
            </w:r>
          </w:p>
        </w:tc>
        <w:tc>
          <w:tcPr>
            <w:tcW w:type="dxa" w:w="5460"/>
            <w:shd w:fill="F2F4F7"/>
            <w:tcMar>
              <w:top w:w="80" w:type="dxa"/>
              <w:start w:w="120" w:type="dxa"/>
              <w:bottom w:w="80" w:type="dxa"/>
              <w:end w:w="120" w:type="dxa"/>
            </w:tcMar>
            <w:vAlign w:val="center"/>
          </w:tcPr>
          <w:p>
            <w:pPr>
              <w:spacing w:after="0"/>
              <w:jc w:val="left"/>
            </w:pPr>
            <w:r>
              <w:rPr>
                <w:rFonts w:ascii="Calibri" w:hAnsi="Calibri"/>
                <w:b/>
                <w:color w:val="0B2545"/>
                <w:sz w:val="19"/>
              </w:rPr>
              <w:t>Key protections</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services</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02124"/>
                <w:sz w:val="19"/>
              </w:rPr>
              <w:t>Root record</w:t>
            </w:r>
          </w:p>
        </w:tc>
        <w:tc>
          <w:tcPr>
            <w:tcW w:type="dxa" w:w="5460"/>
            <w:tcMar>
              <w:top w:w="80" w:type="dxa"/>
              <w:start w:w="120" w:type="dxa"/>
              <w:bottom w:w="80" w:type="dxa"/>
              <w:end w:w="120" w:type="dxa"/>
            </w:tcMar>
            <w:vAlign w:val="center"/>
          </w:tcPr>
          <w:p>
            <w:pPr>
              <w:spacing w:after="0" w:line="259" w:lineRule="auto"/>
              <w:jc w:val="left"/>
            </w:pPr>
            <w:r>
              <w:rPr>
                <w:rFonts w:ascii="Calibri" w:hAnsi="Calibri"/>
                <w:color w:val="202124"/>
                <w:sz w:val="19"/>
              </w:rPr>
              <w:t>UUID identity, normalized unique name, constrained availability state</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metrics</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02124"/>
                <w:sz w:val="19"/>
              </w:rPr>
              <w:t>Many per service</w:t>
            </w:r>
          </w:p>
        </w:tc>
        <w:tc>
          <w:tcPr>
            <w:tcW w:type="dxa" w:w="5460"/>
            <w:tcMar>
              <w:top w:w="80" w:type="dxa"/>
              <w:start w:w="120" w:type="dxa"/>
              <w:bottom w:w="80" w:type="dxa"/>
              <w:end w:w="120" w:type="dxa"/>
            </w:tcMar>
            <w:vAlign w:val="center"/>
          </w:tcPr>
          <w:p>
            <w:pPr>
              <w:spacing w:after="0" w:line="259" w:lineRule="auto"/>
              <w:jc w:val="left"/>
            </w:pPr>
            <w:r>
              <w:rPr>
                <w:rFonts w:ascii="Calibri" w:hAnsi="Calibri"/>
                <w:color w:val="202124"/>
                <w:sz w:val="19"/>
              </w:rPr>
              <w:t>0-100 value checks and indexed chronological history</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alerts</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02124"/>
                <w:sz w:val="19"/>
              </w:rPr>
              <w:t>Many episodes per service</w:t>
            </w:r>
          </w:p>
        </w:tc>
        <w:tc>
          <w:tcPr>
            <w:tcW w:type="dxa" w:w="5460"/>
            <w:tcMar>
              <w:top w:w="80" w:type="dxa"/>
              <w:start w:w="120" w:type="dxa"/>
              <w:bottom w:w="80" w:type="dxa"/>
              <w:end w:w="120" w:type="dxa"/>
            </w:tcMar>
            <w:vAlign w:val="center"/>
          </w:tcPr>
          <w:p>
            <w:pPr>
              <w:spacing w:after="0" w:line="259" w:lineRule="auto"/>
              <w:jc w:val="left"/>
            </w:pPr>
            <w:r>
              <w:rPr>
                <w:rFonts w:ascii="Calibri" w:hAnsi="Calibri"/>
                <w:color w:val="202124"/>
                <w:sz w:val="19"/>
              </w:rPr>
              <w:t>Lifecycle checks and partial unique active-episode index</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health_checks</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02124"/>
                <w:sz w:val="19"/>
              </w:rPr>
              <w:t>Many per service</w:t>
            </w:r>
          </w:p>
        </w:tc>
        <w:tc>
          <w:tcPr>
            <w:tcW w:type="dxa" w:w="5460"/>
            <w:tcMar>
              <w:top w:w="80" w:type="dxa"/>
              <w:start w:w="120" w:type="dxa"/>
              <w:bottom w:w="80" w:type="dxa"/>
              <w:end w:w="120" w:type="dxa"/>
            </w:tcMar>
            <w:vAlign w:val="center"/>
          </w:tcPr>
          <w:p>
            <w:pPr>
              <w:spacing w:after="0" w:line="259" w:lineRule="auto"/>
              <w:jc w:val="left"/>
            </w:pPr>
            <w:r>
              <w:rPr>
                <w:rFonts w:ascii="Calibri" w:hAnsi="Calibri"/>
                <w:color w:val="202124"/>
                <w:sz w:val="19"/>
              </w:rPr>
              <w:t>Constrained status/code/latency and indexed history</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incidents</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02124"/>
                <w:sz w:val="19"/>
              </w:rPr>
              <w:t>Many episodes per service</w:t>
            </w:r>
          </w:p>
        </w:tc>
        <w:tc>
          <w:tcPr>
            <w:tcW w:type="dxa" w:w="5460"/>
            <w:tcMar>
              <w:top w:w="80" w:type="dxa"/>
              <w:start w:w="120" w:type="dxa"/>
              <w:bottom w:w="80" w:type="dxa"/>
              <w:end w:w="120" w:type="dxa"/>
            </w:tcMar>
            <w:vAlign w:val="center"/>
          </w:tcPr>
          <w:p>
            <w:pPr>
              <w:spacing w:after="0" w:line="259" w:lineRule="auto"/>
              <w:jc w:val="left"/>
            </w:pPr>
            <w:r>
              <w:rPr>
                <w:rFonts w:ascii="Calibri" w:hAnsi="Calibri"/>
                <w:color w:val="202124"/>
                <w:sz w:val="19"/>
              </w:rPr>
              <w:t>Lifecycle checks and one-active-incident partial unique index</w:t>
            </w:r>
          </w:p>
        </w:tc>
      </w:tr>
    </w:tbl>
    <w:p>
      <w:pPr>
        <w:spacing w:after="40"/>
      </w:pPr>
    </w:p>
    <w:p>
      <w:pPr>
        <w:pStyle w:val="Heading1"/>
      </w:pPr>
      <w:r>
        <w:t>4. Interfaces and real-time behavior</w:t>
      </w:r>
    </w:p>
    <w:p>
      <w:pPr>
        <w:pStyle w:val="Heading2"/>
      </w:pPr>
      <w:r>
        <w:t>REST surface</w:t>
      </w:r>
    </w:p>
    <w:p>
      <w:r>
        <w:rPr>
          <w:rFonts w:ascii="Calibri" w:hAnsi="Calibri"/>
          <w:color w:val="202124"/>
          <w:sz w:val="22"/>
        </w:rPr>
        <w:t>All application endpoints are rooted at /api. Login is public; other API requests require a bearer token. The main resources are summarized below.</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1700"/>
        <w:gridCol w:w="3480"/>
        <w:gridCol w:w="4180"/>
      </w:tblGrid>
      <w:tr>
        <w:trPr>
          <w:tblHeader w:val="true"/>
        </w:trPr>
        <w:tc>
          <w:tcPr>
            <w:tcW w:type="dxa" w:w="1700"/>
            <w:shd w:fill="F2F4F7"/>
            <w:tcMar>
              <w:top w:w="80" w:type="dxa"/>
              <w:start w:w="120" w:type="dxa"/>
              <w:bottom w:w="80" w:type="dxa"/>
              <w:end w:w="120" w:type="dxa"/>
            </w:tcMar>
            <w:vAlign w:val="center"/>
          </w:tcPr>
          <w:p>
            <w:pPr>
              <w:spacing w:after="0"/>
              <w:jc w:val="left"/>
            </w:pPr>
            <w:r>
              <w:rPr>
                <w:rFonts w:ascii="Calibri" w:hAnsi="Calibri"/>
                <w:b/>
                <w:color w:val="0B2545"/>
                <w:sz w:val="19"/>
              </w:rPr>
              <w:t>Resource</w:t>
            </w:r>
          </w:p>
        </w:tc>
        <w:tc>
          <w:tcPr>
            <w:tcW w:type="dxa" w:w="3480"/>
            <w:shd w:fill="F2F4F7"/>
            <w:tcMar>
              <w:top w:w="80" w:type="dxa"/>
              <w:start w:w="120" w:type="dxa"/>
              <w:bottom w:w="80" w:type="dxa"/>
              <w:end w:w="120" w:type="dxa"/>
            </w:tcMar>
            <w:vAlign w:val="center"/>
          </w:tcPr>
          <w:p>
            <w:pPr>
              <w:spacing w:after="0"/>
              <w:jc w:val="left"/>
            </w:pPr>
            <w:r>
              <w:rPr>
                <w:rFonts w:ascii="Calibri" w:hAnsi="Calibri"/>
                <w:b/>
                <w:color w:val="0B2545"/>
                <w:sz w:val="19"/>
              </w:rPr>
              <w:t>Representative endpoints</w:t>
            </w:r>
          </w:p>
        </w:tc>
        <w:tc>
          <w:tcPr>
            <w:tcW w:type="dxa" w:w="4180"/>
            <w:shd w:fill="F2F4F7"/>
            <w:tcMar>
              <w:top w:w="80" w:type="dxa"/>
              <w:start w:w="120" w:type="dxa"/>
              <w:bottom w:w="80" w:type="dxa"/>
              <w:end w:w="120" w:type="dxa"/>
            </w:tcMar>
            <w:vAlign w:val="center"/>
          </w:tcPr>
          <w:p>
            <w:pPr>
              <w:spacing w:after="0"/>
              <w:jc w:val="left"/>
            </w:pPr>
            <w:r>
              <w:rPr>
                <w:rFonts w:ascii="Calibri" w:hAnsi="Calibri"/>
                <w:b/>
                <w:color w:val="0B2545"/>
                <w:sz w:val="19"/>
              </w:rPr>
              <w:t>Purpose</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Authentication</w:t>
            </w:r>
          </w:p>
        </w:tc>
        <w:tc>
          <w:tcPr>
            <w:tcW w:type="dxa" w:w="3480"/>
            <w:tcMar>
              <w:top w:w="80" w:type="dxa"/>
              <w:start w:w="120" w:type="dxa"/>
              <w:bottom w:w="80" w:type="dxa"/>
              <w:end w:w="120" w:type="dxa"/>
            </w:tcMar>
            <w:vAlign w:val="center"/>
          </w:tcPr>
          <w:p>
            <w:pPr>
              <w:spacing w:after="0" w:line="259" w:lineRule="auto"/>
              <w:jc w:val="left"/>
            </w:pPr>
            <w:r>
              <w:rPr>
                <w:rFonts w:ascii="Calibri" w:hAnsi="Calibri"/>
                <w:color w:val="202124"/>
                <w:sz w:val="19"/>
              </w:rPr>
              <w:t>POST /api/auth/login</w:t>
            </w:r>
          </w:p>
        </w:tc>
        <w:tc>
          <w:tcPr>
            <w:tcW w:type="dxa" w:w="4180"/>
            <w:tcMar>
              <w:top w:w="80" w:type="dxa"/>
              <w:start w:w="120" w:type="dxa"/>
              <w:bottom w:w="80" w:type="dxa"/>
              <w:end w:w="120" w:type="dxa"/>
            </w:tcMar>
            <w:vAlign w:val="center"/>
          </w:tcPr>
          <w:p>
            <w:pPr>
              <w:spacing w:after="0" w:line="259" w:lineRule="auto"/>
              <w:jc w:val="left"/>
            </w:pPr>
            <w:r>
              <w:rPr>
                <w:rFonts w:ascii="Calibri" w:hAnsi="Calibri"/>
                <w:color w:val="202124"/>
                <w:sz w:val="19"/>
              </w:rPr>
              <w:t>Exchange configured credentials for a short-lived access token</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Services</w:t>
            </w:r>
          </w:p>
        </w:tc>
        <w:tc>
          <w:tcPr>
            <w:tcW w:type="dxa" w:w="3480"/>
            <w:tcMar>
              <w:top w:w="80" w:type="dxa"/>
              <w:start w:w="120" w:type="dxa"/>
              <w:bottom w:w="80" w:type="dxa"/>
              <w:end w:w="120" w:type="dxa"/>
            </w:tcMar>
            <w:vAlign w:val="center"/>
          </w:tcPr>
          <w:p>
            <w:pPr>
              <w:spacing w:after="0" w:line="259" w:lineRule="auto"/>
              <w:jc w:val="left"/>
            </w:pPr>
            <w:r>
              <w:rPr>
                <w:rFonts w:ascii="Calibri" w:hAnsi="Calibri"/>
                <w:color w:val="202124"/>
                <w:sz w:val="19"/>
              </w:rPr>
              <w:t>POST/GET /api/services; GET/DELETE /api/services/{id}</w:t>
            </w:r>
          </w:p>
        </w:tc>
        <w:tc>
          <w:tcPr>
            <w:tcW w:type="dxa" w:w="4180"/>
            <w:tcMar>
              <w:top w:w="80" w:type="dxa"/>
              <w:start w:w="120" w:type="dxa"/>
              <w:bottom w:w="80" w:type="dxa"/>
              <w:end w:w="120" w:type="dxa"/>
            </w:tcMar>
            <w:vAlign w:val="center"/>
          </w:tcPr>
          <w:p>
            <w:pPr>
              <w:spacing w:after="0" w:line="259" w:lineRule="auto"/>
              <w:jc w:val="left"/>
            </w:pPr>
            <w:r>
              <w:rPr>
                <w:rFonts w:ascii="Calibri" w:hAnsi="Calibri"/>
                <w:color w:val="202124"/>
                <w:sz w:val="19"/>
              </w:rPr>
              <w:t>Manage and inspect monitored services</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Thresholds</w:t>
            </w:r>
          </w:p>
        </w:tc>
        <w:tc>
          <w:tcPr>
            <w:tcW w:type="dxa" w:w="3480"/>
            <w:tcMar>
              <w:top w:w="80" w:type="dxa"/>
              <w:start w:w="120" w:type="dxa"/>
              <w:bottom w:w="80" w:type="dxa"/>
              <w:end w:w="120" w:type="dxa"/>
            </w:tcMar>
            <w:vAlign w:val="center"/>
          </w:tcPr>
          <w:p>
            <w:pPr>
              <w:spacing w:after="0" w:line="259" w:lineRule="auto"/>
              <w:jc w:val="left"/>
            </w:pPr>
            <w:r>
              <w:rPr>
                <w:rFonts w:ascii="Calibri" w:hAnsi="Calibri"/>
                <w:color w:val="202124"/>
                <w:sz w:val="19"/>
              </w:rPr>
              <w:t>PATCH /api/services/{id}/thresholds</w:t>
            </w:r>
          </w:p>
        </w:tc>
        <w:tc>
          <w:tcPr>
            <w:tcW w:type="dxa" w:w="4180"/>
            <w:tcMar>
              <w:top w:w="80" w:type="dxa"/>
              <w:start w:w="120" w:type="dxa"/>
              <w:bottom w:w="80" w:type="dxa"/>
              <w:end w:w="120" w:type="dxa"/>
            </w:tcMar>
            <w:vAlign w:val="center"/>
          </w:tcPr>
          <w:p>
            <w:pPr>
              <w:spacing w:after="0" w:line="259" w:lineRule="auto"/>
              <w:jc w:val="left"/>
            </w:pPr>
            <w:r>
              <w:rPr>
                <w:rFonts w:ascii="Calibri" w:hAnsi="Calibri"/>
                <w:color w:val="202124"/>
                <w:sz w:val="19"/>
              </w:rPr>
              <w:t>Update CPU and memory warning levels</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Metrics</w:t>
            </w:r>
          </w:p>
        </w:tc>
        <w:tc>
          <w:tcPr>
            <w:tcW w:type="dxa" w:w="3480"/>
            <w:tcMar>
              <w:top w:w="80" w:type="dxa"/>
              <w:start w:w="120" w:type="dxa"/>
              <w:bottom w:w="80" w:type="dxa"/>
              <w:end w:w="120" w:type="dxa"/>
            </w:tcMar>
            <w:vAlign w:val="center"/>
          </w:tcPr>
          <w:p>
            <w:pPr>
              <w:spacing w:after="0" w:line="259" w:lineRule="auto"/>
              <w:jc w:val="left"/>
            </w:pPr>
            <w:r>
              <w:rPr>
                <w:rFonts w:ascii="Calibri" w:hAnsi="Calibri"/>
                <w:color w:val="202124"/>
                <w:sz w:val="19"/>
              </w:rPr>
              <w:t>GET /api/services/{id}/metrics</w:t>
            </w:r>
          </w:p>
        </w:tc>
        <w:tc>
          <w:tcPr>
            <w:tcW w:type="dxa" w:w="4180"/>
            <w:tcMar>
              <w:top w:w="80" w:type="dxa"/>
              <w:start w:w="120" w:type="dxa"/>
              <w:bottom w:w="80" w:type="dxa"/>
              <w:end w:w="120" w:type="dxa"/>
            </w:tcMar>
            <w:vAlign w:val="center"/>
          </w:tcPr>
          <w:p>
            <w:pPr>
              <w:spacing w:after="0" w:line="259" w:lineRule="auto"/>
              <w:jc w:val="left"/>
            </w:pPr>
            <w:r>
              <w:rPr>
                <w:rFonts w:ascii="Calibri" w:hAnsi="Calibri"/>
                <w:color w:val="202124"/>
                <w:sz w:val="19"/>
              </w:rPr>
              <w:t>Read bounded chronological telemetry history</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Alerts</w:t>
            </w:r>
          </w:p>
        </w:tc>
        <w:tc>
          <w:tcPr>
            <w:tcW w:type="dxa" w:w="3480"/>
            <w:tcMar>
              <w:top w:w="80" w:type="dxa"/>
              <w:start w:w="120" w:type="dxa"/>
              <w:bottom w:w="80" w:type="dxa"/>
              <w:end w:w="120" w:type="dxa"/>
            </w:tcMar>
            <w:vAlign w:val="center"/>
          </w:tcPr>
          <w:p>
            <w:pPr>
              <w:spacing w:after="0" w:line="259" w:lineRule="auto"/>
              <w:jc w:val="left"/>
            </w:pPr>
            <w:r>
              <w:rPr>
                <w:rFonts w:ascii="Calibri" w:hAnsi="Calibri"/>
                <w:color w:val="202124"/>
                <w:sz w:val="19"/>
              </w:rPr>
              <w:t>GET service alerts; GET /api/alerts/active</w:t>
            </w:r>
          </w:p>
        </w:tc>
        <w:tc>
          <w:tcPr>
            <w:tcW w:type="dxa" w:w="4180"/>
            <w:tcMar>
              <w:top w:w="80" w:type="dxa"/>
              <w:start w:w="120" w:type="dxa"/>
              <w:bottom w:w="80" w:type="dxa"/>
              <w:end w:w="120" w:type="dxa"/>
            </w:tcMar>
            <w:vAlign w:val="center"/>
          </w:tcPr>
          <w:p>
            <w:pPr>
              <w:spacing w:after="0" w:line="259" w:lineRule="auto"/>
              <w:jc w:val="left"/>
            </w:pPr>
            <w:r>
              <w:rPr>
                <w:rFonts w:ascii="Calibri" w:hAnsi="Calibri"/>
                <w:color w:val="202124"/>
                <w:sz w:val="19"/>
              </w:rPr>
              <w:t>Read service history or dashboard-wide active alerts</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Health checks</w:t>
            </w:r>
          </w:p>
        </w:tc>
        <w:tc>
          <w:tcPr>
            <w:tcW w:type="dxa" w:w="3480"/>
            <w:tcMar>
              <w:top w:w="80" w:type="dxa"/>
              <w:start w:w="120" w:type="dxa"/>
              <w:bottom w:w="80" w:type="dxa"/>
              <w:end w:w="120" w:type="dxa"/>
            </w:tcMar>
            <w:vAlign w:val="center"/>
          </w:tcPr>
          <w:p>
            <w:pPr>
              <w:spacing w:after="0" w:line="259" w:lineRule="auto"/>
              <w:jc w:val="left"/>
            </w:pPr>
            <w:r>
              <w:rPr>
                <w:rFonts w:ascii="Calibri" w:hAnsi="Calibri"/>
                <w:color w:val="202124"/>
                <w:sz w:val="19"/>
              </w:rPr>
              <w:t>GET /api/services/{id}/health-checks</w:t>
            </w:r>
          </w:p>
        </w:tc>
        <w:tc>
          <w:tcPr>
            <w:tcW w:type="dxa" w:w="4180"/>
            <w:tcMar>
              <w:top w:w="80" w:type="dxa"/>
              <w:start w:w="120" w:type="dxa"/>
              <w:bottom w:w="80" w:type="dxa"/>
              <w:end w:w="120" w:type="dxa"/>
            </w:tcMar>
            <w:vAlign w:val="center"/>
          </w:tcPr>
          <w:p>
            <w:pPr>
              <w:spacing w:after="0" w:line="259" w:lineRule="auto"/>
              <w:jc w:val="left"/>
            </w:pPr>
            <w:r>
              <w:rPr>
                <w:rFonts w:ascii="Calibri" w:hAnsi="Calibri"/>
                <w:color w:val="202124"/>
                <w:sz w:val="19"/>
              </w:rPr>
              <w:t>Read bounded endpoint-check history</w:t>
            </w:r>
          </w:p>
        </w:tc>
      </w:tr>
      <w:tr>
        <w:tc>
          <w:tcPr>
            <w:tcW w:type="dxa" w:w="1700"/>
            <w:tcMar>
              <w:top w:w="80" w:type="dxa"/>
              <w:start w:w="120" w:type="dxa"/>
              <w:bottom w:w="80" w:type="dxa"/>
              <w:end w:w="120" w:type="dxa"/>
            </w:tcMar>
            <w:vAlign w:val="center"/>
          </w:tcPr>
          <w:p>
            <w:pPr>
              <w:spacing w:after="0" w:line="259" w:lineRule="auto"/>
              <w:jc w:val="left"/>
            </w:pPr>
            <w:r>
              <w:rPr>
                <w:rFonts w:ascii="Calibri" w:hAnsi="Calibri"/>
                <w:color w:val="202124"/>
                <w:sz w:val="19"/>
              </w:rPr>
              <w:t>Incidents</w:t>
            </w:r>
          </w:p>
        </w:tc>
        <w:tc>
          <w:tcPr>
            <w:tcW w:type="dxa" w:w="3480"/>
            <w:tcMar>
              <w:top w:w="80" w:type="dxa"/>
              <w:start w:w="120" w:type="dxa"/>
              <w:bottom w:w="80" w:type="dxa"/>
              <w:end w:w="120" w:type="dxa"/>
            </w:tcMar>
            <w:vAlign w:val="center"/>
          </w:tcPr>
          <w:p>
            <w:pPr>
              <w:spacing w:after="0" w:line="259" w:lineRule="auto"/>
              <w:jc w:val="left"/>
            </w:pPr>
            <w:r>
              <w:rPr>
                <w:rFonts w:ascii="Calibri" w:hAnsi="Calibri"/>
                <w:color w:val="202124"/>
                <w:sz w:val="19"/>
              </w:rPr>
              <w:t>GET service incidents; GET /api/incidents/active</w:t>
            </w:r>
          </w:p>
        </w:tc>
        <w:tc>
          <w:tcPr>
            <w:tcW w:type="dxa" w:w="4180"/>
            <w:tcMar>
              <w:top w:w="80" w:type="dxa"/>
              <w:start w:w="120" w:type="dxa"/>
              <w:bottom w:w="80" w:type="dxa"/>
              <w:end w:w="120" w:type="dxa"/>
            </w:tcMar>
            <w:vAlign w:val="center"/>
          </w:tcPr>
          <w:p>
            <w:pPr>
              <w:spacing w:after="0" w:line="259" w:lineRule="auto"/>
              <w:jc w:val="left"/>
            </w:pPr>
            <w:r>
              <w:rPr>
                <w:rFonts w:ascii="Calibri" w:hAnsi="Calibri"/>
                <w:color w:val="202124"/>
                <w:sz w:val="19"/>
              </w:rPr>
              <w:t>Read service history or dashboard-wide active incidents</w:t>
            </w:r>
          </w:p>
        </w:tc>
      </w:tr>
    </w:tbl>
    <w:p>
      <w:pPr>
        <w:spacing w:after="40"/>
      </w:pPr>
    </w:p>
    <w:p>
      <w:pPr>
        <w:pStyle w:val="Heading2"/>
      </w:pPr>
      <w:r>
        <w:t>STOMP destinations</w:t>
      </w:r>
    </w:p>
    <w:p>
      <w:pPr>
        <w:numPr>
          <w:ilvl w:val="0"/>
          <w:numId w:val="109"/>
        </w:numPr>
        <w:spacing w:after="160" w:line="280" w:lineRule="auto"/>
      </w:pPr>
      <w:r>
        <w:rPr>
          <w:rFonts w:ascii="Calibri" w:hAnsi="Calibri"/>
          <w:color w:val="202124"/>
          <w:sz w:val="22"/>
        </w:rPr>
        <w:t>/topic/services/{serviceId}/metrics - committed samples for the selected service.</w:t>
      </w:r>
    </w:p>
    <w:p>
      <w:pPr>
        <w:numPr>
          <w:ilvl w:val="0"/>
          <w:numId w:val="109"/>
        </w:numPr>
        <w:spacing w:after="160" w:line="280" w:lineRule="auto"/>
      </w:pPr>
      <w:r>
        <w:rPr>
          <w:rFonts w:ascii="Calibri" w:hAnsi="Calibri"/>
          <w:color w:val="202124"/>
          <w:sz w:val="22"/>
        </w:rPr>
        <w:t>/topic/services/{serviceId}/alerts and /topic/alerts - created or resolved threshold-alert events.</w:t>
      </w:r>
    </w:p>
    <w:p>
      <w:pPr>
        <w:numPr>
          <w:ilvl w:val="0"/>
          <w:numId w:val="109"/>
        </w:numPr>
        <w:spacing w:after="160" w:line="280" w:lineRule="auto"/>
      </w:pPr>
      <w:r>
        <w:rPr>
          <w:rFonts w:ascii="Calibri" w:hAnsi="Calibri"/>
          <w:color w:val="202124"/>
          <w:sz w:val="22"/>
        </w:rPr>
        <w:t>/topic/services/{serviceId}/health-checks and /topic/health-checks - latest endpoint results.</w:t>
      </w:r>
    </w:p>
    <w:p>
      <w:pPr>
        <w:numPr>
          <w:ilvl w:val="0"/>
          <w:numId w:val="109"/>
        </w:numPr>
        <w:spacing w:after="160" w:line="280" w:lineRule="auto"/>
      </w:pPr>
      <w:r>
        <w:rPr>
          <w:rFonts w:ascii="Calibri" w:hAnsi="Calibri"/>
          <w:color w:val="202124"/>
          <w:sz w:val="22"/>
        </w:rPr>
        <w:t>/topic/services/{serviceId}/incidents and /topic/incidents - created or resolved outage events.</w:t>
      </w:r>
    </w:p>
    <w:p>
      <w:r>
        <w:rPr>
          <w:rFonts w:ascii="Calibri" w:hAnsi="Calibri"/>
          <w:color w:val="202124"/>
          <w:sz w:val="22"/>
        </w:rPr>
        <w:t>The React provider owns one reconnecting STOMP connection, attaches the same bearer token used for REST, restores subscriptions after reconnection, and invokes recovery callbacks so missed state can be reloaded from durable APIs.</w:t>
      </w:r>
    </w:p>
    <w:p>
      <w:pPr>
        <w:pStyle w:val="Heading2"/>
      </w:pPr>
      <w:r>
        <w:t>Error handling</w:t>
      </w:r>
    </w:p>
    <w:p>
      <w:r>
        <w:rPr>
          <w:rFonts w:ascii="Calibri" w:hAnsi="Calibri"/>
          <w:color w:val="202124"/>
          <w:sz w:val="22"/>
        </w:rPr>
        <w:t>Validation, duplicate-service, missing-resource, and unexpected failures are translated into a consistent API error structure. The UI retains explicit loading and error states rather than hiding failures. Scheduled work isolates one service failure so a single unavailable or malformed destination does not prevent remaining services from being processed.</w:t>
      </w:r>
    </w:p>
    <w:p>
      <w:pPr>
        <w:pStyle w:val="Heading1"/>
      </w:pPr>
      <w:r>
        <w:t>5. Security and resilience</w:t>
      </w:r>
    </w:p>
    <w:p>
      <w:pPr>
        <w:pStyle w:val="Heading2"/>
      </w:pPr>
      <w:r>
        <w:t>Authentication and authorization</w:t>
      </w:r>
    </w:p>
    <w:p>
      <w:r>
        <w:rPr>
          <w:rFonts w:ascii="Calibri" w:hAnsi="Calibri"/>
          <w:color w:val="202124"/>
          <w:sz w:val="22"/>
        </w:rPr>
        <w:t>Pulse uses one environment-configured application user. The server stores only a BCrypt password hash and signs short-lived tokens with an HMAC-SHA-256 secret. REST requests carry the token as a bearer credential, while STOMP clients send it in the CONNECT frame. The public surface is limited to login and the health actuator endpoint used by container probes.</w:t>
      </w:r>
    </w:p>
    <w:p>
      <w:pPr>
        <w:pStyle w:val="Heading2"/>
      </w:pPr>
      <w:r>
        <w:t>Outbound-request protection</w:t>
      </w:r>
    </w:p>
    <w:p>
      <w:r>
        <w:rPr>
          <w:rFonts w:ascii="Calibri" w:hAnsi="Calibri"/>
          <w:color w:val="202124"/>
          <w:sz w:val="22"/>
        </w:rPr>
        <w:t>Monitoring arbitrary user-supplied URLs introduces server-side request forgery risk. Pulse responds with multiple controls: only absolute HTTP/HTTPS endpoints are accepted; resolved addresses must be public; DNS validation is repeated before each request; the HTTP client is pinned to validated addresses; and redirects are not automatically followed. These defenses materially reduce access to internal networks and cloud metadata services.</w:t>
      </w:r>
    </w:p>
    <w:p>
      <w:pPr>
        <w:pStyle w:val="Heading2"/>
      </w:pPr>
      <w:r>
        <w:t>Failure isolation</w:t>
      </w:r>
    </w:p>
    <w:p>
      <w:pPr>
        <w:numPr>
          <w:ilvl w:val="0"/>
          <w:numId w:val="109"/>
        </w:numPr>
        <w:spacing w:after="160" w:line="280" w:lineRule="auto"/>
      </w:pPr>
      <w:r>
        <w:rPr>
          <w:rFonts w:ascii="Calibri" w:hAnsi="Calibri"/>
          <w:color w:val="202124"/>
          <w:sz w:val="22"/>
        </w:rPr>
        <w:t>Scheduled checks and metric generation isolate failures by service.</w:t>
      </w:r>
    </w:p>
    <w:p>
      <w:pPr>
        <w:numPr>
          <w:ilvl w:val="0"/>
          <w:numId w:val="109"/>
        </w:numPr>
        <w:spacing w:after="160" w:line="280" w:lineRule="auto"/>
      </w:pPr>
      <w:r>
        <w:rPr>
          <w:rFonts w:ascii="Calibri" w:hAnsi="Calibri"/>
          <w:color w:val="202124"/>
          <w:sz w:val="22"/>
        </w:rPr>
        <w:t>Notification failures are logged without rolling back incident state or interrupting in-app delivery.</w:t>
      </w:r>
    </w:p>
    <w:p>
      <w:pPr>
        <w:numPr>
          <w:ilvl w:val="0"/>
          <w:numId w:val="109"/>
        </w:numPr>
        <w:spacing w:after="160" w:line="280" w:lineRule="auto"/>
      </w:pPr>
      <w:r>
        <w:rPr>
          <w:rFonts w:ascii="Calibri" w:hAnsi="Calibri"/>
          <w:color w:val="202124"/>
          <w:sz w:val="22"/>
        </w:rPr>
        <w:t>After-commit event listeners prevent phantom updates after transaction rollback.</w:t>
      </w:r>
    </w:p>
    <w:p>
      <w:pPr>
        <w:numPr>
          <w:ilvl w:val="0"/>
          <w:numId w:val="109"/>
        </w:numPr>
        <w:spacing w:after="160" w:line="280" w:lineRule="auto"/>
      </w:pPr>
      <w:r>
        <w:rPr>
          <w:rFonts w:ascii="Calibri" w:hAnsi="Calibri"/>
          <w:color w:val="202124"/>
          <w:sz w:val="22"/>
        </w:rPr>
        <w:t>Partial unique indexes defend the one-active-episode invariant under concurrent execution.</w:t>
      </w:r>
    </w:p>
    <w:p>
      <w:pPr>
        <w:numPr>
          <w:ilvl w:val="0"/>
          <w:numId w:val="109"/>
        </w:numPr>
        <w:spacing w:after="160" w:line="280" w:lineRule="auto"/>
      </w:pPr>
      <w:r>
        <w:rPr>
          <w:rFonts w:ascii="Calibri" w:hAnsi="Calibri"/>
          <w:color w:val="202124"/>
          <w:sz w:val="22"/>
        </w:rPr>
        <w:t>Container health checks and dependency ordering improve startup behavior in Compose.</w:t>
      </w:r>
    </w:p>
    <w:p>
      <w:pPr>
        <w:pStyle w:val="Heading2"/>
      </w:pPr>
      <w:r>
        <w:t>Security and operational gaps</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050"/>
        <w:gridCol w:w="3350"/>
        <w:gridCol w:w="3960"/>
      </w:tblGrid>
      <w:tr>
        <w:trPr>
          <w:tblHeader w:val="true"/>
        </w:trPr>
        <w:tc>
          <w:tcPr>
            <w:tcW w:type="dxa" w:w="2050"/>
            <w:shd w:fill="F2F4F7"/>
            <w:tcMar>
              <w:top w:w="80" w:type="dxa"/>
              <w:start w:w="120" w:type="dxa"/>
              <w:bottom w:w="80" w:type="dxa"/>
              <w:end w:w="120" w:type="dxa"/>
            </w:tcMar>
            <w:vAlign w:val="center"/>
          </w:tcPr>
          <w:p>
            <w:pPr>
              <w:spacing w:after="0"/>
              <w:jc w:val="left"/>
            </w:pPr>
            <w:r>
              <w:rPr>
                <w:rFonts w:ascii="Calibri" w:hAnsi="Calibri"/>
                <w:b/>
                <w:color w:val="0B2545"/>
                <w:sz w:val="19"/>
              </w:rPr>
              <w:t>Gap</w:t>
            </w:r>
          </w:p>
        </w:tc>
        <w:tc>
          <w:tcPr>
            <w:tcW w:type="dxa" w:w="3350"/>
            <w:shd w:fill="F2F4F7"/>
            <w:tcMar>
              <w:top w:w="80" w:type="dxa"/>
              <w:start w:w="120" w:type="dxa"/>
              <w:bottom w:w="80" w:type="dxa"/>
              <w:end w:w="120" w:type="dxa"/>
            </w:tcMar>
            <w:vAlign w:val="center"/>
          </w:tcPr>
          <w:p>
            <w:pPr>
              <w:spacing w:after="0"/>
              <w:jc w:val="left"/>
            </w:pPr>
            <w:r>
              <w:rPr>
                <w:rFonts w:ascii="Calibri" w:hAnsi="Calibri"/>
                <w:b/>
                <w:color w:val="0B2545"/>
                <w:sz w:val="19"/>
              </w:rPr>
              <w:t>Impact</w:t>
            </w:r>
          </w:p>
        </w:tc>
        <w:tc>
          <w:tcPr>
            <w:tcW w:type="dxa" w:w="3960"/>
            <w:shd w:fill="F2F4F7"/>
            <w:tcMar>
              <w:top w:w="80" w:type="dxa"/>
              <w:start w:w="120" w:type="dxa"/>
              <w:bottom w:w="80" w:type="dxa"/>
              <w:end w:w="120" w:type="dxa"/>
            </w:tcMar>
            <w:vAlign w:val="center"/>
          </w:tcPr>
          <w:p>
            <w:pPr>
              <w:spacing w:after="0"/>
              <w:jc w:val="left"/>
            </w:pPr>
            <w:r>
              <w:rPr>
                <w:rFonts w:ascii="Calibri" w:hAnsi="Calibri"/>
                <w:b/>
                <w:color w:val="0B2545"/>
                <w:sz w:val="19"/>
              </w:rPr>
              <w:t>Recommended control</w:t>
            </w:r>
          </w:p>
        </w:tc>
      </w:tr>
      <w:tr>
        <w:tc>
          <w:tcPr>
            <w:tcW w:type="dxa" w:w="2050"/>
            <w:tcMar>
              <w:top w:w="80" w:type="dxa"/>
              <w:start w:w="120" w:type="dxa"/>
              <w:bottom w:w="80" w:type="dxa"/>
              <w:end w:w="120" w:type="dxa"/>
            </w:tcMar>
            <w:vAlign w:val="center"/>
          </w:tcPr>
          <w:p>
            <w:pPr>
              <w:spacing w:after="0" w:line="259" w:lineRule="auto"/>
              <w:jc w:val="left"/>
            </w:pPr>
            <w:r>
              <w:rPr>
                <w:rFonts w:ascii="Calibri" w:hAnsi="Calibri"/>
                <w:color w:val="202124"/>
                <w:sz w:val="19"/>
              </w:rPr>
              <w:t>Single shared user</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02124"/>
                <w:sz w:val="19"/>
              </w:rPr>
              <w:t>No individual accountability or role separation</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Add managed identity, per-user accounts, and authorization roles when the product becomes multi-user</w:t>
            </w:r>
          </w:p>
        </w:tc>
      </w:tr>
      <w:tr>
        <w:tc>
          <w:tcPr>
            <w:tcW w:type="dxa" w:w="2050"/>
            <w:tcMar>
              <w:top w:w="80" w:type="dxa"/>
              <w:start w:w="120" w:type="dxa"/>
              <w:bottom w:w="80" w:type="dxa"/>
              <w:end w:w="120" w:type="dxa"/>
            </w:tcMar>
            <w:vAlign w:val="center"/>
          </w:tcPr>
          <w:p>
            <w:pPr>
              <w:spacing w:after="0" w:line="259" w:lineRule="auto"/>
              <w:jc w:val="left"/>
            </w:pPr>
            <w:r>
              <w:rPr>
                <w:rFonts w:ascii="Calibri" w:hAnsi="Calibri"/>
                <w:color w:val="202124"/>
                <w:sz w:val="19"/>
              </w:rPr>
              <w:t>HTTP production placeholder</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02124"/>
                <w:sz w:val="19"/>
              </w:rPr>
              <w:t>Credentials and data are unsafe if exposed directly</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Terminate TLS before internet exposure and redirect HTTP to HTTPS</w:t>
            </w:r>
          </w:p>
        </w:tc>
      </w:tr>
      <w:tr>
        <w:tc>
          <w:tcPr>
            <w:tcW w:type="dxa" w:w="2050"/>
            <w:tcMar>
              <w:top w:w="80" w:type="dxa"/>
              <w:start w:w="120" w:type="dxa"/>
              <w:bottom w:w="80" w:type="dxa"/>
              <w:end w:w="120" w:type="dxa"/>
            </w:tcMar>
            <w:vAlign w:val="center"/>
          </w:tcPr>
          <w:p>
            <w:pPr>
              <w:spacing w:after="0" w:line="259" w:lineRule="auto"/>
              <w:jc w:val="left"/>
            </w:pPr>
            <w:r>
              <w:rPr>
                <w:rFonts w:ascii="Calibri" w:hAnsi="Calibri"/>
                <w:color w:val="202124"/>
                <w:sz w:val="19"/>
              </w:rPr>
              <w:t>Environment/.env secrets</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02124"/>
                <w:sz w:val="19"/>
              </w:rPr>
              <w:t>Secrets depend on host file hygiene</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Use a managed secret store and rotation process</w:t>
            </w:r>
          </w:p>
        </w:tc>
      </w:tr>
      <w:tr>
        <w:tc>
          <w:tcPr>
            <w:tcW w:type="dxa" w:w="2050"/>
            <w:tcMar>
              <w:top w:w="80" w:type="dxa"/>
              <w:start w:w="120" w:type="dxa"/>
              <w:bottom w:w="80" w:type="dxa"/>
              <w:end w:w="120" w:type="dxa"/>
            </w:tcMar>
            <w:vAlign w:val="center"/>
          </w:tcPr>
          <w:p>
            <w:pPr>
              <w:spacing w:after="0" w:line="259" w:lineRule="auto"/>
              <w:jc w:val="left"/>
            </w:pPr>
            <w:r>
              <w:rPr>
                <w:rFonts w:ascii="Calibri" w:hAnsi="Calibri"/>
                <w:color w:val="202124"/>
                <w:sz w:val="19"/>
              </w:rPr>
              <w:t>No documented rate limits</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02124"/>
                <w:sz w:val="19"/>
              </w:rPr>
              <w:t>Login/API abuse could consume resources</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Add proxy or application-level throttling and audit events</w:t>
            </w:r>
          </w:p>
        </w:tc>
      </w:tr>
      <w:tr>
        <w:tc>
          <w:tcPr>
            <w:tcW w:type="dxa" w:w="2050"/>
            <w:tcMar>
              <w:top w:w="80" w:type="dxa"/>
              <w:start w:w="120" w:type="dxa"/>
              <w:bottom w:w="80" w:type="dxa"/>
              <w:end w:w="120" w:type="dxa"/>
            </w:tcMar>
            <w:vAlign w:val="center"/>
          </w:tcPr>
          <w:p>
            <w:pPr>
              <w:spacing w:after="0" w:line="259" w:lineRule="auto"/>
              <w:jc w:val="left"/>
            </w:pPr>
            <w:r>
              <w:rPr>
                <w:rFonts w:ascii="Calibri" w:hAnsi="Calibri"/>
                <w:color w:val="202124"/>
                <w:sz w:val="19"/>
              </w:rPr>
              <w:t>No retention policy</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02124"/>
                <w:sz w:val="19"/>
              </w:rPr>
              <w:t>Metrics and checks grow indefinitely</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202124"/>
                <w:sz w:val="19"/>
              </w:rPr>
              <w:t>Define retention, aggregation, and archive rules before long-running use</w:t>
            </w:r>
          </w:p>
        </w:tc>
      </w:tr>
    </w:tbl>
    <w:p>
      <w:pPr>
        <w:spacing w:after="40"/>
      </w:pPr>
    </w:p>
    <w:p>
      <w:pPr>
        <w:pStyle w:val="Heading1"/>
      </w:pPr>
      <w:r>
        <w:t>6. Deployment and operations</w:t>
      </w:r>
    </w:p>
    <w:p>
      <w:pPr>
        <w:pStyle w:val="Heading2"/>
      </w:pPr>
      <w:r>
        <w:t>Local full-stack deployment</w:t>
      </w:r>
    </w:p>
    <w:p>
      <w:r>
        <w:rPr>
          <w:rFonts w:ascii="Calibri" w:hAnsi="Calibri"/>
          <w:color w:val="202124"/>
          <w:sz w:val="22"/>
        </w:rPr>
        <w:t>docker-compose.yml runs PostgreSQL, the backend, and the frontend. PostgreSQL and Spring Boot bind only to host loopback for diagnostics, while Nginx publishes the dashboard on port 3000. Containers communicate by Compose service name, PostgreSQL data uses a named volume, and browser API/WebSocket paths remain same-origin through the frontend proxy.</w:t>
      </w:r>
    </w:p>
    <w:p>
      <w:pPr>
        <w:pStyle w:val="Heading2"/>
      </w:pPr>
      <w:r>
        <w:t>Production-oriented deployment</w:t>
      </w:r>
    </w:p>
    <w:p>
      <w:r>
        <w:rPr>
          <w:rFonts w:ascii="Calibri" w:hAnsi="Calibri"/>
          <w:color w:val="202124"/>
          <w:sz w:val="22"/>
        </w:rPr>
        <w:t>docker-compose.production.yml runs PostgreSQL, Spring Boot, and a dedicated Nginx reverse proxy. PostgreSQL sits on an internal data network; the backend joins data and edge networks; only the proxy publishes a host port. The React frontend is intentionally excluded for separate hosting. The configuration exposes /api, /ws, and exactly /actuator/health through the proxy.</w:t>
      </w:r>
    </w:p>
    <w:tbl>
      <w:tblPr>
        <w:tblStyle w:val="TableGrid"/>
        <w:tblW w:type="dxa" w:w="9360"/>
        <w:jc w:val="left"/>
        <w:tblLayout w:type="fixed"/>
        <w:tblLook w:firstColumn="1" w:firstRow="1" w:lastColumn="0" w:lastRow="0" w:noHBand="0" w:noVBand="1" w:val="04A0"/>
        <w:tblInd w:w="120" w:type="dxa"/>
        <w:tblBorders>
          <w:top w:val="single" w:sz="8" w:color="7A5A00"/>
          <w:left w:val="single" w:sz="8" w:color="7A5A00"/>
          <w:bottom w:val="single" w:sz="8" w:color="7A5A00"/>
          <w:right w:val="single" w:sz="8" w:color="7A5A00"/>
          <w:insideH w:val="single" w:sz="8" w:color="7A5A00"/>
          <w:insideV w:val="single" w:sz="8" w:color="7A5A00"/>
        </w:tblBorders>
      </w:tblPr>
      <w:tblGrid>
        <w:gridCol w:w="9360"/>
      </w:tblGrid>
      <w:tr>
        <w:trPr>
          <w:tblHeader w:val="true"/>
        </w:trPr>
        <w:tc>
          <w:tcPr>
            <w:tcW w:type="dxa" w:w="9360"/>
            <w:tcMar>
              <w:top w:w="80" w:type="dxa"/>
              <w:start w:w="120" w:type="dxa"/>
              <w:bottom w:w="80" w:type="dxa"/>
              <w:end w:w="120" w:type="dxa"/>
            </w:tcMar>
            <w:vAlign w:val="center"/>
            <w:shd w:fill="FFF8E8"/>
          </w:tcPr>
          <w:p>
            <w:pPr>
              <w:spacing w:after="40"/>
            </w:pPr>
            <w:r>
              <w:rPr>
                <w:rFonts w:ascii="Calibri" w:hAnsi="Calibri"/>
                <w:b/>
                <w:color w:val="7A5A00"/>
                <w:sz w:val="22"/>
              </w:rPr>
              <w:t xml:space="preserve">Production note  </w:t>
            </w:r>
            <w:r>
              <w:rPr>
                <w:rFonts w:ascii="Calibri" w:hAnsi="Calibri"/>
                <w:color w:val="202124"/>
                <w:sz w:val="22"/>
              </w:rPr>
              <w:t>Port 80 is an HTTP-only validation placeholder. TLS termination, protected secret injection, database backups, restore testing, and monitoring of the monitoring system are required before internet-facing deployment.</w:t>
            </w:r>
          </w:p>
        </w:tc>
      </w:tr>
    </w:tbl>
    <w:p>
      <w:pPr>
        <w:spacing w:after="40"/>
      </w:pPr>
    </w:p>
    <w:p>
      <w:pPr>
        <w:pStyle w:val="Heading2"/>
      </w:pPr>
      <w:r>
        <w:t>Configuration model</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1600"/>
        <w:gridCol w:w="3900"/>
        <w:gridCol w:w="3860"/>
      </w:tblGrid>
      <w:tr>
        <w:trPr>
          <w:tblHeader w:val="true"/>
        </w:trPr>
        <w:tc>
          <w:tcPr>
            <w:tcW w:type="dxa" w:w="1600"/>
            <w:shd w:fill="F2F4F7"/>
            <w:tcMar>
              <w:top w:w="80" w:type="dxa"/>
              <w:start w:w="120" w:type="dxa"/>
              <w:bottom w:w="80" w:type="dxa"/>
              <w:end w:w="120" w:type="dxa"/>
            </w:tcMar>
            <w:vAlign w:val="center"/>
          </w:tcPr>
          <w:p>
            <w:pPr>
              <w:spacing w:after="0"/>
              <w:jc w:val="left"/>
            </w:pPr>
            <w:r>
              <w:rPr>
                <w:rFonts w:ascii="Calibri" w:hAnsi="Calibri"/>
                <w:b/>
                <w:color w:val="0B2545"/>
                <w:sz w:val="19"/>
              </w:rPr>
              <w:t>Group</w:t>
            </w:r>
          </w:p>
        </w:tc>
        <w:tc>
          <w:tcPr>
            <w:tcW w:type="dxa" w:w="3900"/>
            <w:shd w:fill="F2F4F7"/>
            <w:tcMar>
              <w:top w:w="80" w:type="dxa"/>
              <w:start w:w="120" w:type="dxa"/>
              <w:bottom w:w="80" w:type="dxa"/>
              <w:end w:w="120" w:type="dxa"/>
            </w:tcMar>
            <w:vAlign w:val="center"/>
          </w:tcPr>
          <w:p>
            <w:pPr>
              <w:spacing w:after="0"/>
              <w:jc w:val="left"/>
            </w:pPr>
            <w:r>
              <w:rPr>
                <w:rFonts w:ascii="Calibri" w:hAnsi="Calibri"/>
                <w:b/>
                <w:color w:val="0B2545"/>
                <w:sz w:val="19"/>
              </w:rPr>
              <w:t>Representative settings</w:t>
            </w:r>
          </w:p>
        </w:tc>
        <w:tc>
          <w:tcPr>
            <w:tcW w:type="dxa" w:w="3860"/>
            <w:shd w:fill="F2F4F7"/>
            <w:tcMar>
              <w:top w:w="80" w:type="dxa"/>
              <w:start w:w="120" w:type="dxa"/>
              <w:bottom w:w="80" w:type="dxa"/>
              <w:end w:w="120" w:type="dxa"/>
            </w:tcMar>
            <w:vAlign w:val="center"/>
          </w:tcPr>
          <w:p>
            <w:pPr>
              <w:spacing w:after="0"/>
              <w:jc w:val="left"/>
            </w:pPr>
            <w:r>
              <w:rPr>
                <w:rFonts w:ascii="Calibri" w:hAnsi="Calibri"/>
                <w:b/>
                <w:color w:val="0B2545"/>
                <w:sz w:val="19"/>
              </w:rPr>
              <w:t>Default behavior</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Security</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PULSE_AUTH_*, PULSE_JWT_*</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Credentials required; 15-minute token lifetime</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Metrics</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PULSE_METRICS_ENABLED, interval, query limits</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Enabled; 5-second generation interval</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Health</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PULSE_HEALTH_ENABLED, interval, timeout, limits</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Enabled; 30-second interval; 3-second timeout</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History</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Alert/health/incident default and maximum limits</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Bounded requests, generally 100 default and 500 maximum</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Notifications</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PULSE_TELEGRAM_*</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Disabled unless explicitly enabled and configured</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Browser routing</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VITE_API_BASE_URL, VITE_WS_URL, CORS_ALLOWED_ORIGIN</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Relative same-origin routes in Compose</w:t>
            </w:r>
          </w:p>
        </w:tc>
      </w:tr>
    </w:tbl>
    <w:p>
      <w:pPr>
        <w:spacing w:after="40"/>
      </w:pPr>
    </w:p>
    <w:p>
      <w:pPr>
        <w:pStyle w:val="Heading2"/>
      </w:pPr>
      <w:r>
        <w:t>Operational priorities</w:t>
      </w:r>
    </w:p>
    <w:p>
      <w:pPr>
        <w:numPr>
          <w:ilvl w:val="0"/>
          <w:numId w:val="109"/>
        </w:numPr>
        <w:spacing w:after="160" w:line="280" w:lineRule="auto"/>
      </w:pPr>
      <w:r>
        <w:rPr>
          <w:rFonts w:ascii="Calibri" w:hAnsi="Calibri"/>
          <w:color w:val="202124"/>
          <w:sz w:val="22"/>
        </w:rPr>
        <w:t>Automate PostgreSQL backups and regularly prove restore procedures.</w:t>
      </w:r>
    </w:p>
    <w:p>
      <w:pPr>
        <w:numPr>
          <w:ilvl w:val="0"/>
          <w:numId w:val="109"/>
        </w:numPr>
        <w:spacing w:after="160" w:line="280" w:lineRule="auto"/>
      </w:pPr>
      <w:r>
        <w:rPr>
          <w:rFonts w:ascii="Calibri" w:hAnsi="Calibri"/>
          <w:color w:val="202124"/>
          <w:sz w:val="22"/>
        </w:rPr>
        <w:t>Add structured application logs, scheduler health indicators, and alerting for Pulse itself.</w:t>
      </w:r>
    </w:p>
    <w:p>
      <w:pPr>
        <w:numPr>
          <w:ilvl w:val="0"/>
          <w:numId w:val="109"/>
        </w:numPr>
        <w:spacing w:after="160" w:line="280" w:lineRule="auto"/>
      </w:pPr>
      <w:r>
        <w:rPr>
          <w:rFonts w:ascii="Calibri" w:hAnsi="Calibri"/>
          <w:color w:val="202124"/>
          <w:sz w:val="22"/>
        </w:rPr>
        <w:t>Establish retention and aggregation policies for high-volume history tables.</w:t>
      </w:r>
    </w:p>
    <w:p>
      <w:pPr>
        <w:numPr>
          <w:ilvl w:val="0"/>
          <w:numId w:val="109"/>
        </w:numPr>
        <w:spacing w:after="160" w:line="280" w:lineRule="auto"/>
      </w:pPr>
      <w:r>
        <w:rPr>
          <w:rFonts w:ascii="Calibri" w:hAnsi="Calibri"/>
          <w:color w:val="202124"/>
          <w:sz w:val="22"/>
        </w:rPr>
        <w:t>Pin and scan container images and automate dependency update review.</w:t>
      </w:r>
    </w:p>
    <w:p>
      <w:pPr>
        <w:pStyle w:val="Heading1"/>
      </w:pPr>
      <w:r>
        <w:t>7. Quality and maintainability</w:t>
      </w:r>
    </w:p>
    <w:p>
      <w:pPr>
        <w:pStyle w:val="Heading2"/>
      </w:pPr>
      <w:r>
        <w:t>Testing posture</w:t>
      </w:r>
    </w:p>
    <w:p>
      <w:r>
        <w:rPr>
          <w:rFonts w:ascii="Calibri" w:hAnsi="Calibri"/>
          <w:color w:val="202124"/>
          <w:sz w:val="22"/>
        </w:rPr>
        <w:t>The repository contains 21 backend test source files and 6 frontend test source files. Backend coverage includes authentication and authorization, service management, persistence workflows, threshold-alert lifecycles, health checking, endpoint validation, incident notification, WebSocket destinations, after-commit listeners, and notification failure behavior. Frontend tests cover session behavior, duplicate-event handling, incident rendering, health APIs, and telemetry gating.</w:t>
      </w:r>
    </w:p>
    <w:p>
      <w:r>
        <w:rPr>
          <w:rFonts w:ascii="Calibri" w:hAnsi="Calibri"/>
          <w:color w:val="202124"/>
          <w:sz w:val="22"/>
        </w:rPr>
        <w:t>Backend integration tests use PostgreSQL rather than an in-memory substitute, which improves fidelity for Flyway migrations, constraints, partial indexes, locking, and PostgreSQL-specific behavior. The verification workflow also includes backend packaging, frontend type-check/build, Compose validation, and container health checks.</w:t>
      </w:r>
    </w:p>
    <w:p>
      <w:pPr>
        <w:pStyle w:val="Heading2"/>
      </w:pPr>
      <w:r>
        <w:t>Maintainability strengths</w:t>
      </w:r>
    </w:p>
    <w:p>
      <w:pPr>
        <w:numPr>
          <w:ilvl w:val="0"/>
          <w:numId w:val="109"/>
        </w:numPr>
        <w:spacing w:after="160" w:line="280" w:lineRule="auto"/>
      </w:pPr>
      <w:r>
        <w:rPr>
          <w:rFonts w:ascii="Calibri" w:hAnsi="Calibri"/>
          <w:color w:val="202124"/>
          <w:sz w:val="22"/>
        </w:rPr>
        <w:t>Conventional package boundaries make responsibilities easy to locate.</w:t>
      </w:r>
    </w:p>
    <w:p>
      <w:pPr>
        <w:numPr>
          <w:ilvl w:val="0"/>
          <w:numId w:val="109"/>
        </w:numPr>
        <w:spacing w:after="160" w:line="280" w:lineRule="auto"/>
      </w:pPr>
      <w:r>
        <w:rPr>
          <w:rFonts w:ascii="Calibri" w:hAnsi="Calibri"/>
          <w:color w:val="202124"/>
          <w:sz w:val="22"/>
        </w:rPr>
        <w:t>Request/response DTOs prevent persistence entities from becoming the external API contract.</w:t>
      </w:r>
    </w:p>
    <w:p>
      <w:pPr>
        <w:numPr>
          <w:ilvl w:val="0"/>
          <w:numId w:val="109"/>
        </w:numPr>
        <w:spacing w:after="160" w:line="280" w:lineRule="auto"/>
      </w:pPr>
      <w:r>
        <w:rPr>
          <w:rFonts w:ascii="Calibri" w:hAnsi="Calibri"/>
          <w:color w:val="202124"/>
          <w:sz w:val="22"/>
        </w:rPr>
        <w:t>Flyway is the single schema owner while Hibernate validates rather than mutates production structure.</w:t>
      </w:r>
    </w:p>
    <w:p>
      <w:pPr>
        <w:numPr>
          <w:ilvl w:val="0"/>
          <w:numId w:val="109"/>
        </w:numPr>
        <w:spacing w:after="160" w:line="280" w:lineRule="auto"/>
      </w:pPr>
      <w:r>
        <w:rPr>
          <w:rFonts w:ascii="Calibri" w:hAnsi="Calibri"/>
          <w:color w:val="202124"/>
          <w:sz w:val="22"/>
        </w:rPr>
        <w:t>Provider-neutral notification interfaces keep Telegram out of incident state logic.</w:t>
      </w:r>
    </w:p>
    <w:p>
      <w:pPr>
        <w:numPr>
          <w:ilvl w:val="0"/>
          <w:numId w:val="109"/>
        </w:numPr>
        <w:spacing w:after="160" w:line="280" w:lineRule="auto"/>
      </w:pPr>
      <w:r>
        <w:rPr>
          <w:rFonts w:ascii="Calibri" w:hAnsi="Calibri"/>
          <w:color w:val="202124"/>
          <w:sz w:val="22"/>
        </w:rPr>
        <w:t>Configurable schedules and query bounds support testing and deployment without rebuilding.</w:t>
      </w:r>
    </w:p>
    <w:p>
      <w:pPr>
        <w:numPr>
          <w:ilvl w:val="0"/>
          <w:numId w:val="109"/>
        </w:numPr>
        <w:spacing w:after="160" w:line="280" w:lineRule="auto"/>
      </w:pPr>
      <w:r>
        <w:rPr>
          <w:rFonts w:ascii="Calibri" w:hAnsi="Calibri"/>
          <w:color w:val="202124"/>
          <w:sz w:val="22"/>
        </w:rPr>
        <w:t>REST recovery plus idempotent event application avoids treating a transient socket as durable infrastructure.</w:t>
      </w:r>
    </w:p>
    <w:p>
      <w:pPr>
        <w:pStyle w:val="Heading2"/>
      </w:pPr>
      <w:r>
        <w:t>Maintainability concerns</w:t>
      </w:r>
    </w:p>
    <w:p>
      <w:r>
        <w:rPr>
          <w:rFonts w:ascii="Calibri" w:hAnsi="Calibri"/>
          <w:color w:val="202124"/>
          <w:sz w:val="22"/>
        </w:rPr>
        <w:t>The detailed architecture document is still labeled Phase 1 and does not yet describe health checks, incidents, authentication, or Telegram, while the implementation has moved into the Phase 2 scope. Consolidating those design records would reduce documentation drift. The product also has two conceptual alert streams - telemetry alerts and availability incidents - which are correctly separated in code but should remain clearly distinguished in UI language and future APIs.</w:t>
      </w:r>
    </w:p>
    <w:p>
      <w:pPr>
        <w:pStyle w:val="Heading1"/>
      </w:pPr>
      <w:r>
        <w:t>8. Risks, limitations, and roadmap</w:t>
      </w:r>
    </w:p>
    <w:p>
      <w:pPr>
        <w:pStyle w:val="Heading2"/>
      </w:pPr>
      <w:r>
        <w:t>Current limitations</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1600"/>
        <w:gridCol w:w="3900"/>
        <w:gridCol w:w="3860"/>
      </w:tblGrid>
      <w:tr>
        <w:trPr>
          <w:tblHeader w:val="true"/>
        </w:trPr>
        <w:tc>
          <w:tcPr>
            <w:tcW w:type="dxa" w:w="1600"/>
            <w:shd w:fill="F2F4F7"/>
            <w:tcMar>
              <w:top w:w="80" w:type="dxa"/>
              <w:start w:w="120" w:type="dxa"/>
              <w:bottom w:w="80" w:type="dxa"/>
              <w:end w:w="120" w:type="dxa"/>
            </w:tcMar>
            <w:vAlign w:val="center"/>
          </w:tcPr>
          <w:p>
            <w:pPr>
              <w:spacing w:after="0"/>
              <w:jc w:val="left"/>
            </w:pPr>
            <w:r>
              <w:rPr>
                <w:rFonts w:ascii="Calibri" w:hAnsi="Calibri"/>
                <w:b/>
                <w:color w:val="0B2545"/>
                <w:sz w:val="19"/>
              </w:rPr>
              <w:t>Area</w:t>
            </w:r>
          </w:p>
        </w:tc>
        <w:tc>
          <w:tcPr>
            <w:tcW w:type="dxa" w:w="3900"/>
            <w:shd w:fill="F2F4F7"/>
            <w:tcMar>
              <w:top w:w="80" w:type="dxa"/>
              <w:start w:w="120" w:type="dxa"/>
              <w:bottom w:w="80" w:type="dxa"/>
              <w:end w:w="120" w:type="dxa"/>
            </w:tcMar>
            <w:vAlign w:val="center"/>
          </w:tcPr>
          <w:p>
            <w:pPr>
              <w:spacing w:after="0"/>
              <w:jc w:val="left"/>
            </w:pPr>
            <w:r>
              <w:rPr>
                <w:rFonts w:ascii="Calibri" w:hAnsi="Calibri"/>
                <w:b/>
                <w:color w:val="0B2545"/>
                <w:sz w:val="19"/>
              </w:rPr>
              <w:t>Current limitation</w:t>
            </w:r>
          </w:p>
        </w:tc>
        <w:tc>
          <w:tcPr>
            <w:tcW w:type="dxa" w:w="3860"/>
            <w:shd w:fill="F2F4F7"/>
            <w:tcMar>
              <w:top w:w="80" w:type="dxa"/>
              <w:start w:w="120" w:type="dxa"/>
              <w:bottom w:w="80" w:type="dxa"/>
              <w:end w:w="120" w:type="dxa"/>
            </w:tcMar>
            <w:vAlign w:val="center"/>
          </w:tcPr>
          <w:p>
            <w:pPr>
              <w:spacing w:after="0"/>
              <w:jc w:val="left"/>
            </w:pPr>
            <w:r>
              <w:rPr>
                <w:rFonts w:ascii="Calibri" w:hAnsi="Calibri"/>
                <w:b/>
                <w:color w:val="0B2545"/>
                <w:sz w:val="19"/>
              </w:rPr>
              <w:t>Consequence</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Telemetry</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CPU and memory are simulated</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Charts demonstrate workflow but do not represent target infrastructure</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Scale</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Schedulers and the simple STOMP broker run in one backend</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Horizontal scaling would require coordination and shared messaging</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Identity</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One configured application user</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Unsuitable for teams needing ownership, RBAC, or audit trails</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Data lifecycle</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No automatic retention or aggregation</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Storage grows continuously in long-running installations</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Operations</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No built-in observability or CI/CD</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Reliability depends on external processes and manual verification</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202124"/>
                <w:sz w:val="19"/>
              </w:rPr>
              <w:t>Notifications</w:t>
            </w:r>
          </w:p>
        </w:tc>
        <w:tc>
          <w:tcPr>
            <w:tcW w:type="dxa" w:w="3900"/>
            <w:tcMar>
              <w:top w:w="80" w:type="dxa"/>
              <w:start w:w="120" w:type="dxa"/>
              <w:bottom w:w="80" w:type="dxa"/>
              <w:end w:w="120" w:type="dxa"/>
            </w:tcMar>
            <w:vAlign w:val="center"/>
          </w:tcPr>
          <w:p>
            <w:pPr>
              <w:spacing w:after="0" w:line="259" w:lineRule="auto"/>
              <w:jc w:val="left"/>
            </w:pPr>
            <w:r>
              <w:rPr>
                <w:rFonts w:ascii="Calibri" w:hAnsi="Calibri"/>
                <w:color w:val="202124"/>
                <w:sz w:val="19"/>
              </w:rPr>
              <w:t>Telegram is the only external channel</w:t>
            </w:r>
          </w:p>
        </w:tc>
        <w:tc>
          <w:tcPr>
            <w:tcW w:type="dxa" w:w="3860"/>
            <w:tcMar>
              <w:top w:w="80" w:type="dxa"/>
              <w:start w:w="120" w:type="dxa"/>
              <w:bottom w:w="80" w:type="dxa"/>
              <w:end w:w="120" w:type="dxa"/>
            </w:tcMar>
            <w:vAlign w:val="center"/>
          </w:tcPr>
          <w:p>
            <w:pPr>
              <w:spacing w:after="0" w:line="259" w:lineRule="auto"/>
              <w:jc w:val="left"/>
            </w:pPr>
            <w:r>
              <w:rPr>
                <w:rFonts w:ascii="Calibri" w:hAnsi="Calibri"/>
                <w:color w:val="202124"/>
                <w:sz w:val="19"/>
              </w:rPr>
              <w:t>Teams using email, Slack, or paging tools need another adapter</w:t>
            </w:r>
          </w:p>
        </w:tc>
      </w:tr>
    </w:tbl>
    <w:p>
      <w:pPr>
        <w:spacing w:after="40"/>
      </w:pPr>
    </w:p>
    <w:p>
      <w:pPr>
        <w:pStyle w:val="Heading2"/>
      </w:pPr>
      <w:r>
        <w:t>Recommended roadmap</w:t>
      </w:r>
    </w:p>
    <w:tbl>
      <w:tblPr>
        <w:tblStyle w:val="TableGrid"/>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1000"/>
        <w:gridCol w:w="2350"/>
        <w:gridCol w:w="6010"/>
      </w:tblGrid>
      <w:tr>
        <w:trPr>
          <w:tblHeader w:val="true"/>
        </w:trPr>
        <w:tc>
          <w:tcPr>
            <w:tcW w:type="dxa" w:w="1000"/>
            <w:shd w:fill="F2F4F7"/>
            <w:tcMar>
              <w:top w:w="80" w:type="dxa"/>
              <w:start w:w="120" w:type="dxa"/>
              <w:bottom w:w="80" w:type="dxa"/>
              <w:end w:w="120" w:type="dxa"/>
            </w:tcMar>
            <w:vAlign w:val="center"/>
          </w:tcPr>
          <w:p>
            <w:pPr>
              <w:spacing w:after="0"/>
              <w:jc w:val="center"/>
            </w:pPr>
            <w:r>
              <w:rPr>
                <w:rFonts w:ascii="Calibri" w:hAnsi="Calibri"/>
                <w:b/>
                <w:color w:val="0B2545"/>
                <w:sz w:val="19"/>
              </w:rPr>
              <w:t>Priority</w:t>
            </w:r>
          </w:p>
        </w:tc>
        <w:tc>
          <w:tcPr>
            <w:tcW w:type="dxa" w:w="2350"/>
            <w:shd w:fill="F2F4F7"/>
            <w:tcMar>
              <w:top w:w="80" w:type="dxa"/>
              <w:start w:w="120" w:type="dxa"/>
              <w:bottom w:w="80" w:type="dxa"/>
              <w:end w:w="120" w:type="dxa"/>
            </w:tcMar>
            <w:vAlign w:val="center"/>
          </w:tcPr>
          <w:p>
            <w:pPr>
              <w:spacing w:after="0"/>
              <w:jc w:val="left"/>
            </w:pPr>
            <w:r>
              <w:rPr>
                <w:rFonts w:ascii="Calibri" w:hAnsi="Calibri"/>
                <w:b/>
                <w:color w:val="0B2545"/>
                <w:sz w:val="19"/>
              </w:rPr>
              <w:t>Theme</w:t>
            </w:r>
          </w:p>
        </w:tc>
        <w:tc>
          <w:tcPr>
            <w:tcW w:type="dxa" w:w="6010"/>
            <w:shd w:fill="F2F4F7"/>
            <w:tcMar>
              <w:top w:w="80" w:type="dxa"/>
              <w:start w:w="120" w:type="dxa"/>
              <w:bottom w:w="80" w:type="dxa"/>
              <w:end w:w="120" w:type="dxa"/>
            </w:tcMar>
            <w:vAlign w:val="center"/>
          </w:tcPr>
          <w:p>
            <w:pPr>
              <w:spacing w:after="0"/>
              <w:jc w:val="left"/>
            </w:pPr>
            <w:r>
              <w:rPr>
                <w:rFonts w:ascii="Calibri" w:hAnsi="Calibri"/>
                <w:b/>
                <w:color w:val="0B2545"/>
                <w:sz w:val="19"/>
              </w:rPr>
              <w:t>Outcome</w:t>
            </w:r>
          </w:p>
        </w:tc>
      </w:tr>
      <w:tr>
        <w:tc>
          <w:tcPr>
            <w:tcW w:type="dxa" w:w="1000"/>
            <w:tcMar>
              <w:top w:w="80" w:type="dxa"/>
              <w:start w:w="120" w:type="dxa"/>
              <w:bottom w:w="80" w:type="dxa"/>
              <w:end w:w="120" w:type="dxa"/>
            </w:tcMar>
            <w:vAlign w:val="center"/>
          </w:tcPr>
          <w:p>
            <w:pPr>
              <w:spacing w:after="0" w:line="259" w:lineRule="auto"/>
              <w:jc w:val="center"/>
            </w:pPr>
            <w:r>
              <w:rPr>
                <w:rFonts w:ascii="Calibri" w:hAnsi="Calibri"/>
                <w:color w:val="202124"/>
                <w:sz w:val="19"/>
              </w:rPr>
              <w:t>1</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02124"/>
                <w:sz w:val="19"/>
              </w:rPr>
              <w:t>Production hardening</w:t>
            </w:r>
          </w:p>
        </w:tc>
        <w:tc>
          <w:tcPr>
            <w:tcW w:type="dxa" w:w="6010"/>
            <w:tcMar>
              <w:top w:w="80" w:type="dxa"/>
              <w:start w:w="120" w:type="dxa"/>
              <w:bottom w:w="80" w:type="dxa"/>
              <w:end w:w="120" w:type="dxa"/>
            </w:tcMar>
            <w:vAlign w:val="center"/>
          </w:tcPr>
          <w:p>
            <w:pPr>
              <w:spacing w:after="0" w:line="259" w:lineRule="auto"/>
              <w:jc w:val="left"/>
            </w:pPr>
            <w:r>
              <w:rPr>
                <w:rFonts w:ascii="Calibri" w:hAnsi="Calibri"/>
                <w:color w:val="202124"/>
                <w:sz w:val="19"/>
              </w:rPr>
              <w:t>TLS, managed secrets, backups/restores, structured logs, health dashboards, and retention policy</w:t>
            </w:r>
          </w:p>
        </w:tc>
      </w:tr>
      <w:tr>
        <w:tc>
          <w:tcPr>
            <w:tcW w:type="dxa" w:w="1000"/>
            <w:tcMar>
              <w:top w:w="80" w:type="dxa"/>
              <w:start w:w="120" w:type="dxa"/>
              <w:bottom w:w="80" w:type="dxa"/>
              <w:end w:w="120" w:type="dxa"/>
            </w:tcMar>
            <w:vAlign w:val="center"/>
          </w:tcPr>
          <w:p>
            <w:pPr>
              <w:spacing w:after="0" w:line="259" w:lineRule="auto"/>
              <w:jc w:val="center"/>
            </w:pPr>
            <w:r>
              <w:rPr>
                <w:rFonts w:ascii="Calibri" w:hAnsi="Calibri"/>
                <w:color w:val="202124"/>
                <w:sz w:val="19"/>
              </w:rPr>
              <w:t>2</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02124"/>
                <w:sz w:val="19"/>
              </w:rPr>
              <w:t>Delivery automation</w:t>
            </w:r>
          </w:p>
        </w:tc>
        <w:tc>
          <w:tcPr>
            <w:tcW w:type="dxa" w:w="6010"/>
            <w:tcMar>
              <w:top w:w="80" w:type="dxa"/>
              <w:start w:w="120" w:type="dxa"/>
              <w:bottom w:w="80" w:type="dxa"/>
              <w:end w:w="120" w:type="dxa"/>
            </w:tcMar>
            <w:vAlign w:val="center"/>
          </w:tcPr>
          <w:p>
            <w:pPr>
              <w:spacing w:after="0" w:line="259" w:lineRule="auto"/>
              <w:jc w:val="left"/>
            </w:pPr>
            <w:r>
              <w:rPr>
                <w:rFonts w:ascii="Calibri" w:hAnsi="Calibri"/>
                <w:color w:val="202124"/>
                <w:sz w:val="19"/>
              </w:rPr>
              <w:t>CI checks for backend tests/package, frontend tests/build, migration validation, image scanning, and Compose smoke tests</w:t>
            </w:r>
          </w:p>
        </w:tc>
      </w:tr>
      <w:tr>
        <w:tc>
          <w:tcPr>
            <w:tcW w:type="dxa" w:w="1000"/>
            <w:tcMar>
              <w:top w:w="80" w:type="dxa"/>
              <w:start w:w="120" w:type="dxa"/>
              <w:bottom w:w="80" w:type="dxa"/>
              <w:end w:w="120" w:type="dxa"/>
            </w:tcMar>
            <w:vAlign w:val="center"/>
          </w:tcPr>
          <w:p>
            <w:pPr>
              <w:spacing w:after="0" w:line="259" w:lineRule="auto"/>
              <w:jc w:val="center"/>
            </w:pPr>
            <w:r>
              <w:rPr>
                <w:rFonts w:ascii="Calibri" w:hAnsi="Calibri"/>
                <w:color w:val="202124"/>
                <w:sz w:val="19"/>
              </w:rPr>
              <w:t>3</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02124"/>
                <w:sz w:val="19"/>
              </w:rPr>
              <w:t>Documentation alignment</w:t>
            </w:r>
          </w:p>
        </w:tc>
        <w:tc>
          <w:tcPr>
            <w:tcW w:type="dxa" w:w="6010"/>
            <w:tcMar>
              <w:top w:w="80" w:type="dxa"/>
              <w:start w:w="120" w:type="dxa"/>
              <w:bottom w:w="80" w:type="dxa"/>
              <w:end w:w="120" w:type="dxa"/>
            </w:tcMar>
            <w:vAlign w:val="center"/>
          </w:tcPr>
          <w:p>
            <w:pPr>
              <w:spacing w:after="0" w:line="259" w:lineRule="auto"/>
              <w:jc w:val="left"/>
            </w:pPr>
            <w:r>
              <w:rPr>
                <w:rFonts w:ascii="Calibri" w:hAnsi="Calibri"/>
                <w:color w:val="202124"/>
                <w:sz w:val="19"/>
              </w:rPr>
              <w:t>Update the architecture reference to the current data model, endpoints, security, and incident/notification flows</w:t>
            </w:r>
          </w:p>
        </w:tc>
      </w:tr>
      <w:tr>
        <w:tc>
          <w:tcPr>
            <w:tcW w:type="dxa" w:w="1000"/>
            <w:tcMar>
              <w:top w:w="80" w:type="dxa"/>
              <w:start w:w="120" w:type="dxa"/>
              <w:bottom w:w="80" w:type="dxa"/>
              <w:end w:w="120" w:type="dxa"/>
            </w:tcMar>
            <w:vAlign w:val="center"/>
          </w:tcPr>
          <w:p>
            <w:pPr>
              <w:spacing w:after="0" w:line="259" w:lineRule="auto"/>
              <w:jc w:val="center"/>
            </w:pPr>
            <w:r>
              <w:rPr>
                <w:rFonts w:ascii="Calibri" w:hAnsi="Calibri"/>
                <w:color w:val="202124"/>
                <w:sz w:val="19"/>
              </w:rPr>
              <w:t>4</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02124"/>
                <w:sz w:val="19"/>
              </w:rPr>
              <w:t>Real telemetry</w:t>
            </w:r>
          </w:p>
        </w:tc>
        <w:tc>
          <w:tcPr>
            <w:tcW w:type="dxa" w:w="6010"/>
            <w:tcMar>
              <w:top w:w="80" w:type="dxa"/>
              <w:start w:w="120" w:type="dxa"/>
              <w:bottom w:w="80" w:type="dxa"/>
              <w:end w:w="120" w:type="dxa"/>
            </w:tcMar>
            <w:vAlign w:val="center"/>
          </w:tcPr>
          <w:p>
            <w:pPr>
              <w:spacing w:after="0" w:line="259" w:lineRule="auto"/>
              <w:jc w:val="left"/>
            </w:pPr>
            <w:r>
              <w:rPr>
                <w:rFonts w:ascii="Calibri" w:hAnsi="Calibri"/>
                <w:color w:val="202124"/>
                <w:sz w:val="19"/>
              </w:rPr>
              <w:t>Define an authenticated agent or standards-based ingestion path, with explicit ownership and trust boundaries</w:t>
            </w:r>
          </w:p>
        </w:tc>
      </w:tr>
      <w:tr>
        <w:tc>
          <w:tcPr>
            <w:tcW w:type="dxa" w:w="1000"/>
            <w:tcMar>
              <w:top w:w="80" w:type="dxa"/>
              <w:start w:w="120" w:type="dxa"/>
              <w:bottom w:w="80" w:type="dxa"/>
              <w:end w:w="120" w:type="dxa"/>
            </w:tcMar>
            <w:vAlign w:val="center"/>
          </w:tcPr>
          <w:p>
            <w:pPr>
              <w:spacing w:after="0" w:line="259" w:lineRule="auto"/>
              <w:jc w:val="center"/>
            </w:pPr>
            <w:r>
              <w:rPr>
                <w:rFonts w:ascii="Calibri" w:hAnsi="Calibri"/>
                <w:color w:val="202124"/>
                <w:sz w:val="19"/>
              </w:rPr>
              <w:t>5</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02124"/>
                <w:sz w:val="19"/>
              </w:rPr>
              <w:t>Team capabilities</w:t>
            </w:r>
          </w:p>
        </w:tc>
        <w:tc>
          <w:tcPr>
            <w:tcW w:type="dxa" w:w="6010"/>
            <w:tcMar>
              <w:top w:w="80" w:type="dxa"/>
              <w:start w:w="120" w:type="dxa"/>
              <w:bottom w:w="80" w:type="dxa"/>
              <w:end w:w="120" w:type="dxa"/>
            </w:tcMar>
            <w:vAlign w:val="center"/>
          </w:tcPr>
          <w:p>
            <w:pPr>
              <w:spacing w:after="0" w:line="259" w:lineRule="auto"/>
              <w:jc w:val="left"/>
            </w:pPr>
            <w:r>
              <w:rPr>
                <w:rFonts w:ascii="Calibri" w:hAnsi="Calibri"/>
                <w:color w:val="202124"/>
                <w:sz w:val="19"/>
              </w:rPr>
              <w:t>Add user identity, roles, audit history, notification routing, and service ownership only when required</w:t>
            </w:r>
          </w:p>
        </w:tc>
      </w:tr>
      <w:tr>
        <w:tc>
          <w:tcPr>
            <w:tcW w:type="dxa" w:w="1000"/>
            <w:tcMar>
              <w:top w:w="80" w:type="dxa"/>
              <w:start w:w="120" w:type="dxa"/>
              <w:bottom w:w="80" w:type="dxa"/>
              <w:end w:w="120" w:type="dxa"/>
            </w:tcMar>
            <w:vAlign w:val="center"/>
          </w:tcPr>
          <w:p>
            <w:pPr>
              <w:spacing w:after="0" w:line="259" w:lineRule="auto"/>
              <w:jc w:val="center"/>
            </w:pPr>
            <w:r>
              <w:rPr>
                <w:rFonts w:ascii="Calibri" w:hAnsi="Calibri"/>
                <w:color w:val="202124"/>
                <w:sz w:val="19"/>
              </w:rPr>
              <w:t>6</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02124"/>
                <w:sz w:val="19"/>
              </w:rPr>
              <w:t>Scale when justified</w:t>
            </w:r>
          </w:p>
        </w:tc>
        <w:tc>
          <w:tcPr>
            <w:tcW w:type="dxa" w:w="6010"/>
            <w:tcMar>
              <w:top w:w="80" w:type="dxa"/>
              <w:start w:w="120" w:type="dxa"/>
              <w:bottom w:w="80" w:type="dxa"/>
              <w:end w:w="120" w:type="dxa"/>
            </w:tcMar>
            <w:vAlign w:val="center"/>
          </w:tcPr>
          <w:p>
            <w:pPr>
              <w:spacing w:after="0" w:line="259" w:lineRule="auto"/>
              <w:jc w:val="left"/>
            </w:pPr>
            <w:r>
              <w:rPr>
                <w:rFonts w:ascii="Calibri" w:hAnsi="Calibri"/>
                <w:color w:val="202124"/>
                <w:sz w:val="19"/>
              </w:rPr>
              <w:t>Introduce distributed scheduling, a shared event broker, or partitioned storage only after measured pressure</w:t>
            </w:r>
          </w:p>
        </w:tc>
      </w:tr>
    </w:tbl>
    <w:p>
      <w:pPr>
        <w:spacing w:after="40"/>
      </w:pPr>
    </w:p>
    <w:p>
      <w:pPr>
        <w:pStyle w:val="Heading2"/>
      </w:pPr>
      <w:r>
        <w:t>Conclusion</w:t>
      </w:r>
    </w:p>
    <w:p>
      <w:r>
        <w:rPr>
          <w:rFonts w:ascii="Calibri" w:hAnsi="Calibri"/>
          <w:color w:val="202124"/>
          <w:sz w:val="22"/>
        </w:rPr>
        <w:t>Pulse is a well-scoped monitoring platform with a sound core architecture. It demonstrates a complete vertical workflow: registration, scheduled observation, durable state, episode-based alerting, live delivery, and optional external notification. The modular-monolith approach is appropriate for its maturity and keeps consistency mechanisms visible. The next highest-value work is to make operations as deliberate as the application code - especially TLS, secrets, backups, retention, observability, CI/CD, and documentation alignment - before expanding into distributed components or real infrastructure telemetry.</w:t>
      </w:r>
    </w:p>
    <w:p>
      <w:pPr>
        <w:pStyle w:val="Heading2"/>
      </w:pPr>
      <w:r>
        <w:t>Assessment basis</w:t>
      </w:r>
    </w:p>
    <w:p>
      <w:r>
        <w:rPr>
          <w:rFonts w:ascii="Calibri" w:hAnsi="Calibri"/>
          <w:color w:val="202124"/>
          <w:sz w:val="22"/>
        </w:rPr>
        <w:t>This report was prepared from README.md, docs/architecture.md, the Phase 1 and Phase 2 plans, Docker Compose and Nginx configuration, Spring and frontend configuration, Flyway migrations, controller mappings, service and notification packages, WebSocket destinations, and repository test sources. It is an implementation-oriented project overview, not a penetration test, load test, or production-readiness certification.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67085"/>
        <w:sz w:val="18"/>
      </w:rPr>
      <w:t xml:space="preserve">Pulse Project Report   |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5" w:color="D0D5DD"/>
      </w:pBdr>
    </w:pPr>
    <w:r>
      <w:rPr>
        <w:rFonts w:ascii="Calibri" w:hAnsi="Calibri"/>
        <w:b/>
        <w:color w:val="667085"/>
        <w:sz w:val="17"/>
      </w:rPr>
      <w:t>PULSE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9">
    <w:abstractNumId w:val="9"/>
  </w:num>
  <w:num w:numId="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Project Report</dc:title>
  <dc:subject>Overall architecture and project assessment</dc:subject>
  <dc:creator>Pulse Project</dc:creator>
  <cp:keywords>Pulse, monitoring, architecture, Spring Boot, React, PostgreSQL</cp:keywords>
  <dc:description>Generated from repository evidence on 3 October 2026.</dc:description>
  <cp:lastModifiedBy/>
  <cp:revision>1</cp:revision>
  <dcterms:created xsi:type="dcterms:W3CDTF">2013-12-23T23:15:00Z</dcterms:created>
  <dcterms:modified xsi:type="dcterms:W3CDTF">2013-12-23T23:15:00Z</dcterms:modified>
  <cp:category/>
</cp:coreProperties>
</file>