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Implementation, Storage and Testing</w:t>
      </w:r>
    </w:p>
    <w:p>
      <w:pPr>
        <w:jc w:val="center"/>
      </w:pPr>
      <w:r>
        <w:rPr>
          <w:b/>
        </w:rPr>
        <w:t>Parking Mkononi Smart Parking System</w:t>
      </w:r>
    </w:p>
    <w:p/>
    <w:p>
      <w:pPr>
        <w:pStyle w:val="Heading1"/>
      </w:pPr>
      <w:r>
        <w:t>1. Implementation Structure</w:t>
      </w:r>
    </w:p>
    <w:p>
      <w:r>
        <w:t>The program is divided into separate C++ source and header files. This keeps related functionality together and makes the project easier to maintain than placing the entire application in one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File</w:t>
            </w:r>
          </w:p>
        </w:tc>
        <w:tc>
          <w:tcPr>
            <w:tcW w:type="dxa" w:w="4896"/>
          </w:tcPr>
          <w:p>
            <w:r>
              <w:t>Responsibility</w:t>
            </w:r>
          </w:p>
        </w:tc>
      </w:tr>
      <w:tr>
        <w:tc>
          <w:tcPr>
            <w:tcW w:type="dxa" w:w="4896"/>
          </w:tcPr>
          <w:p>
            <w:r>
              <w:t>main.cpp</w:t>
            </w:r>
          </w:p>
        </w:tc>
        <w:tc>
          <w:tcPr>
            <w:tcW w:type="dxa" w:w="4896"/>
          </w:tcPr>
          <w:p>
            <w:r>
              <w:t>Controls the main menu and connects the system modules.</w:t>
            </w:r>
          </w:p>
        </w:tc>
      </w:tr>
      <w:tr>
        <w:tc>
          <w:tcPr>
            <w:tcW w:type="dxa" w:w="4896"/>
          </w:tcPr>
          <w:p>
            <w:r>
              <w:t>parking.cpp / parking.h</w:t>
            </w:r>
          </w:p>
        </w:tc>
        <w:tc>
          <w:tcPr>
            <w:tcW w:type="dxa" w:w="4896"/>
          </w:tcPr>
          <w:p>
            <w:r>
              <w:t>Parking-slot creation, availability, assignment, release and web HTML generation.</w:t>
            </w:r>
          </w:p>
        </w:tc>
      </w:tr>
      <w:tr>
        <w:tc>
          <w:tcPr>
            <w:tcW w:type="dxa" w:w="4896"/>
          </w:tcPr>
          <w:p>
            <w:r>
              <w:t>vehicle.cpp / vehicle.h</w:t>
            </w:r>
          </w:p>
        </w:tc>
        <w:tc>
          <w:tcPr>
            <w:tcW w:type="dxa" w:w="4896"/>
          </w:tcPr>
          <w:p>
            <w:r>
              <w:t>Vehicle registration, validation and duplicate checking.</w:t>
            </w:r>
          </w:p>
        </w:tc>
      </w:tr>
      <w:tr>
        <w:tc>
          <w:tcPr>
            <w:tcW w:type="dxa" w:w="4896"/>
          </w:tcPr>
          <w:p>
            <w:r>
              <w:t>session.cpp / session.h</w:t>
            </w:r>
          </w:p>
        </w:tc>
        <w:tc>
          <w:tcPr>
            <w:tcW w:type="dxa" w:w="4896"/>
          </w:tcPr>
          <w:p>
            <w:r>
              <w:t>Parking sessions, time validation and duration calculation.</w:t>
            </w:r>
          </w:p>
        </w:tc>
      </w:tr>
      <w:tr>
        <w:tc>
          <w:tcPr>
            <w:tcW w:type="dxa" w:w="4896"/>
          </w:tcPr>
          <w:p>
            <w:r>
              <w:t>payment.cpp / payment.h</w:t>
            </w:r>
          </w:p>
        </w:tc>
        <w:tc>
          <w:tcPr>
            <w:tcW w:type="dxa" w:w="4896"/>
          </w:tcPr>
          <w:p>
            <w:r>
              <w:t>Tariff calculation and payment processing.</w:t>
            </w:r>
          </w:p>
        </w:tc>
      </w:tr>
      <w:tr>
        <w:tc>
          <w:tcPr>
            <w:tcW w:type="dxa" w:w="4896"/>
          </w:tcPr>
          <w:p>
            <w:r>
              <w:t>storage.cpp / storage.h</w:t>
            </w:r>
          </w:p>
        </w:tc>
        <w:tc>
          <w:tcPr>
            <w:tcW w:type="dxa" w:w="4896"/>
          </w:tcPr>
          <w:p>
            <w:r>
              <w:t>Saving and loading vehicle, session and payment records.</w:t>
            </w:r>
          </w:p>
        </w:tc>
      </w:tr>
      <w:tr>
        <w:tc>
          <w:tcPr>
            <w:tcW w:type="dxa" w:w="4896"/>
          </w:tcPr>
          <w:p>
            <w:r>
              <w:t>server.cpp / server.h</w:t>
            </w:r>
          </w:p>
        </w:tc>
        <w:tc>
          <w:tcPr>
            <w:tcW w:type="dxa" w:w="4896"/>
          </w:tcPr>
          <w:p>
            <w:r>
              <w:t>Local HTTP server and dynamic parking-status page.</w:t>
            </w:r>
          </w:p>
        </w:tc>
      </w:tr>
      <w:tr>
        <w:tc>
          <w:tcPr>
            <w:tcW w:type="dxa" w:w="4896"/>
          </w:tcPr>
          <w:p>
            <w:r>
              <w:t>web/index.html</w:t>
            </w:r>
          </w:p>
        </w:tc>
        <w:tc>
          <w:tcPr>
            <w:tcW w:type="dxa" w:w="4896"/>
          </w:tcPr>
          <w:p>
            <w:r>
              <w:t>Structure and content of the browser interface.</w:t>
            </w:r>
          </w:p>
        </w:tc>
      </w:tr>
      <w:tr>
        <w:tc>
          <w:tcPr>
            <w:tcW w:type="dxa" w:w="4896"/>
          </w:tcPr>
          <w:p>
            <w:r>
              <w:t>web/styles.css</w:t>
            </w:r>
          </w:p>
        </w:tc>
        <w:tc>
          <w:tcPr>
            <w:tcW w:type="dxa" w:w="4896"/>
          </w:tcPr>
          <w:p>
            <w:r>
              <w:t>Presentation and responsive layout of the browser interface.</w:t>
            </w:r>
          </w:p>
        </w:tc>
      </w:tr>
    </w:tbl>
    <w:p>
      <w:pPr>
        <w:pStyle w:val="Heading1"/>
      </w:pPr>
      <w:r>
        <w:t>2. Storage Design</w:t>
      </w:r>
    </w:p>
    <w:p>
      <w:r>
        <w:t>The project deliberately uses local files instead of SQL because the current coursework implementation is strictly C++. The files are pipe-delimited and are loaded when the program starts and updated when records change.</w:t>
      </w:r>
    </w:p>
    <w:p>
      <w:pPr>
        <w:pStyle w:val="ListBullet"/>
      </w:pPr>
      <w:r>
        <w:t>vehicles.dat — stores registered vehicle records.</w:t>
      </w:r>
    </w:p>
    <w:p>
      <w:pPr>
        <w:pStyle w:val="ListBullet"/>
      </w:pPr>
      <w:r>
        <w:t>sessions.dat — stores parking-session records.</w:t>
      </w:r>
    </w:p>
    <w:p>
      <w:pPr>
        <w:pStyle w:val="ListBullet"/>
      </w:pPr>
      <w:r>
        <w:t>payments.dat — stores payment records.</w:t>
      </w:r>
    </w:p>
    <w:p>
      <w:pPr>
        <w:pStyle w:val="ListBullet"/>
      </w:pPr>
      <w:r>
        <w:t>The .dat files are ignored by Git so personal runtime records are not unnecessarily uploaded to GitHub.</w:t>
      </w:r>
    </w:p>
    <w:p>
      <w:pPr>
        <w:pStyle w:val="Heading1"/>
      </w:pPr>
      <w:r>
        <w:t>3. Parking Tariff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Parking Duration</w:t>
            </w:r>
          </w:p>
        </w:tc>
        <w:tc>
          <w:tcPr>
            <w:tcW w:type="dxa" w:w="4896"/>
          </w:tcPr>
          <w:p>
            <w:r>
              <w:t>Fee</w:t>
            </w:r>
          </w:p>
        </w:tc>
      </w:tr>
      <w:tr>
        <w:tc>
          <w:tcPr>
            <w:tcW w:type="dxa" w:w="4896"/>
          </w:tcPr>
          <w:p>
            <w:r>
              <w:t>Up to 30 minutes</w:t>
            </w:r>
          </w:p>
        </w:tc>
        <w:tc>
          <w:tcPr>
            <w:tcW w:type="dxa" w:w="4896"/>
          </w:tcPr>
          <w:p>
            <w:r>
              <w:t>KSh 0</w:t>
            </w:r>
          </w:p>
        </w:tc>
      </w:tr>
      <w:tr>
        <w:tc>
          <w:tcPr>
            <w:tcW w:type="dxa" w:w="4896"/>
          </w:tcPr>
          <w:p>
            <w:r>
              <w:t>31–120 minutes</w:t>
            </w:r>
          </w:p>
        </w:tc>
        <w:tc>
          <w:tcPr>
            <w:tcW w:type="dxa" w:w="4896"/>
          </w:tcPr>
          <w:p>
            <w:r>
              <w:t>KSh 50</w:t>
            </w:r>
          </w:p>
        </w:tc>
      </w:tr>
      <w:tr>
        <w:tc>
          <w:tcPr>
            <w:tcW w:type="dxa" w:w="4896"/>
          </w:tcPr>
          <w:p>
            <w:r>
              <w:t>121–240 minutes</w:t>
            </w:r>
          </w:p>
        </w:tc>
        <w:tc>
          <w:tcPr>
            <w:tcW w:type="dxa" w:w="4896"/>
          </w:tcPr>
          <w:p>
            <w:r>
              <w:t>KSh 100</w:t>
            </w:r>
          </w:p>
        </w:tc>
      </w:tr>
      <w:tr>
        <w:tc>
          <w:tcPr>
            <w:tcW w:type="dxa" w:w="4896"/>
          </w:tcPr>
          <w:p>
            <w:r>
              <w:t>241–360 minutes</w:t>
            </w:r>
          </w:p>
        </w:tc>
        <w:tc>
          <w:tcPr>
            <w:tcW w:type="dxa" w:w="4896"/>
          </w:tcPr>
          <w:p>
            <w:r>
              <w:t>KSh 300</w:t>
            </w:r>
          </w:p>
        </w:tc>
      </w:tr>
      <w:tr>
        <w:tc>
          <w:tcPr>
            <w:tcW w:type="dxa" w:w="4896"/>
          </w:tcPr>
          <w:p>
            <w:r>
              <w:t>More than 360 minutes</w:t>
            </w:r>
          </w:p>
        </w:tc>
        <w:tc>
          <w:tcPr>
            <w:tcW w:type="dxa" w:w="4896"/>
          </w:tcPr>
          <w:p>
            <w:r>
              <w:t>KSh 500</w:t>
            </w:r>
          </w:p>
        </w:tc>
      </w:tr>
    </w:tbl>
    <w:p>
      <w:pPr>
        <w:pStyle w:val="Heading1"/>
      </w:pPr>
      <w:r>
        <w:t>4. Testing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Test</w:t>
            </w:r>
          </w:p>
        </w:tc>
        <w:tc>
          <w:tcPr>
            <w:tcW w:type="dxa" w:w="3264"/>
          </w:tcPr>
          <w:p>
            <w:r>
              <w:t>Result</w:t>
            </w:r>
          </w:p>
        </w:tc>
        <w:tc>
          <w:tcPr>
            <w:tcW w:type="dxa" w:w="3264"/>
          </w:tcPr>
          <w:p>
            <w:r>
              <w:t>Observation</w:t>
            </w:r>
          </w:p>
        </w:tc>
      </w:tr>
      <w:tr>
        <w:tc>
          <w:tcPr>
            <w:tcW w:type="dxa" w:w="3264"/>
          </w:tcPr>
          <w:p>
            <w:r>
              <w:t>Parking slot display</w:t>
            </w:r>
          </w:p>
        </w:tc>
        <w:tc>
          <w:tcPr>
            <w:tcW w:type="dxa" w:w="3264"/>
          </w:tcPr>
          <w:p>
            <w:r>
              <w:t>Passed</w:t>
            </w:r>
          </w:p>
        </w:tc>
        <w:tc>
          <w:tcPr>
            <w:tcW w:type="dxa" w:w="3264"/>
          </w:tcPr>
          <w:p>
            <w:r>
              <w:t>Available and occupied slots displayed correctly.</w:t>
            </w:r>
          </w:p>
        </w:tc>
      </w:tr>
      <w:tr>
        <w:tc>
          <w:tcPr>
            <w:tcW w:type="dxa" w:w="3264"/>
          </w:tcPr>
          <w:p>
            <w:r>
              <w:t>Web interface</w:t>
            </w:r>
          </w:p>
        </w:tc>
        <w:tc>
          <w:tcPr>
            <w:tcW w:type="dxa" w:w="3264"/>
          </w:tcPr>
          <w:p>
            <w:r>
              <w:t>Passed</w:t>
            </w:r>
          </w:p>
        </w:tc>
        <w:tc>
          <w:tcPr>
            <w:tcW w:type="dxa" w:w="3264"/>
          </w:tcPr>
          <w:p>
            <w:r>
              <w:t>localhost:8080 loaded the parking interface successfully.</w:t>
            </w:r>
          </w:p>
        </w:tc>
      </w:tr>
      <w:tr>
        <w:tc>
          <w:tcPr>
            <w:tcW w:type="dxa" w:w="3264"/>
          </w:tcPr>
          <w:p>
            <w:r>
              <w:t>Vehicle registration</w:t>
            </w:r>
          </w:p>
        </w:tc>
        <w:tc>
          <w:tcPr>
            <w:tcW w:type="dxa" w:w="3264"/>
          </w:tcPr>
          <w:p>
            <w:r>
              <w:t>Passed</w:t>
            </w:r>
          </w:p>
        </w:tc>
        <w:tc>
          <w:tcPr>
            <w:tcW w:type="dxa" w:w="3264"/>
          </w:tcPr>
          <w:p>
            <w:r>
              <w:t>Valid vehicle records were accepted and invalid/duplicate entries were rejected.</w:t>
            </w:r>
          </w:p>
        </w:tc>
      </w:tr>
      <w:tr>
        <w:tc>
          <w:tcPr>
            <w:tcW w:type="dxa" w:w="3264"/>
          </w:tcPr>
          <w:p>
            <w:r>
              <w:t>Vehicle parking</w:t>
            </w:r>
          </w:p>
        </w:tc>
        <w:tc>
          <w:tcPr>
            <w:tcW w:type="dxa" w:w="3264"/>
          </w:tcPr>
          <w:p>
            <w:r>
              <w:t>Passed</w:t>
            </w:r>
          </w:p>
        </w:tc>
        <w:tc>
          <w:tcPr>
            <w:tcW w:type="dxa" w:w="3264"/>
          </w:tcPr>
          <w:p>
            <w:r>
              <w:t>An available slot was assigned and an active session created.</w:t>
            </w:r>
          </w:p>
        </w:tc>
      </w:tr>
      <w:tr>
        <w:tc>
          <w:tcPr>
            <w:tcW w:type="dxa" w:w="3264"/>
          </w:tcPr>
          <w:p>
            <w:r>
              <w:t>Exit and payment</w:t>
            </w:r>
          </w:p>
        </w:tc>
        <w:tc>
          <w:tcPr>
            <w:tcW w:type="dxa" w:w="3264"/>
          </w:tcPr>
          <w:p>
            <w:r>
              <w:t>Passed</w:t>
            </w:r>
          </w:p>
        </w:tc>
        <w:tc>
          <w:tcPr>
            <w:tcW w:type="dxa" w:w="3264"/>
          </w:tcPr>
          <w:p>
            <w:r>
              <w:t>Duration and fee were calculated; payment was confirmed before exit.</w:t>
            </w:r>
          </w:p>
        </w:tc>
      </w:tr>
      <w:tr>
        <w:tc>
          <w:tcPr>
            <w:tcW w:type="dxa" w:w="3264"/>
          </w:tcPr>
          <w:p>
            <w:r>
              <w:t>Web status update</w:t>
            </w:r>
          </w:p>
        </w:tc>
        <w:tc>
          <w:tcPr>
            <w:tcW w:type="dxa" w:w="3264"/>
          </w:tcPr>
          <w:p>
            <w:r>
              <w:t>Passed</w:t>
            </w:r>
          </w:p>
        </w:tc>
        <w:tc>
          <w:tcPr>
            <w:tcW w:type="dxa" w:w="3264"/>
          </w:tcPr>
          <w:p>
            <w:r>
              <w:t>The browser display reflected slot occupation and release.</w:t>
            </w:r>
          </w:p>
        </w:tc>
      </w:tr>
      <w:tr>
        <w:tc>
          <w:tcPr>
            <w:tcW w:type="dxa" w:w="3264"/>
          </w:tcPr>
          <w:p>
            <w:r>
              <w:t>Data persistence</w:t>
            </w:r>
          </w:p>
        </w:tc>
        <w:tc>
          <w:tcPr>
            <w:tcW w:type="dxa" w:w="3264"/>
          </w:tcPr>
          <w:p>
            <w:r>
              <w:t>Passed</w:t>
            </w:r>
          </w:p>
        </w:tc>
        <w:tc>
          <w:tcPr>
            <w:tcW w:type="dxa" w:w="3264"/>
          </w:tcPr>
          <w:p>
            <w:r>
              <w:t>Stored vehicle/session/payment records remained available after restart.</w:t>
            </w:r>
          </w:p>
        </w:tc>
      </w:tr>
      <w:tr>
        <w:tc>
          <w:tcPr>
            <w:tcW w:type="dxa" w:w="3264"/>
          </w:tcPr>
          <w:p>
            <w:r>
              <w:t>Edge cases</w:t>
            </w:r>
          </w:p>
        </w:tc>
        <w:tc>
          <w:tcPr>
            <w:tcW w:type="dxa" w:w="3264"/>
          </w:tcPr>
          <w:p>
            <w:r>
              <w:t>Passed</w:t>
            </w:r>
          </w:p>
        </w:tc>
        <w:tc>
          <w:tcPr>
            <w:tcW w:type="dxa" w:w="3264"/>
          </w:tcPr>
          <w:p>
            <w:r>
              <w:t>Full lot, duplicate vehicle, already parked vehicle, invalid input, midnight crossing, payment cancellation and invalid menu/payment choices were tested.</w:t>
            </w:r>
          </w:p>
        </w:tc>
      </w:tr>
    </w:tbl>
    <w:p>
      <w:pPr>
        <w:pStyle w:val="Heading1"/>
      </w:pPr>
      <w:r>
        <w:t>5. Test Conclusion</w:t>
      </w:r>
    </w:p>
    <w:p>
      <w:r>
        <w:t>The completed tests showed that the main parking workflow operates as intended. In particular, a slot is not released until successful payment, and stored records can be restored after restarting the program. The final Code::Blocks build completed with zero errors and zero warnings.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Parking Mkononi Smart Parking 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