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Navegabilidade do sistema</w:t>
      </w:r>
    </w:p>
    <w:tbl>
      <w:tblPr/>
      <w:tblGrid>
        <w:gridCol w:w="1555"/>
        <w:gridCol w:w="992"/>
        <w:gridCol w:w="4839"/>
        <w:gridCol w:w="307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4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Autor(es)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13/12/2021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4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Especificar etapas, fluxos de eventos, cenários e casos de testes</w:t>
            </w:r>
          </w:p>
        </w:tc>
        <w:tc>
          <w:tcPr>
            <w:tcW w:w="3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de uso: Navegabilidade do sistema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Fluxo Básico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abre a tela inicial do sistema no navegador;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menu Cursos;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submenu Cursos livres;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rola a tela até encontrar o curso programador Front-End;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escolhe a unidade de Bauru no curso programador Front-End;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procura o botão registrar interesse;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botão registrar interesse;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preenche os dados para registrar o interesse;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check “Li e estou de acordo com as políticas de privacidade”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check “Não sou robô”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botão enviar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Fluxo alternativo 1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FA1.1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abre a tela inicial do sistema no navegador;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FA1.2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menu Cursos;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FA1.3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submenu Cursos livres;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FA1.4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usuário rola a tela até encontrar o curso Eletricista Instalador Residencial;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FA1.5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escolhe a unidade de Bauru no curso Eletricista Instalador Residencial;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FA1.6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botão registrar interesse;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FA1.7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preenche os dados para registrar o interesse;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FA1.8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check “Li e estou de acordo com as políticas de privacidade”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FA1.9 - O usuário clica no check “Não sou robô”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FA1.10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clica no botão enviar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1ª Etapa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Levantamento dos fluxos de eventos:</w:t>
      </w:r>
    </w:p>
    <w:p>
      <w:pPr>
        <w:keepNext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84" w:dyaOrig="6048">
          <v:rect xmlns:o="urn:schemas-microsoft-com:office:office" xmlns:v="urn:schemas-microsoft-com:vml" id="rectole0000000000" style="width:124.200000pt;height:30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  <w:t xml:space="preserve">Figura 1 - Fluxo e fluxo alternativo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2ª Etapa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Definição dos cenários de teste:</w:t>
      </w:r>
    </w:p>
    <w:tbl>
      <w:tblPr/>
      <w:tblGrid>
        <w:gridCol w:w="5228"/>
        <w:gridCol w:w="5228"/>
      </w:tblGrid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 1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FB1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FB11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 2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FB3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FA1.3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3ª Etapa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Defini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ção da tabela de casos de testes:</w:t>
      </w:r>
    </w:p>
    <w:tbl>
      <w:tblPr/>
      <w:tblGrid>
        <w:gridCol w:w="2614"/>
        <w:gridCol w:w="2614"/>
        <w:gridCol w:w="2614"/>
        <w:gridCol w:w="2614"/>
      </w:tblGrid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teste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 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Entrar no sistema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página do online.senai.sp.br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Abertura da página principal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Clicar no menu Cursos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no menu cursos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Abertura do menu de cursos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Clicar no submenu Cursos livres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no submenu Cursos livres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os cursos livres na página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Rolar a tela para encontrar programador Front-End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Rolar a tela até encontrar o curso programador front-end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Encontrar o curso programador front-end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Clicar na unidade de Bauru dentro do curso programador front-end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na unidade de Bauru dentro do curso de programador Front-End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Abertura de uma nova aba no navegador com o descritivo do curso programador front-end contendo o botão registrar interesse disponível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Rolar a tela para procurar o botão de interesse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Rolar a tela para encontrar o botão de registrar interesse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Encontrar o botão de registro de interesse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CT7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Clicar no bot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ão registrar interesse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no botão de registro de interesse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Abertura de uma nova aba com formulário de registro de interesse no curso de programador Front-end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Preenchimento de dados para o registro de interesse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Preencher todos os dados do formulário para registro de interesse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Preenchimento completo dos dados para o envio do interesse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Clique no aceite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no check de aceite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de interesse habilitado para o click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Click no não sou robô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no check de não sou robô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de não sou robô habilitado para o click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CT11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Clique no bot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ão Enviar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no botão enviar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Botão enviar habilitado para clique e mensagem informando que o registro de interesse foi efetivado com sucesso.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 2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CT12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Rolar a tela para encontrar curso Eletricista Instalador Residencial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Rolar a tela até encontrar o curso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Encontrar o curso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CT13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Clicar na unidade de Bauru dentro do curso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na unidade de Bauru dentro do curso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Abertura de uma nova aba no navegador com o descritivo do curso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CT14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Rolar a tela para procurar o botão de interesse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Rolar a tela para encontrar o botão de registrar interesse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Encontrar o botão de registro de interesse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CT15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Clicar no botão registrar interesse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no botão de registro de interesse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Abertura de uma nova aba com formulário de registro de interesse no curso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CT16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Preenchimento de dados para o registro de interesse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Preencher todos os dados do formulário para registro de interesse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Preenchimento completo dos dados para o envio do interesse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CT17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Clique no aceite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no check de aceite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de interesse habilitado para o click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CT18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Click no não sou robô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no check de não sou robô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de não sou robô habilitado para o click</w:t>
            </w:r>
          </w:p>
        </w:tc>
      </w:tr>
      <w:tr>
        <w:trPr>
          <w:trHeight w:val="1" w:hRule="atLeast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CT19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Clique no botão Enviar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Clique no botão enviar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Botão enviar habilitado para clique e mensagem informando que o registro de interesse foi efetivado com sucesso.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