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0D2137"/>
          <w:sz w:val="40"/>
        </w:rPr>
        <w:t>Mapa de Permissões e Controle de Acesso (RBAC) — Relm Care+</w:t>
      </w:r>
    </w:p>
    <w:p>
      <w:pPr>
        <w:spacing w:after="360"/>
      </w:pPr>
      <w:r>
        <w:rPr>
          <w:rFonts w:ascii="Arial" w:hAnsi="Arial"/>
          <w:color w:val="212121"/>
          <w:sz w:val="22"/>
        </w:rPr>
        <w:t>Este documento apresenta a estrutura completa de papéis, a hierarquia de controle de acesso baseado em funções (RBAC) e o mapeamento de endpoints do sistema Relm Care+.</w:t>
      </w:r>
    </w:p>
    <w:p>
      <w:pPr>
        <w:spacing w:before="240" w:after="120"/>
      </w:pPr>
      <w:r>
        <w:rPr>
          <w:rFonts w:ascii="Arial" w:hAnsi="Arial"/>
          <w:b/>
          <w:color w:val="1565C0"/>
          <w:sz w:val="28"/>
        </w:rPr>
        <w:t>1. Hierarquia de Papéis e Acesso</w:t>
      </w:r>
    </w:p>
    <w:p>
      <w:pPr>
        <w:spacing w:after="360"/>
      </w:pPr>
      <w:r>
        <w:rPr>
          <w:rFonts w:ascii="Arial" w:hAnsi="Arial"/>
          <w:color w:val="212121"/>
          <w:sz w:val="22"/>
        </w:rPr>
        <w:t>A estrutura de permissões do sistema divide-se em 6 perfis principais. Os perfis administrativos da equipe interna (ADMIN_RELM, GERENTE_RELM, SUPORTE_RELM) operam em regime de herança vertical de acessos, enquanto os perfis parceiros e externos (LOJA, DISTRIBUIDOR, CUSTOMER) possuem acessos isolados de acordo com o escopo.</w:t>
      </w:r>
    </w:p>
    <w:p>
      <w:pPr>
        <w:spacing w:before="240" w:after="120"/>
      </w:pPr>
      <w:r>
        <w:rPr>
          <w:rFonts w:ascii="Arial" w:hAnsi="Arial"/>
          <w:b/>
          <w:color w:val="1565C0"/>
          <w:sz w:val="28"/>
        </w:rPr>
        <w:t>2. Mapeamento Detalhado por Perfil</w:t>
      </w:r>
    </w:p>
    <w:p>
      <w:pPr>
        <w:spacing w:before="160" w:after="80"/>
      </w:pPr>
      <w:r>
        <w:rPr>
          <w:rFonts w:ascii="Arial" w:hAnsi="Arial"/>
          <w:b/>
          <w:color w:val="0D2137"/>
          <w:sz w:val="24"/>
        </w:rPr>
        <w:t>2.1. Administrador (ADMIN_RELM)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Escopo: Acesso irrestrito a todos os dados e configurações do sistema.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Permissões Exclusivas: Visualização completa de logs de auditoria (GET /audit-logs), gerenciamento de usuários administrativos (CRUD de User) e deleção de lojas (DELETE /stores/:id), eventos, benefícios e banners.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D2137"/>
          <w:sz w:val="24"/>
        </w:rPr>
        <w:t>2.2. Gerente (GERENTE_RELM)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Escopo: Gestão operacional diária de revendedores, garantias e campanhas de vantagens.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Permissões Principais: Aprovação e rejeição de solicitações de garantias, aprovação de cotações de seguros, criação e atualização de lojas, eventos e benefícios.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Restrições: Não possui permissão para deletar lojas, acessar logs de auditoria ou gerenciar equipe administrativa.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D2137"/>
          <w:sz w:val="24"/>
        </w:rPr>
        <w:t>2.3. Suporte (SUPORTE_RELM)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Escopo: Atendimento técnico de primeiro nível e triagem de garantias.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Permissões Principais: Transição de status de garantias na FSM (ex: de RECEBIDO para EM_ANALISE ou AGUARDANDO_CLIENTE), visualização de clientes, seguros, eventos e banners.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Restrições: Não possui permissão de aprovação final (aprovar/rejeitar garantia ou seguro), criação ou deleção de registros.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D2137"/>
          <w:sz w:val="24"/>
        </w:rPr>
        <w:t>2.4. Loja / Lojista (LOJA / STORE)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Escopo: Acesso restrito para revendedores autorizados da Relm Bikes.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Permissões Principais: Visualização de garantias, clientes e seguros vinculados especificamente à sua própria loja. Registro de garantias e solicitação de cotações de seguros. Gerenciamento de seus próprios colaboradores no portal da loja.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Restrições: Isolamento total contra visualização de dados de outras lojas parceiras.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D2137"/>
          <w:sz w:val="24"/>
        </w:rPr>
        <w:t>2.5. Distribuidor (DISTRIBUIDOR)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Escopo: Acesso de acompanhamento comercial para distribuidores parceiros.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Permissões Principais: Listar e visualizar dados gerais de clientes e lojas para relatórios de vendas.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Restrições de Privacidade (LGPD): Todos os dados sensíveis do cliente (como CPF e Telefone) são retornados com máscaras de privacidade (ex: 123.***.**-01).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D2137"/>
          <w:sz w:val="24"/>
        </w:rPr>
        <w:t>2.6. Cliente (CLIENTE / CUSTOMER)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Escopo: Área exclusiva de clientes finais (auto-atendimento).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Permissões Principais: Visualização do histórico de suas próprias garantias, cotações de seguros contratadas e eventos inscritos. Auto-cadastro integrado.</w:t>
      </w:r>
    </w:p>
    <w:p>
      <w:pPr>
        <w:pStyle w:val="ListBullet"/>
        <w:spacing w:after="40"/>
      </w:pPr>
      <w:r>
        <w:rPr>
          <w:rFonts w:ascii="Arial" w:hAnsi="Arial"/>
          <w:color w:val="212121"/>
          <w:sz w:val="22"/>
        </w:rPr>
        <w:t>Restrições: Totalmente isolado do painel e das APIs operacionais e administrativas.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1565C0"/>
          <w:sz w:val="28"/>
        </w:rPr>
        <w:t>3. Matriz Geral de Endpoints (RBAC)</w:t>
      </w:r>
    </w:p>
    <w:p>
      <w:pPr>
        <w:spacing w:after="240"/>
      </w:pPr>
      <w:r>
        <w:rPr>
          <w:rFonts w:ascii="Arial" w:hAnsi="Arial"/>
          <w:color w:val="212121"/>
          <w:sz w:val="22"/>
        </w:rPr>
        <w:t>A tabela abaixo resume a matriz de permissões para os principais endpoints expostos no backend: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0D21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Funcionalidade</w:t>
            </w:r>
          </w:p>
        </w:tc>
        <w:tc>
          <w:tcPr>
            <w:tcW w:type="dxa" w:w="1170"/>
            <w:shd w:fill="0D21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170"/>
            <w:shd w:fill="0D21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170"/>
            <w:shd w:fill="0D21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GERENTE</w:t>
            </w:r>
          </w:p>
        </w:tc>
        <w:tc>
          <w:tcPr>
            <w:tcW w:type="dxa" w:w="1170"/>
            <w:shd w:fill="0D21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SUPORTE</w:t>
            </w:r>
          </w:p>
        </w:tc>
        <w:tc>
          <w:tcPr>
            <w:tcW w:type="dxa" w:w="1170"/>
            <w:shd w:fill="0D21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LOJA</w:t>
            </w:r>
          </w:p>
        </w:tc>
        <w:tc>
          <w:tcPr>
            <w:tcW w:type="dxa" w:w="1170"/>
            <w:shd w:fill="0D21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DIST.</w:t>
            </w:r>
          </w:p>
        </w:tc>
        <w:tc>
          <w:tcPr>
            <w:tcW w:type="dxa" w:w="1170"/>
            <w:shd w:fill="0D21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CLIE.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Garantia — Registrar (Público)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POST /public/warranty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</w:tr>
      <w:tr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Garantia — Listar</w:t>
            </w:r>
          </w:p>
        </w:tc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GET /warranty/claims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Garantia — Alterar Status (FSM)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PATCH /warranty/claims/:id/status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Garantia — Aprovar / Rejeitar</w:t>
            </w:r>
          </w:p>
        </w:tc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POST /warranty/claims/:id/approve|reject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Garantia — Validar Comprovante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GET /public/warranty/validate/:token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</w:tr>
      <w:tr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Garantia — Minhas Garantias</w:t>
            </w:r>
          </w:p>
        </w:tc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GET /customer-portal/warranties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Lojas — Criar / Atualizar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POST / PATCH /stores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Lojas — Listar</w:t>
            </w:r>
          </w:p>
        </w:tc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GET /stores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Lojas — Excluir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DELETE /stores/:id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Clientes — Listar / Detalhes</w:t>
            </w:r>
          </w:p>
        </w:tc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GET /customers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1565C0"/>
                <w:sz w:val="18"/>
              </w:rPr>
              <w:t>Masc.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1565C0"/>
                <w:sz w:val="18"/>
              </w:rPr>
              <w:t>Masc.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Clientes — Remover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DELETE /customers/:id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Seguros — Listar / Detalhes</w:t>
            </w:r>
          </w:p>
        </w:tc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GET /insurance/quotes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Seguros — Aprovar / Rejeitar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PATCH /insurance/quotes/:id/approve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Seguros — Minhas Cotações</w:t>
            </w:r>
          </w:p>
        </w:tc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GET /customer-portal/insurance-quotes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Eventos — Criar / Editar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POST / PATCH /events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Eventos — Inscrições</w:t>
            </w:r>
          </w:p>
        </w:tc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GET /events/:id/registrations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Benefícios — Criar / Editar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POST / PATCH /benefits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Auditoria — Visualizar Logs</w:t>
            </w:r>
          </w:p>
        </w:tc>
        <w:tc>
          <w:tcPr>
            <w:tcW w:type="dxa" w:w="1170"/>
            <w:shd w:fill="F5F5F5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GET /audit-logs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5F5F5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Usuários Admin — Gerenciar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* /admin-users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388E3C"/>
                <w:sz w:val="18"/>
              </w:rPr>
              <w:t>SIM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  <w:tc>
          <w:tcPr>
            <w:tcW w:type="dxa" w:w="1170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C62828"/>
                <w:sz w:val="18"/>
              </w:rPr>
              <w:t>NAO</w:t>
            </w:r>
          </w:p>
        </w:tc>
      </w:tr>
    </w:tbl>
    <w:p>
      <w:pPr>
        <w:spacing w:before="240"/>
      </w:pPr>
      <w:r>
        <w:rPr>
          <w:rFonts w:ascii="Arial" w:hAnsi="Arial"/>
          <w:i/>
          <w:color w:val="757575"/>
          <w:sz w:val="18"/>
        </w:rPr>
        <w:t>Legenda: SIM = Acesso permitido; NAO = Acesso negado; Masc. = Acesso permitido com dados de CPF e Telefone mascarados (LGPD).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