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pageBreakBefore w:val="0"/>
        <w:widowControl/>
        <w:spacing w:line="240" w:lineRule="auto" w:before="0" w:after="200"/>
        <w:ind w:firstLine="0"/>
        <w:jc w:val="center"/>
      </w:pPr>
      <w:r>
        <w:rPr>
          <w:rFonts w:ascii="Arial" w:hAnsi="Arial"/>
          <w:b/>
          <w:color w:val="000000"/>
          <w:sz w:val="24"/>
        </w:rPr>
        <w:t>VISÃO COMPUTACIONAL APLICADA AO ESTUDO EXPERIMENTAL DE PROBABILIDADE COM LANÇAMENTOS DE DOIS DADOS</w:t>
      </w:r>
    </w:p>
    <w:p>
      <w:pPr>
        <w:keepNext/>
        <w:pageBreakBefore w:val="0"/>
        <w:widowControl/>
        <w:spacing w:line="240" w:lineRule="auto" w:before="0" w:after="80"/>
        <w:ind w:firstLine="0"/>
        <w:jc w:val="center"/>
      </w:pPr>
      <w:r>
        <w:rPr>
          <w:rFonts w:ascii="Arial" w:hAnsi="Arial"/>
          <w:sz w:val="24"/>
        </w:rPr>
        <w:t>Adriano Pacheco¹; Eduardo Bidese Puhl²</w:t>
      </w:r>
    </w:p>
    <w:p>
      <w:pPr>
        <w:keepNext w:val="0"/>
        <w:keepLines/>
        <w:pageBreakBefore w:val="0"/>
        <w:widowControl/>
        <w:spacing w:line="240" w:lineRule="auto" w:before="0" w:after="160"/>
        <w:ind w:firstLine="0"/>
        <w:jc w:val="center"/>
      </w:pPr>
      <w:r>
        <w:rPr>
          <w:rFonts w:ascii="Arial" w:hAnsi="Arial"/>
          <w:sz w:val="20"/>
        </w:rPr>
        <w:t>¹ Estudante de Graduação em Engenharia Mecatrônica, IFC – Campus Rio do Sul.</w:t>
        <w:br/>
        <w:t>E-mail: adry.ano@hotmail.com</w:t>
        <w:br/>
        <w:t>² Professor do Curso de Engenharia Mecatrônica, IFC – Campus Rio do Sul.</w:t>
        <w:br/>
        <w:t>E-mail: eduardo.puhl@ifc.edu.br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RESUMO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both"/>
      </w:pPr>
      <w:r>
        <w:rPr>
          <w:rFonts w:ascii="Arial" w:hAnsi="Arial"/>
          <w:b w:val="0"/>
          <w:color w:val="000000"/>
          <w:sz w:val="22"/>
        </w:rPr>
        <w:t>A experimentação com dados permite relacionar probabilidades teóricas e frequências observadas, mas a anotação manual de sucessivos lançamentos torna a coleta trabalhosa. Este trabalho apresenta uma aplicação de visão computacional para reconhecer as faces superiores de dois dados, calcular sua média e acompanhar a distribuição de frequências. A ferramenta foi desenvolvida em Python, com OpenCV e PyQt6, utilizando detecção de pontos escuros, filtragem geométrica e agrupamento espacial. O registro automático combina detecção de movimento e estabilidade da leitura. Uma execução exploratória, documentada por captura de tela, apresentou 109 registros, cuja média geral recalculada foi de 3,61. As frequências foram comparadas à distribuição triangular discreta esperada para dois dados justos e independentes. A estatística de Pearson foi de 11,82; sua calibração por 200.000 simulações multinomiais resultou em valor-p de aproximadamente 0,292. Ao nível de 5%, não se rejeitou o modelo teórico, sob as premissas de registros corretos e independentes. O estudo distingue a distribuição da média de dois dados da aproximação normal de médias calculadas em blocos maiores. A aplicação constitui um recurso para coleta e visualização de probabilidades, enquanto a validação da leitura e a preservação dos lançamentos individuais permanecem necessárias para conclusões sobre a justiça dos dados.</w:t>
      </w:r>
    </w:p>
    <w:p>
      <w:pPr>
        <w:keepNext w:val="0"/>
        <w:pageBreakBefore w:val="0"/>
        <w:widowControl/>
        <w:spacing w:line="240" w:lineRule="auto" w:before="120" w:after="0"/>
        <w:ind w:firstLine="0"/>
        <w:jc w:val="left"/>
      </w:pPr>
      <w:r>
        <w:rPr>
          <w:rFonts w:ascii="Arial" w:hAnsi="Arial"/>
          <w:b w:val="0"/>
          <w:color w:val="000000"/>
          <w:sz w:val="22"/>
        </w:rPr>
        <w:t>Palavras-chave: visão computacional; probabilidade experimental; lançamento de dados; distribuição de frequências.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INTRODUÇÃO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Lançar dados e comparar resultados observados com previsões teóricas é uma atividade que aproxima o cálculo de probabilidades da experimentação. Em uma sequência extensa, entretanto, ler as faces e anotar cada resultado exige atenção contínua. A câmera oferece uma possibilidade de automatizar essa etapa e disponibilizar, durante a atividade, um gráfico atualizado das ocorrências.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interpretação do gráfico exige definir o que está sendo contado. Para um dado justo, as seis faces são equiprováveis. Para a média de dois dados independentes, os valores centrais admitem mais combinações que os extremos, originando uma distribuição triangular discreta. O objetivo deste trabalho é apresentar uma ferramenta para registrar essas médias e examinar, em uma execução exploratória, sua compatibilidade com o modelo probabilístico correspondente.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PROCEDIMENTOS METODOLÓGICOS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Trata-se de um estudo aplicado, quantitativo e exploratório, que combina desenvolvimento de software e análise de frequências. A bancada de testes reuniu um notebook, uma webcam posicionada em suporte sobre a área de lançamento e uma bandeja para conter os dois dados (Figura 01). O computador recebeu as imagens e executou a aplicação de reconhecimento e acompanhamento das frequências.</w:t>
      </w:r>
    </w:p>
    <w:p>
      <w:pPr>
        <w:keepNext/>
        <w:keepLines/>
        <w:pageBreakBefore w:val="0"/>
        <w:widowControl/>
        <w:spacing w:line="240" w:lineRule="auto" w:before="140" w:after="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Figura 01 - Bancada de testes com notebook, webcam em suporte e bandeja de lançamento</w:t>
      </w:r>
    </w:p>
    <w:p>
      <w:pPr>
        <w:keepNext/>
        <w:keepLines/>
        <w:pageBreakBefore w:val="0"/>
        <w:widowControl/>
        <w:spacing w:line="240" w:lineRule="auto" w:before="0" w:after="0"/>
        <w:ind w:firstLine="0"/>
        <w:jc w:val="center"/>
      </w:pPr>
      <w:r>
        <w:drawing>
          <wp:inline>
            <wp:extent cx="5400000" cy="30391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cada_fundo_lim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line="240" w:lineRule="auto" w:before="0" w:after="1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Fonte: fotografia da bancada, editada com IA para remoção de objetos do fundo.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interface apresenta o vídeo com as faces identificadas, a visualização do processamento e o gráfico das médias registradas (Figura 02). A captura de tela documenta uma execução com 109 registros; suas frequências foram transcritas e conferidas pelo total e pela média geral exibidos. No instante mostrado, os dois dados apresentam face cinco e a média da jogada é 5,0.</w:t>
      </w:r>
    </w:p>
    <w:p>
      <w:pPr>
        <w:keepNext/>
        <w:keepLines/>
        <w:pageBreakBefore w:val="0"/>
        <w:widowControl/>
        <w:spacing w:line="240" w:lineRule="auto" w:before="140" w:after="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Figura 02 - Interface de captura, identificação das faces e frequência das médias</w:t>
      </w:r>
    </w:p>
    <w:p>
      <w:pPr>
        <w:keepNext/>
        <w:keepLines/>
        <w:pageBreakBefore w:val="0"/>
        <w:widowControl/>
        <w:spacing w:line="240" w:lineRule="auto" w:before="0" w:after="1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</w:r>
      <w:r>
        <w:drawing>
          <wp:inline>
            <wp:extent cx="6120000" cy="3164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rcRect t="2700" b="550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6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line="240" w:lineRule="auto" w:before="0" w:after="1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Fonte: captura de tela da aplicação durante os testes.</w:t>
      </w:r>
    </w:p>
    <w:p>
      <w:pPr>
        <w:keepNext w:val="0"/>
        <w:keepLines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aplicação usa Python, OpenCV, NumPy e PyQt6. O processamento de cada quadro aplica conversão para tons de cinza, suavização gaussiana, realce local de contraste, limiarização adaptativa e abertura morfológica. A limiarização adaptativa considera a vizinhança dos pixels para separar regiões claras e escuras (OPENCV, s.d.). Os contornos candidatos são filtrados por área, proporção, circularidade e contraste com o entorno; os pontos aceitos são agrupados por distância, com até seis pontos por grupo.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Quando exatamente dois grupos atendem aos critérios de tamanho e proporção, suas contagens representam as faces lidas. O sistema registra a média após movimento detectado e estabilidade de leitura por aproximadamente 0,9 segundo. As ocorrências são acumuladas em memória e exibidas em barras. Esse procedimento busca evitar a repetição de um mesmo estado, mas sua eficácia não foi quantificada por comparação com uma sequência anotada manualmente.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No modelo de referência, X e Y representam faces independentes e uniformes em {1, 2, 3, 4, 5, 6}. A média M = (X + Y)/2 assume onze valores, de 1 a 6 em passos de 0,5. A enumeração dos 36 pares equiprováveis fornece contagens de combinações iguais a 1, 2, 3, 4, 5, 6, 5, 4, 3, 2 e 1. Para N registros, cada frequência esperada é N vezes a probabilidade da categoria. A média teórica de M é 3,5 e sua variância é 35/24.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discrepância global foi medida pela estatística de Pearson, soma de (O − E)²/E nas onze categorias, em que O é a frequência observada e E a esperada (NIST/SEMATECH, s.d.). Como os extremos têm frequência esperada próxima de três, a referência do teste foi obtida por simulação multinomial: 200.000 tabelas de tamanho 109 foram geradas sob as probabilidades fixas, com semente 20261019. O valor-p foi estimado pela fração de estatísticas simuladas ao menos tão grandes quanto a observada, com correção de uma unidade no numerador e no denominador. Adotou-se 5% como nível de significância na análise exploratória.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RESULTADOS E DISCUSSÃO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Tabela 01 apresenta a transcrição do gráfico e as expectativas do modelo. A soma é 109 e a média ponderada é 3,6147, compatível com 3,61 na interface. Essa concordância confirma a consistência aritmética do registro visível, mas não permite verificar quantos lançamentos físicos foram realizados, omitidos ou registrados mais de uma vez.</w:t>
      </w:r>
    </w:p>
    <w:p>
      <w:pPr>
        <w:keepNext/>
        <w:keepLines/>
        <w:pageBreakBefore w:val="0"/>
        <w:widowControl/>
        <w:spacing w:line="240" w:lineRule="auto" w:before="140" w:after="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Tabela 01 - Frequências das médias observadas e esperadas em 109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757"/>
        <w:gridCol w:w="2268"/>
        <w:gridCol w:w="1757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  <w:shd w:fill="E9ECEF"/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Média das faces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  <w:shd w:fill="E9ECEF"/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Observado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  <w:shd w:fill="E9ECEF"/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Probabilidade teórica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  <w:shd w:fill="E9ECEF"/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Esperado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1,0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3,03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1,5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2/36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6,06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2,0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9,08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2,5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4/36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12,11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3,0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15,14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3,5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6/36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18,17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4,0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15,14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4,5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4/36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12,11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5,0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9,08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5,5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2/36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6,06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6,0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1/36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3,03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Total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109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35" w:type="dxa"/>
              <w:bottom w:w="35" w:type="dxa"/>
            </w:tcMar>
          </w:tcPr>
          <w:p>
            <w:pPr>
              <w:keepNext/>
              <w:keepLines/>
              <w:spacing w:line="240" w:lineRule="auto" w:before="0" w:after="0"/>
              <w:jc w:val="center"/>
            </w:pPr>
            <w:r>
              <w:rPr>
                <w:rFonts w:ascii="Arial" w:hAnsi="Arial"/>
                <w:b/>
                <w:sz w:val="20"/>
              </w:rPr>
              <w:t>109,00</w:t>
            </w:r>
          </w:p>
        </w:tc>
      </w:tr>
    </w:tbl>
    <w:p>
      <w:pPr>
        <w:keepNext w:val="0"/>
        <w:keepLines/>
        <w:pageBreakBefore w:val="0"/>
        <w:widowControl/>
        <w:spacing w:line="240" w:lineRule="auto" w:before="0" w:after="1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Fonte: frequências transcritas da interface e expectativas calculadas pelo modelo teórico.</w:t>
      </w:r>
    </w:p>
    <w:p>
      <w:pPr>
        <w:keepNext/>
        <w:keepLines/>
        <w:pageBreakBefore w:val="0"/>
        <w:widowControl/>
        <w:spacing w:line="240" w:lineRule="auto" w:before="140" w:after="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Figura 03 - Comparação entre frequências observadas e esperadas das médias</w:t>
      </w:r>
    </w:p>
    <w:p>
      <w:pPr>
        <w:keepNext/>
        <w:keepLines/>
        <w:pageBreakBefore w:val="0"/>
        <w:widowControl/>
        <w:spacing w:line="240" w:lineRule="auto" w:before="0" w:after="0"/>
        <w:ind w:firstLine="0"/>
        <w:jc w:val="center"/>
      </w:pPr>
      <w:r>
        <w:rPr>
          <w:rFonts w:ascii="Arial" w:hAnsi="Arial"/>
          <w:b w:val="0"/>
          <w:color w:val="000000"/>
          <w:sz w:val="24"/>
        </w:rPr>
      </w:r>
      <w:r>
        <w:drawing>
          <wp:inline>
            <wp:extent cx="5760000" cy="25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pageBreakBefore w:val="0"/>
        <w:widowControl/>
        <w:spacing w:line="240" w:lineRule="auto" w:before="0" w:after="140"/>
        <w:ind w:firstLine="0"/>
        <w:jc w:val="center"/>
      </w:pPr>
      <w:r>
        <w:rPr>
          <w:rFonts w:ascii="Arial" w:hAnsi="Arial"/>
          <w:b w:val="0"/>
          <w:color w:val="000000"/>
          <w:sz w:val="20"/>
        </w:rPr>
        <w:t>Fonte: elaboração a partir dos 109 registros transcritos. A linha une as expectativas discretas.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maior frequência observada ocorreu na média 4,0, com 19 registros, enquanto o modelo prevê a maior probabilidade em 3,5 (Figura 03). Isso não configura, por si, uma contradição: frequências amostrais variam e a categoria modal de uma amostra pode diferir da moda teórica. A média 2,0 apresentou 15 registros contra 9,08 esperados; a média 3,0 apresentou nove contra 15,14. A comparação global considera os desvios de todas as categorias, evitando concluir a partir de uma única barra.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estatística de Pearson foi 11,8202. A calibração por simulação resultou em valor-p de 0,292, com erro padrão de Monte Carlo de aproximadamente 0,001. Ao nível de 5%, não se rejeitou o modelo triangular especificado. Esse resultado expressa ausência de incompatibilidade detectada neste conjunto; não demonstra que cada dado seja justo. O valor-p também não é a probabilidade de a hipótese ser verdadeira. Como a análise usa médias agregadas, diferentes pares de faces que levam à mesma média não podem ser distinguidos.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O formato centralizado do gráfico deve ser interpretado a partir de sua distribuição exata. A média 3,5 resulta de seis pares possíveis, enquanto 1,0 e 6,0 resultam de um par cada. Aumentar o número de repetições permite estimar melhor essas probabilidades, mantendo o formato triangular. A aproximação normal diz respeito a médias de conjuntos crescentes de resultados independentes, conforme o Teorema Central do Limite, e não à repetição de médias sempre formadas por apenas dois valores (STARK, s.d.).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Uma extensão da atividade consiste em calcular uma média para cada bloco de várias jogadas sem sobreposição. Para blocos de k jogadas do par, a variância teórica da média é 35/(24k), sob as mesmas hipóteses. Histogramas de muitas médias de blocos podem ser comparados às respectivas aproximações normais. Essa etapa requer preservar a sequência dos lançamentos; o histograma agregado de 109 registros não conserva essa informação e não permite executá-la retrospectivamente.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leitura automática ainda constitui uma fonte de incerteza. Pontos não detectados, grupos indevidamente unidos e movimentos que reativem o contador podem alterar as frequências. Os critérios fixados em pixels também tornam o resultado sensível à escala da imagem. Sem vídeo anotado ou registro individual das tentativas, não se pode separar um eventual desvio físico dos dados de um erro de reconhecimento ou de contagem. A imagem com duas faces cinco documenta um acerto específico, não uma medida de acurácia global.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CONSIDERAÇÕES FINAIS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O projeto integra captura de imagem, reconhecimento das faces e atualização de frequências em uma interface para experimentação com dois dados. A análise exploratória dos 109 registros apresentou média geral de 3,61 e compatibilidade com a distribuição triangular discreta de referência, sem rejeição ao nível de 5%. O alcance dessa conclusão depende da correção e da independência dos registros, que ainda precisam ser verificadas experimentalmente.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A distinção entre frequência de médias de dois dados e distribuição de médias de blocos delimita o que a atividade demonstra. O conjunto disponível sustenta uma comparação com probabilidades exatas; não comprova distribuição normal nem ausência de vício. O uso de blocos maiores permite ampliar a proposta para estudar a aproximação normal, mantendo explícita a diferença entre resultado observado e modelo teórico.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4"/>
        </w:rPr>
        <w:t>Como continuidade, propõem-se o armazenamento de cada lançamento com imagem e horário, a identificação persistente dos dois dados e a comparação das leituras com anotações manuais. A avaliação deve quantificar erros por face, perdas e duplicações de jogadas. Com uma série auditável, será possível examinar as frequências individuais, a independência dos resultados e o comportamento das médias em blocos de tamanhos crescentes. Não foi avaliado, nesta etapa, o efeito pedagógico da ferramenta sobre a aprendizagem.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DECLARAÇÃO DE USO DE INTELIGÊNCIA ARTIFICIAL</w:t>
      </w:r>
    </w:p>
    <w:p>
      <w:pPr>
        <w:keepNext w:val="0"/>
        <w:pageBreakBefore w:val="0"/>
        <w:widowControl/>
        <w:spacing w:line="240" w:lineRule="auto" w:before="0" w:after="0"/>
        <w:ind w:firstLine="850"/>
        <w:jc w:val="both"/>
      </w:pPr>
      <w:r>
        <w:rPr>
          <w:rFonts w:ascii="Arial" w:hAnsi="Arial"/>
          <w:b w:val="0"/>
          <w:color w:val="000000"/>
          <w:sz w:val="22"/>
        </w:rPr>
        <w:t>Foi utilizado o ChatGPT para apoiar a organização e a redação deste texto, a inspeção do código disponibilizado, a transcrição das frequências visíveis na captura de tela e a preparação dos scripts de análise e do gráfico comparativo. As simulações descritas destinam-se à calibração estatística do teste e não representam novos lançamentos físicos de dados.</w:t>
      </w:r>
      <w:r>
        <w:t xml:space="preserve"> A fotografia da bancada foi editada com IA para remover objetos do fundo; a captura da interface usada na análise foi preservada.</w:t>
      </w:r>
    </w:p>
    <w:p>
      <w:pPr>
        <w:keepNext/>
        <w:pageBreakBefore w:val="0"/>
        <w:widowControl/>
        <w:spacing w:line="240" w:lineRule="auto" w:before="120" w:after="100"/>
        <w:ind w:firstLine="0"/>
        <w:jc w:val="center"/>
      </w:pPr>
      <w:r>
        <w:rPr>
          <w:rFonts w:ascii="Arial" w:hAnsi="Arial"/>
          <w:b/>
          <w:color w:val="000000"/>
          <w:sz w:val="24"/>
        </w:rPr>
        <w:t>REFERÊNCIAS</w:t>
      </w:r>
    </w:p>
    <w:p>
      <w:pPr>
        <w:keepNext w:val="0"/>
        <w:pageBreakBefore w:val="0"/>
        <w:widowControl/>
        <w:spacing w:line="240" w:lineRule="auto" w:before="0" w:after="100"/>
        <w:ind w:firstLine="0"/>
        <w:jc w:val="left"/>
      </w:pPr>
      <w:r>
        <w:rPr>
          <w:rFonts w:ascii="Arial" w:hAnsi="Arial"/>
          <w:b w:val="0"/>
          <w:color w:val="000000"/>
          <w:sz w:val="20"/>
        </w:rPr>
        <w:t>NIST/SEMATECH. Chi-square goodness-of-fit test. In: e-Handbook of Statistical Methods. [S. l.]: NIST, s.d. Disponível em: https://www.itl.nist.gov/div898/handbook/eda/section3/eda35f.htm. Acesso em: 19 out. 2026.</w:t>
      </w:r>
    </w:p>
    <w:p>
      <w:pPr>
        <w:keepNext w:val="0"/>
        <w:pageBreakBefore w:val="0"/>
        <w:widowControl/>
        <w:spacing w:line="240" w:lineRule="auto" w:before="0" w:after="100"/>
        <w:ind w:firstLine="0"/>
        <w:jc w:val="left"/>
      </w:pPr>
      <w:r>
        <w:rPr>
          <w:rFonts w:ascii="Arial" w:hAnsi="Arial"/>
          <w:b w:val="0"/>
          <w:color w:val="000000"/>
          <w:sz w:val="20"/>
        </w:rPr>
        <w:t>OPENCV. Image thresholding. In: OpenCV documentation. [S. l.]: OpenCV, s.d. Disponível em: https://docs.opencv.org/4.13.0/d7/d4d/tutorial_py_thresholding.html. Acesso em: 19 out. 2026.</w:t>
      </w:r>
    </w:p>
    <w:p>
      <w:pPr>
        <w:keepNext w:val="0"/>
        <w:pageBreakBefore w:val="0"/>
        <w:widowControl/>
        <w:spacing w:line="240" w:lineRule="auto" w:before="0" w:after="100"/>
        <w:ind w:firstLine="0"/>
        <w:jc w:val="left"/>
      </w:pPr>
      <w:r>
        <w:rPr>
          <w:rFonts w:ascii="Arial" w:hAnsi="Arial"/>
          <w:b w:val="0"/>
          <w:color w:val="000000"/>
          <w:sz w:val="20"/>
        </w:rPr>
        <w:t>STARK, Philip B. The normal curve, the central limit theorem, and Markov's and Chebychev's inequalities for random variables. In: SticiGui. Berkeley: University of California, s.d. Disponível em: https://www.stat.berkeley.edu/~stark/SticiGui/Text/clt.htm. Acesso em: 19 out. 2026.</w:t>
      </w:r>
    </w:p>
    <w:sectPr>
      <w:headerReference r:id="rId9" w:type="default"/>
      <w:footerReference r:id="rId10" w:type="default"/>
      <w:pgSz w:h="16838" w:w="11906" w:orient="portrait"/>
      <w:pgMar w:bottom="1531" w:top="1531" w:left="1134" w:right="1134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  <w:ind w:firstLine="0"/>
      <w:jc w:val="center"/>
    </w:pPr>
    <w:r>
      <w:drawing>
        <wp:inline>
          <wp:extent cx="6120000" cy="7007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70074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  <w:ind w:firstLine="0"/>
      <w:jc w:val="center"/>
    </w:pPr>
    <w:r>
      <w:drawing>
        <wp:inline>
          <wp:extent cx="6120000" cy="70179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70179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0" w:before="0" w:line="240" w:lineRule="auto"/>
      <w:jc w:val="both"/>
    </w:pPr>
    <w:rPr>
      <w:rFonts w:ascii="Arial" w:hAnsi="Arial"/>
      <w:sz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Ti5Rt2ZsTI+nJRgpqI3XR6yxew==">CgMxLjAaJAoBMBIfCh0IB0IZCgVBcmlhbBIQQXJpYWwgVW5pY29kZSBNUzgAciExZ2ZqemdxTFllRnVSQlc1dGxPQmhoYmZ2ZmFmaDRDWlU=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2026-10-19T17:58:35Z</dcterms:modified>
  <dc:creator>Adriano Pacheco; Eduardo Bidese Puhl</dc:creator>
</cp:coreProperties>
</file>