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0</wp:posOffset>
                </wp:positionV>
                <wp:extent cx="4352925" cy="479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4300" y="3545050"/>
                          <a:ext cx="4343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MINISTÉRIO DA EDUCAÇÃO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UNIVERSIDADE FEDERAL DE SANTA MARIA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0</wp:posOffset>
                </wp:positionV>
                <wp:extent cx="4352925" cy="4794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220"/>
        <w:gridCol w:w="3045"/>
        <w:tblGridChange w:id="0">
          <w:tblGrid>
            <w:gridCol w:w="2040"/>
            <w:gridCol w:w="5220"/>
            <w:gridCol w:w="3045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right="-430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Grupo: Grupo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Tema: </w:t>
            </w:r>
            <w:r w:rsidDel="00000000" w:rsidR="00000000" w:rsidRPr="00000000">
              <w:rPr>
                <w:highlight w:val="white"/>
                <w:rtl w:val="0"/>
              </w:rPr>
              <w:t xml:space="preserve">Conectar pessoas portadoras de necessidades especiais e/ou idosos com voluntários para a realização de tarefas esporádicas e simples.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Projeto de Software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before="0" w:lineRule="auto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Integrantes: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Adriano Almei</w:t>
            </w:r>
            <w:r w:rsidDel="00000000" w:rsidR="00000000" w:rsidRPr="00000000">
              <w:rPr>
                <w:rtl w:val="0"/>
              </w:rPr>
              <w:t xml:space="preserve">da, Isabella Sakis, Marinara Rübenich, Rhauani Fazul e Roger Couto.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35"/>
        <w:tblGridChange w:id="0">
          <w:tblGrid>
            <w:gridCol w:w="103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1. 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documento tem como propósito coletar, analisar e definir as necessidades e características do sistema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PinMyHelp</w:t>
            </w:r>
            <w:r w:rsidDel="00000000" w:rsidR="00000000" w:rsidRPr="00000000">
              <w:rPr>
                <w:highlight w:val="white"/>
                <w:rtl w:val="0"/>
              </w:rPr>
              <w:t xml:space="preserve">, com foco no público-alvo e requisitos abordados.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contextualSpacing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visão do sistema documenta o ambiente geral dos processos desenvolvidos para o sistema, fornecendo a todos os envolvidos uma descrição compreensível deste e suas funcionalidades.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35"/>
        <w:tblGridChange w:id="0">
          <w:tblGrid>
            <w:gridCol w:w="103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2. Descrição do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Times" w:cs="Times" w:eastAsia="Times" w:hAnsi="Time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firstLine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Pessoas com necessidades especiais e idosos enfrentam diariamente dificuldades ao desempenhar tarefas simples e corriqueiras e, por esse motivo, necessitam de auxílio e amparo de outras pessoas. Casas de repouso, escolas especiais e abrigos com profissionais qualificados a atender essa parcela da população, quando particulares, demandam demasiado investimento econômico e, por isso, não são acessíveis para a maioria das pessoas que necessitam destes serviços. Por outro lado, existem instituições públicas e demais organizações sem fins lucrativos, que oferecem atendimento gratuito. Essas instituições, por vezes, enfrentam problemas de superlotação e dificuldades em manter a quantia necessária de funcionários para atender a todos necessitados. Deste modo, a participação de voluntários no dia a dia desses locais torna-se imprescindível, visto que essas pessoas, mesmo sem experiência, podem desempenhar grande parte das tarefas básicas, para assim liberar o profissional para atender as necessidades mais específicas, que necessitam conhecimento e prática. Ainda que notável o grande número de pessoas dispostas a prestar este amparo, por vezes esses voluntários enfrentam dificuldades em descobrir locais ou pessoas que necessitam de ajuda e assistência. Logo, nota-se a carência de um meio de comunicação mais eficaz entre as pessoas dispostas a ajudar as associações, organizações ou instituições que necessitam de algum tipo ajuda. Neste contexto, 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PinMyHelp</w:t>
            </w:r>
            <w:r w:rsidDel="00000000" w:rsidR="00000000" w:rsidRPr="00000000">
              <w:rPr>
                <w:highlight w:val="white"/>
                <w:rtl w:val="0"/>
              </w:rPr>
              <w:t xml:space="preserve"> pretende conectar pessoas com necessidades especiais e idosos à pessoas que desejem atuar como voluntários, de forma a prestar auxílio na realização de tarefas esporádicas e simples.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5"/>
        <w:tblGridChange w:id="0">
          <w:tblGrid>
            <w:gridCol w:w="103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3. Descrição dos Envolvidos 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PinMyHelp </w:t>
            </w:r>
            <w:r w:rsidDel="00000000" w:rsidR="00000000" w:rsidRPr="00000000">
              <w:rPr>
                <w:rtl w:val="0"/>
              </w:rPr>
              <w:t xml:space="preserve">foi concebido para uso de qualquer pessoa, tanto para necessitados que desejem ajuda quanto para voluntários que tenham disponibilidade de tempo e vontade de ajudar. A seguir são listados os usuários finais do sistema.</w:t>
            </w:r>
          </w:p>
          <w:tbl>
            <w:tblPr>
              <w:tblStyle w:val="Table5"/>
              <w:tblW w:w="10065.0" w:type="dxa"/>
              <w:jc w:val="left"/>
              <w:tblInd w:w="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3525"/>
              <w:gridCol w:w="4770"/>
              <w:tblGridChange w:id="0">
                <w:tblGrid>
                  <w:gridCol w:w="1770"/>
                  <w:gridCol w:w="3525"/>
                  <w:gridCol w:w="47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Usuário (Ator)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Ações e responsabilidades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Requerente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Usuário solicitante de ajuda para realização de alguma tarefa simples ou auxílio em alguma atividade cotidiana em geral.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Usa a aplicação para criar solicitações de auxílio/ajuda para realização de tarefas, podendo verificar Voluntários ou Entidades disponíveis e aceitar a ajuda necessária. Quando notificar a conclusão do auxílio, tem a possibilidade de prover seu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feedback</w:t>
                  </w:r>
                  <w:r w:rsidDel="00000000" w:rsidR="00000000" w:rsidRPr="00000000">
                    <w:rPr>
                      <w:rtl w:val="0"/>
                    </w:rPr>
                    <w:t xml:space="preserve">, podendo atribuir avaliação ao Voluntário ou a Entidade. A avaliação poderá ser atribuída através de uma nota e/ou comentário.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Voluntário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Usuário que  atende uma ou mais solicitações feitas pela Entidade ou pelo Requerente, de modo a prestar ajuda e amparo como voluntário.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Usa aplicação para procurar e escolher solicitações de ajuda provindas diretamente do Requerente ou da Entidade, se comprometendo a confirmar disponibilidade e momento de início da realização da tarefa. Quando notificar conclusão do auxílio, tem a possibilidade de prover seu feedback, podendo atribuir avaliação ao Requerente ou a Entidade.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Entidade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Instituições públicas e demais organizações voltadas ao auxílio de idosos e pessoas com necessidades especiais.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entidade pode usar a aplicação para criar solicitações de auxílio/ajuda e também para se voluntariar em solicitações advindas de Requerentes ou de outras Entidades. Então a entidade pode assumir dois papéis: i) Requerente de ajuda; e ii) Prestadora de ajuda. A entidade também pode prover feedback aos Voluntários que lhe prestarem ajuda, e aos requerentes que lhe solicitarem ajuda.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Membro da equipe responsável pela administração do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contextualSpacing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Gerenciar a ajuda do sistema, podendo configurar a aplicação para os demais usuários, validando o cadastro de entidades e dos demais usuários do. Realiza o encaminhamento de problemas e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bugs </w:t>
                  </w:r>
                  <w:r w:rsidDel="00000000" w:rsidR="00000000" w:rsidRPr="00000000">
                    <w:rPr>
                      <w:rtl w:val="0"/>
                    </w:rPr>
                    <w:t xml:space="preserve">do sistema para a equipe responsável. 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95"/>
        <w:tblGridChange w:id="0">
          <w:tblGrid>
            <w:gridCol w:w="103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 Ambiente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PinMyHelp</w:t>
            </w:r>
            <w:r w:rsidDel="00000000" w:rsidR="00000000" w:rsidRPr="00000000">
              <w:rPr>
                <w:rtl w:val="0"/>
              </w:rPr>
              <w:t xml:space="preserve"> será acessado por diferentes pessoas situadas em diferentes localidades. Este acesso ocorrerá através de um </w:t>
            </w:r>
            <w:r w:rsidDel="00000000" w:rsidR="00000000" w:rsidRPr="00000000">
              <w:rPr>
                <w:i w:val="1"/>
                <w:rtl w:val="0"/>
              </w:rPr>
              <w:t xml:space="preserve">web browser </w:t>
            </w:r>
            <w:r w:rsidDel="00000000" w:rsidR="00000000" w:rsidRPr="00000000">
              <w:rPr>
                <w:rtl w:val="0"/>
              </w:rPr>
              <w:t xml:space="preserve">com conexão à internet, podendo este ser acessado tanto em um computador pessoal quanto em um dispositivo móvel, independente de sistema operacional. Inicialmente, o número de usuários máximo do sistema será limitado pela capacidade e escalabilidade do servidor onde a aplicação estará hospedada. A aplicação utiliza softwares gratuitos, dispensando a aquisição de licenças. Toda sua estrutura está apoiada nas tecnologias Java EE (plataforma de programação para servidores na linguagem de programação Java), GlassFish (servidor de aplicação) e MySQL (banco de dados), deste modo, com a solução proposta, o acesso a informação será simultâneo e nenhuma aplicação ou componente extra (à exceção do</w:t>
            </w:r>
            <w:r w:rsidDel="00000000" w:rsidR="00000000" w:rsidRPr="00000000">
              <w:rPr>
                <w:i w:val="1"/>
                <w:rtl w:val="0"/>
              </w:rPr>
              <w:t xml:space="preserve"> browser</w:t>
            </w:r>
            <w:r w:rsidDel="00000000" w:rsidR="00000000" w:rsidRPr="00000000">
              <w:rPr>
                <w:rtl w:val="0"/>
              </w:rPr>
              <w:t xml:space="preserve">) será necessário por parte dos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25"/>
        <w:tblGridChange w:id="0">
          <w:tblGrid>
            <w:gridCol w:w="104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 Visão Geral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firstLine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PinMyHelp</w:t>
            </w:r>
            <w:r w:rsidDel="00000000" w:rsidR="00000000" w:rsidRPr="00000000">
              <w:rPr>
                <w:rtl w:val="0"/>
              </w:rPr>
              <w:t xml:space="preserve"> conecta associações, institutos, lares de idosos e organizações sem fins lucrativos com voluntários dispostos a prestar auxílio em atividades </w:t>
            </w:r>
            <w:r w:rsidDel="00000000" w:rsidR="00000000" w:rsidRPr="00000000">
              <w:rPr>
                <w:highlight w:val="white"/>
                <w:rtl w:val="0"/>
              </w:rPr>
              <w:t xml:space="preserve">esporádicas e simples, podendo variar desde tarefas mais simples com</w:t>
            </w: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highlight w:val="white"/>
                <w:rtl w:val="0"/>
              </w:rPr>
              <w:t xml:space="preserve"> ir a algum mercado ou farmácia até ajuda com caminhadas ou animais de estimação.</w:t>
            </w:r>
          </w:p>
          <w:p w:rsidR="00000000" w:rsidDel="00000000" w:rsidP="00000000" w:rsidRDefault="00000000" w:rsidRPr="00000000" w14:paraId="0000003F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 Interligação com Outros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Banco de dados MySQL;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Geolocalização com Google Maps;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 Spring MVC e Spring Security;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Automação de complicação e gerenciamento de dependências com Maven;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ervidor de aplicação GlassFish;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Front-end </w:t>
            </w:r>
            <w:r w:rsidDel="00000000" w:rsidR="00000000" w:rsidRPr="00000000">
              <w:rPr>
                <w:rtl w:val="0"/>
              </w:rPr>
              <w:t xml:space="preserve">com o </w:t>
            </w:r>
            <w:r w:rsidDel="00000000" w:rsidR="00000000" w:rsidRPr="00000000">
              <w:rPr>
                <w:i w:val="1"/>
                <w:rtl w:val="0"/>
              </w:rPr>
              <w:t xml:space="preserve">framework </w:t>
            </w:r>
            <w:r w:rsidDel="00000000" w:rsidR="00000000" w:rsidRPr="00000000">
              <w:rPr>
                <w:rtl w:val="0"/>
              </w:rPr>
              <w:t xml:space="preserve">Bootstrap e a biblioteca jQuery;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Geração de relatórios PDF.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 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uso das funcionalidades do sistema é limitado para usuários cadastrados e validados. O cadastro de usuários é realizado no próprio sistema, sendo que, para cada tipo de usuário, são solicitados dados distintos, que deverão ser verificados e aprovados para iniciar o uso do sistema. A validação pode ocorrer de diferentes formas dependendo da classe de usuário a qual este cadastro se refere. A seguir é listado as possibilidades de validação exigidas pelo sistema:</w:t>
            </w:r>
          </w:p>
          <w:p w:rsidR="00000000" w:rsidDel="00000000" w:rsidP="00000000" w:rsidRDefault="00000000" w:rsidRPr="00000000" w14:paraId="0000004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625.0" w:type="dxa"/>
              <w:jc w:val="left"/>
              <w:tblInd w:w="7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5"/>
              <w:gridCol w:w="6450"/>
              <w:tblGridChange w:id="0">
                <w:tblGrid>
                  <w:gridCol w:w="2175"/>
                  <w:gridCol w:w="64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Usuário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Usuário responsável pela validação e aprovação do cadastro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Entidade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Administrador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Requerente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Administrador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Voluntário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Administrador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00" w:lineRule="auto"/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Quanto ao cadastro, Entidades, obrigatoriamente, devem ser pessoas jurídicas (com CNPJ ativo), enquanto Requerentes e Voluntários devem ser pessoas físicas (com CPF válido). Para Requerentes é necessário que ao menos uma das seguintes condições sejam atendidas: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Possuir mais de 60 anos;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Possuir algum tipo necessidade especial, incluindo, mas não limitado a: autismo, doença crônica, perda auditiva e surdez, perda de visão e cegueira, deficiência de aprendizado, distúrbio de fala e da linguagem, perda de memória e deficiência física.</w:t>
            </w:r>
          </w:p>
          <w:p w:rsidR="00000000" w:rsidDel="00000000" w:rsidP="00000000" w:rsidRDefault="00000000" w:rsidRPr="00000000" w14:paraId="0000005C">
            <w:pPr>
              <w:spacing w:before="200" w:lineRule="auto"/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a validação e confirmação do cadastro, no que diz respeito ao acesso às funcionalidades e uso geral do sistema, por ser uma aplicação</w:t>
            </w:r>
            <w:r w:rsidDel="00000000" w:rsidR="00000000" w:rsidRPr="00000000">
              <w:rPr>
                <w:i w:val="1"/>
                <w:rtl w:val="0"/>
              </w:rPr>
              <w:t xml:space="preserve"> web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não se aplicam restrições de sistema operacional, sendo necessário apenas o acesso a internet e a disponibilidade de um navegador instalado, como por exemplo, Google Chrome, Mozilla Firefox, Edge, Opera, dentre outros, sem necessidade primária de instalação de recursos ou</w:t>
            </w:r>
            <w:r w:rsidDel="00000000" w:rsidR="00000000" w:rsidRPr="00000000">
              <w:rPr>
                <w:i w:val="1"/>
                <w:rtl w:val="0"/>
              </w:rPr>
              <w:t xml:space="preserve"> plugins</w:t>
            </w:r>
            <w:r w:rsidDel="00000000" w:rsidR="00000000" w:rsidRPr="00000000">
              <w:rPr>
                <w:rtl w:val="0"/>
              </w:rPr>
              <w:t xml:space="preserve">. Além disso, para uso do sistema de geolocalização - necessário para estrutura de solicitação-atendimento de tarefas - é necessário habilitar e permitir os serviços de localização do respectivo navegador.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0"/>
        <w:tblGridChange w:id="0">
          <w:tblGrid>
            <w:gridCol w:w="105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ahoma" w:cs="Tahoma" w:eastAsia="Tahoma" w:hAnsi="Tahoma"/>
                <w:b w:val="1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8. Documentação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firstLine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se tratar de um sistema web, nenhum processo de instalação é necessário. Deste modo, a documentação será gerada a partir da ferramenta </w:t>
            </w:r>
            <w:r w:rsidDel="00000000" w:rsidR="00000000" w:rsidRPr="00000000">
              <w:rPr>
                <w:i w:val="1"/>
                <w:rtl w:val="0"/>
              </w:rPr>
              <w:t xml:space="preserve">Javadoc</w:t>
            </w:r>
            <w:r w:rsidDel="00000000" w:rsidR="00000000" w:rsidRPr="00000000">
              <w:rPr>
                <w:rtl w:val="0"/>
              </w:rPr>
              <w:t xml:space="preserve">, que permite a geração de documentação para APIs em um formato HTML, a partir de comentários especialmente formatados no código-fonte Java. O motivo da escolha se baseia no pressuposto que </w:t>
            </w:r>
            <w:r w:rsidDel="00000000" w:rsidR="00000000" w:rsidRPr="00000000">
              <w:rPr>
                <w:i w:val="1"/>
                <w:rtl w:val="0"/>
              </w:rPr>
              <w:t xml:space="preserve">Javadoc</w:t>
            </w:r>
            <w:r w:rsidDel="00000000" w:rsidR="00000000" w:rsidRPr="00000000">
              <w:rPr>
                <w:rtl w:val="0"/>
              </w:rPr>
              <w:t xml:space="preserve"> é o formato mais aceito para documentar aplicações Java SDK e que esta ferramenta elimina complementarmente a necessidade de manter a documentação como uma parte separada do código-fonte do projeto.</w:t>
            </w:r>
          </w:p>
          <w:p w:rsidR="00000000" w:rsidDel="00000000" w:rsidP="00000000" w:rsidRDefault="00000000" w:rsidRPr="00000000" w14:paraId="0000006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</w:t>
      </w:r>
      <w:r w:rsidDel="00000000" w:rsidR="00000000" w:rsidRPr="00000000">
        <w:rPr>
          <w:u w:val="single"/>
          <w:rtl w:val="0"/>
        </w:rPr>
        <w:t xml:space="preserve">22</w:t>
      </w:r>
      <w:r w:rsidDel="00000000" w:rsidR="00000000" w:rsidRPr="00000000">
        <w:rPr>
          <w:u w:val="single"/>
          <w:vertAlign w:val="baselin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03</w:t>
      </w:r>
      <w:r w:rsidDel="00000000" w:rsidR="00000000" w:rsidRPr="00000000">
        <w:rPr>
          <w:u w:val="single"/>
          <w:vertAlign w:val="baselin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2018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3.8582677165355" w:right="1134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ahoma">
    <w:embedBold w:fontKey="{00000000-0000-0000-0000-000000000000}" r:id="rId1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2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