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2" w:type="dxa"/>
        <w:jc w:val="center"/>
        <w:tblLayout w:type="fixed"/>
        <w:tblLook w:val="01E0" w:firstRow="1" w:lastRow="1" w:firstColumn="1" w:lastColumn="1" w:noHBand="0" w:noVBand="0"/>
      </w:tblPr>
      <w:tblGrid>
        <w:gridCol w:w="1418"/>
        <w:gridCol w:w="29"/>
        <w:gridCol w:w="255"/>
        <w:gridCol w:w="3714"/>
        <w:gridCol w:w="397"/>
        <w:gridCol w:w="3969"/>
      </w:tblGrid>
      <w:tr w:rsidR="00DE596A" w:rsidRPr="00647ECE" w14:paraId="6EF7B43D" w14:textId="77777777" w:rsidTr="002F5864">
        <w:trPr>
          <w:trHeight w:val="709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16C50BCE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 wp14:anchorId="56DCFC12" wp14:editId="76BF1C7F">
                  <wp:extent cx="403860" cy="403860"/>
                  <wp:effectExtent l="19050" t="0" r="0" b="0"/>
                  <wp:docPr id="2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" w:type="dxa"/>
            <w:vMerge w:val="restart"/>
            <w:shd w:val="clear" w:color="auto" w:fill="auto"/>
          </w:tcPr>
          <w:p w14:paraId="20629908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01958E6B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61854F6C" w14:textId="77777777" w:rsidR="00DE596A" w:rsidRPr="007B31D9" w:rsidRDefault="00DE596A" w:rsidP="002F5864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14:paraId="5244D70C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35FAD37B" w14:textId="77777777" w:rsidR="00DE596A" w:rsidRPr="007B31D9" w:rsidRDefault="00DE596A" w:rsidP="002F5864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14:paraId="728FF3A4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14:paraId="1782D23E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10C84B26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52EDD7E1" w14:textId="77777777" w:rsidTr="002F5864">
        <w:trPr>
          <w:trHeight w:val="1711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2FCA7448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14:paraId="04DBCC32" w14:textId="77777777" w:rsidR="00DE596A" w:rsidRPr="007A53C4" w:rsidRDefault="000763F7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ΥΠΟΥΡΓΕΙΟ ΠΑΙΔΕΙΑΣ </w:t>
            </w:r>
            <w:r w:rsidR="00DE596A"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14:paraId="7F354C10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3AB400F7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14:paraId="2695E703" w14:textId="77777777" w:rsidR="00DE596A" w:rsidRPr="00D8016F" w:rsidRDefault="00DE596A" w:rsidP="002F5864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14:paraId="5FCC2B6A" w14:textId="77777777" w:rsidR="00DE596A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14:paraId="36AA6CBB" w14:textId="77777777" w:rsidR="00DE596A" w:rsidRPr="00813D71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397" w:type="dxa"/>
            <w:vMerge/>
            <w:shd w:val="clear" w:color="auto" w:fill="auto"/>
          </w:tcPr>
          <w:p w14:paraId="431A1900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 w:val="restart"/>
            <w:shd w:val="clear" w:color="auto" w:fill="auto"/>
          </w:tcPr>
          <w:p w14:paraId="5B3DF163" w14:textId="77777777" w:rsidR="00DE596A" w:rsidRPr="002F3A2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2F3A24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2F3A24" w:rsidRPr="002F3A24">
              <w:rPr>
                <w:rFonts w:eastAsia="Times New Roman"/>
                <w:b/>
                <w:lang w:eastAsia="el-GR"/>
              </w:rPr>
              <w:t xml:space="preserve">8 </w:t>
            </w:r>
            <w:r w:rsidR="009E3457" w:rsidRPr="002F3A24">
              <w:rPr>
                <w:rFonts w:eastAsia="Times New Roman"/>
                <w:b/>
                <w:lang w:eastAsia="el-GR"/>
              </w:rPr>
              <w:t xml:space="preserve"> Ιανουαρίου</w:t>
            </w:r>
            <w:r w:rsidRPr="002F3A24">
              <w:rPr>
                <w:rFonts w:eastAsia="Times New Roman"/>
                <w:b/>
                <w:lang w:eastAsia="el-GR"/>
              </w:rPr>
              <w:t xml:space="preserve"> 20</w:t>
            </w:r>
            <w:r w:rsidR="009E3457" w:rsidRPr="002F3A24">
              <w:rPr>
                <w:rFonts w:eastAsia="Times New Roman"/>
                <w:b/>
                <w:lang w:eastAsia="el-GR"/>
              </w:rPr>
              <w:t>20</w:t>
            </w:r>
          </w:p>
          <w:p w14:paraId="72623B61" w14:textId="77777777"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2F3A24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2F3A24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2F3A24">
              <w:rPr>
                <w:rFonts w:eastAsia="Times New Roman"/>
                <w:b/>
                <w:lang w:eastAsia="el-GR"/>
              </w:rPr>
              <w:t xml:space="preserve">.: </w:t>
            </w:r>
            <w:r w:rsidR="002F3A24" w:rsidRPr="002F3A24">
              <w:rPr>
                <w:rFonts w:eastAsia="Times New Roman"/>
                <w:b/>
                <w:lang w:eastAsia="el-GR"/>
              </w:rPr>
              <w:t>11</w:t>
            </w:r>
          </w:p>
          <w:p w14:paraId="3D8CDEF7" w14:textId="77777777" w:rsidR="00DE596A" w:rsidRPr="00993F22" w:rsidRDefault="00DE596A" w:rsidP="002F5864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B31D9">
              <w:rPr>
                <w:rFonts w:eastAsia="Times New Roman"/>
                <w:b/>
                <w:lang w:eastAsia="el-GR"/>
              </w:rPr>
              <w:t xml:space="preserve">ΠΡΟΣ :  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14:paraId="605284C4" w14:textId="77777777"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Σχ. μονάδες προσχολικής, δημοτικής &amp; δευτεροβάθμιας εκπ/σης Δ΄ Αθήνας</w:t>
            </w:r>
          </w:p>
          <w:p w14:paraId="58BC47A4" w14:textId="77777777" w:rsidR="00DE596A" w:rsidRPr="007B31D9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14:paraId="4A1542C2" w14:textId="77777777" w:rsidR="00DE596A" w:rsidRPr="006A6E0D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14:paraId="2CAEE0B3" w14:textId="77777777" w:rsidR="00DE596A" w:rsidRPr="007A53C4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14:paraId="4BEEECCC" w14:textId="77777777"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Περ. Δ/νση Π.Ε. &amp; Δ.Ε. Αττικής</w:t>
            </w:r>
          </w:p>
          <w:p w14:paraId="27FF29AC" w14:textId="77777777" w:rsidR="00DE596A" w:rsidRPr="00BE6A41" w:rsidRDefault="00DE596A" w:rsidP="002F5864">
            <w:pPr>
              <w:numPr>
                <w:ilvl w:val="0"/>
                <w:numId w:val="1"/>
              </w:numPr>
              <w:tabs>
                <w:tab w:val="left" w:pos="142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Π.Ε. Δ΄ Αθήνας</w:t>
            </w:r>
          </w:p>
          <w:p w14:paraId="02EE83FB" w14:textId="77777777"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 w:rsidRPr="00BE6A41">
              <w:rPr>
                <w:rFonts w:cs="Calibri"/>
              </w:rPr>
              <w:t>Δ/νση Δ.Ε. Δ΄ Αθήνας</w:t>
            </w:r>
          </w:p>
          <w:p w14:paraId="1349D528" w14:textId="77777777" w:rsidR="00DE596A" w:rsidRDefault="00DE596A" w:rsidP="002F5864">
            <w:pPr>
              <w:numPr>
                <w:ilvl w:val="0"/>
                <w:numId w:val="1"/>
              </w:numPr>
              <w:tabs>
                <w:tab w:val="left" w:pos="284"/>
              </w:tabs>
              <w:spacing w:after="0" w:line="240" w:lineRule="auto"/>
              <w:ind w:left="284" w:hanging="284"/>
              <w:rPr>
                <w:rFonts w:cs="Calibri"/>
              </w:rPr>
            </w:pPr>
            <w:r>
              <w:rPr>
                <w:rFonts w:cs="Calibri"/>
              </w:rPr>
              <w:t>ΚΕΣΥ Δ΄ Αθήνας</w:t>
            </w:r>
          </w:p>
          <w:p w14:paraId="12831004" w14:textId="77777777" w:rsidR="00DE596A" w:rsidRPr="00BE6A41" w:rsidRDefault="00DE596A" w:rsidP="002F5864">
            <w:pPr>
              <w:tabs>
                <w:tab w:val="left" w:pos="284"/>
              </w:tabs>
              <w:spacing w:after="0" w:line="240" w:lineRule="auto"/>
              <w:ind w:left="284"/>
              <w:rPr>
                <w:rFonts w:cs="Calibri"/>
              </w:rPr>
            </w:pPr>
          </w:p>
          <w:p w14:paraId="490A2193" w14:textId="77777777" w:rsidR="00DE596A" w:rsidRDefault="00DE596A" w:rsidP="002F5864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14:paraId="24B6E01E" w14:textId="77777777"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14:paraId="16C09EF7" w14:textId="77777777" w:rsidR="00DE596A" w:rsidRDefault="00DE596A" w:rsidP="002F5864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14:paraId="769F28D1" w14:textId="77777777" w:rsidR="00DE596A" w:rsidRPr="004F515F" w:rsidRDefault="00DE596A" w:rsidP="002F5864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DE596A" w:rsidRPr="00647ECE" w14:paraId="3059BDC6" w14:textId="77777777" w:rsidTr="002F5864">
        <w:trPr>
          <w:trHeight w:val="234"/>
          <w:jc w:val="center"/>
        </w:trPr>
        <w:tc>
          <w:tcPr>
            <w:tcW w:w="5416" w:type="dxa"/>
            <w:gridSpan w:val="4"/>
            <w:shd w:val="clear" w:color="auto" w:fill="auto"/>
          </w:tcPr>
          <w:p w14:paraId="097FB99E" w14:textId="77777777" w:rsidR="00DE596A" w:rsidRPr="007A53C4" w:rsidRDefault="00DE596A" w:rsidP="002F5864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0400A4F0" w14:textId="77777777" w:rsidR="00DE596A" w:rsidRPr="007B31D9" w:rsidRDefault="00DE596A" w:rsidP="002F5864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27C44A0E" w14:textId="77777777" w:rsidR="00DE596A" w:rsidRDefault="00DE596A" w:rsidP="002F5864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DE596A" w:rsidRPr="00647ECE" w14:paraId="4E67AFD0" w14:textId="77777777" w:rsidTr="002F5864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14:paraId="7DD221BA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14:paraId="0164E3BF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1681BD94" w14:textId="77777777" w:rsidR="00DE596A" w:rsidRPr="00647ECE" w:rsidRDefault="00DE596A" w:rsidP="002F5864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397" w:type="dxa"/>
            <w:shd w:val="clear" w:color="auto" w:fill="auto"/>
          </w:tcPr>
          <w:p w14:paraId="0A528A2C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1B8B69D4" w14:textId="77777777" w:rsidR="00DE596A" w:rsidRPr="007B31D9" w:rsidRDefault="00DE596A" w:rsidP="002F5864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58732D4F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7AD08CD2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2DB75D1C" w14:textId="77777777" w:rsidR="00DE596A" w:rsidRPr="00647ECE" w:rsidRDefault="00DE596A" w:rsidP="002F5864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397" w:type="dxa"/>
            <w:shd w:val="clear" w:color="auto" w:fill="auto"/>
          </w:tcPr>
          <w:p w14:paraId="6E7BC8B8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1DD03AF9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69B7A5AA" w14:textId="77777777" w:rsidTr="002F5864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14:paraId="559E1B25" w14:textId="77777777" w:rsidR="00DE596A" w:rsidRPr="004F2484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2D84466A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F2484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14:paraId="468E2088" w14:textId="77777777" w:rsidR="00DE596A" w:rsidRPr="00A64BB5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14:paraId="5582DAF2" w14:textId="77777777" w:rsidR="00DE596A" w:rsidRPr="00FD2926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      ιστοσελίδα</w:t>
            </w:r>
          </w:p>
        </w:tc>
        <w:tc>
          <w:tcPr>
            <w:tcW w:w="284" w:type="dxa"/>
            <w:gridSpan w:val="2"/>
            <w:shd w:val="clear" w:color="auto" w:fill="auto"/>
          </w:tcPr>
          <w:p w14:paraId="18165214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14:paraId="2B578CC7" w14:textId="77777777" w:rsidR="00DE596A" w:rsidRPr="004D34D0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714" w:type="dxa"/>
            <w:shd w:val="clear" w:color="auto" w:fill="auto"/>
          </w:tcPr>
          <w:p w14:paraId="58C07B05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14:paraId="6B3C48A7" w14:textId="77777777" w:rsidR="00DE596A" w:rsidRPr="00981193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14:paraId="02BC26B5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14:paraId="0725A0EF" w14:textId="77777777" w:rsidR="00DE596A" w:rsidRDefault="00DE596A" w:rsidP="002F5864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14:paraId="499BA6A0" w14:textId="77777777" w:rsidR="00DE596A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</w:p>
          <w:p w14:paraId="735422A0" w14:textId="77777777" w:rsidR="00DE596A" w:rsidRPr="00F55A67" w:rsidRDefault="00DE596A" w:rsidP="002F5864">
            <w:pPr>
              <w:spacing w:after="0"/>
            </w:pPr>
            <w:r w:rsidRPr="004D34D0">
              <w:t>https://adrianosmoutavelis.github.io</w:t>
            </w:r>
          </w:p>
        </w:tc>
        <w:tc>
          <w:tcPr>
            <w:tcW w:w="397" w:type="dxa"/>
            <w:shd w:val="clear" w:color="auto" w:fill="auto"/>
          </w:tcPr>
          <w:p w14:paraId="7DC15539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7CEF6AB5" w14:textId="77777777" w:rsidR="00DE596A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  <w:p w14:paraId="07DD9D77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5BEE8D82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7F014A45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455B6B1C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5F28F0C7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40A9F9CE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53E122CF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DE596A" w:rsidRPr="00647ECE" w14:paraId="2053A1A3" w14:textId="77777777" w:rsidTr="002F5864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14:paraId="6F8B288F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714" w:type="dxa"/>
            <w:shd w:val="clear" w:color="auto" w:fill="auto"/>
          </w:tcPr>
          <w:p w14:paraId="489FDA94" w14:textId="77777777" w:rsidR="00DE596A" w:rsidRPr="007B31D9" w:rsidRDefault="00DE596A" w:rsidP="002F5864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97" w:type="dxa"/>
            <w:shd w:val="clear" w:color="auto" w:fill="auto"/>
          </w:tcPr>
          <w:p w14:paraId="37913782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590B449A" w14:textId="77777777" w:rsidR="00DE596A" w:rsidRPr="007B31D9" w:rsidRDefault="00DE596A" w:rsidP="002F5864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14:paraId="436CADF3" w14:textId="77777777" w:rsidR="003636D1" w:rsidRDefault="00DE596A" w:rsidP="00DE596A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 xml:space="preserve">ΘΕΜΑ:  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“</w:t>
      </w:r>
      <w:r w:rsidR="00A64BB5">
        <w:rPr>
          <w:rFonts w:eastAsia="Times New Roman" w:cs="Arial"/>
          <w:b/>
          <w:sz w:val="24"/>
          <w:szCs w:val="24"/>
          <w:lang w:eastAsia="el-GR"/>
        </w:rPr>
        <w:t xml:space="preserve">Εξετάσεις μαθητών με </w:t>
      </w:r>
      <w:r w:rsidR="00693B4E">
        <w:rPr>
          <w:rFonts w:eastAsia="Times New Roman" w:cs="Arial"/>
          <w:b/>
          <w:sz w:val="24"/>
          <w:szCs w:val="24"/>
          <w:lang w:eastAsia="el-GR"/>
        </w:rPr>
        <w:t>Παράλληλη</w:t>
      </w:r>
      <w:r w:rsidR="000A0624">
        <w:rPr>
          <w:rFonts w:eastAsia="Times New Roman" w:cs="Arial"/>
          <w:b/>
          <w:sz w:val="24"/>
          <w:szCs w:val="24"/>
          <w:lang w:eastAsia="el-GR"/>
        </w:rPr>
        <w:t xml:space="preserve"> Στήριξη</w:t>
      </w:r>
      <w:r w:rsidR="00A64BB5">
        <w:rPr>
          <w:rFonts w:eastAsia="Times New Roman" w:cs="Arial"/>
          <w:b/>
          <w:sz w:val="24"/>
          <w:szCs w:val="24"/>
          <w:lang w:eastAsia="el-GR"/>
        </w:rPr>
        <w:t xml:space="preserve"> ή που φοιτούν σε Τμήμα Ένταξη</w:t>
      </w:r>
      <w:r w:rsidR="00BF3C45">
        <w:rPr>
          <w:rFonts w:eastAsia="Times New Roman" w:cs="Arial"/>
          <w:b/>
          <w:sz w:val="24"/>
          <w:szCs w:val="24"/>
          <w:lang w:eastAsia="el-GR"/>
        </w:rPr>
        <w:t>ς</w:t>
      </w:r>
      <w:r w:rsidRPr="00DE596A">
        <w:rPr>
          <w:rFonts w:eastAsia="Times New Roman" w:cs="Arial"/>
          <w:b/>
          <w:sz w:val="24"/>
          <w:szCs w:val="24"/>
          <w:lang w:eastAsia="el-GR"/>
        </w:rPr>
        <w:t>”</w:t>
      </w:r>
      <w:r w:rsidRPr="007A53C4">
        <w:rPr>
          <w:rFonts w:eastAsia="Times New Roman" w:cs="Arial"/>
          <w:sz w:val="24"/>
          <w:szCs w:val="24"/>
          <w:lang w:eastAsia="el-GR"/>
        </w:rPr>
        <w:t xml:space="preserve"> </w:t>
      </w:r>
    </w:p>
    <w:p w14:paraId="3B5A24E9" w14:textId="77777777" w:rsidR="00FD6DD5" w:rsidRDefault="00FD6DD5" w:rsidP="00A64BB5">
      <w:pPr>
        <w:jc w:val="both"/>
        <w:rPr>
          <w:b/>
        </w:rPr>
      </w:pPr>
    </w:p>
    <w:p w14:paraId="0C46CC20" w14:textId="77777777" w:rsidR="00AE77D1" w:rsidRPr="00A64BB5" w:rsidRDefault="00E97CFA" w:rsidP="00A64BB5">
      <w:pPr>
        <w:jc w:val="both"/>
      </w:pPr>
      <w:r w:rsidRPr="00E97CFA">
        <w:rPr>
          <w:b/>
        </w:rPr>
        <w:t xml:space="preserve">Σχετικές: </w:t>
      </w:r>
      <w:r w:rsidR="00A64BB5" w:rsidRPr="00A64BB5">
        <w:t xml:space="preserve">Υπ’ αρ. 194/16.05.2018  Σχ. </w:t>
      </w:r>
      <w:proofErr w:type="spellStart"/>
      <w:r w:rsidR="00A64BB5" w:rsidRPr="00A64BB5">
        <w:t>Σ</w:t>
      </w:r>
      <w:r w:rsidR="000A0624">
        <w:t>υ</w:t>
      </w:r>
      <w:r w:rsidR="00A64BB5" w:rsidRPr="00A64BB5">
        <w:t>μβ</w:t>
      </w:r>
      <w:proofErr w:type="spellEnd"/>
      <w:r w:rsidR="00A64BB5" w:rsidRPr="00A64BB5">
        <w:t>. “Διαδικασίες Παράλληλης Στήριξης μαθητών με ειδικές εκπαιδευτικές ανάγκες κατά τη διάρκεια των προαγωγικών και απολυτήριων εξετάσεων”</w:t>
      </w:r>
    </w:p>
    <w:p w14:paraId="13119410" w14:textId="77777777" w:rsidR="003636D1" w:rsidRPr="00A64BB5" w:rsidRDefault="003636D1" w:rsidP="00DE596A">
      <w:pPr>
        <w:jc w:val="both"/>
      </w:pPr>
    </w:p>
    <w:p w14:paraId="2469D247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Η Παιδαγωγική Ψυχολογία δίνει έμφαση στον διαφορετικό τρόπο μάθησης και πρόσβασης στη γνώση. Κάθε μαθητής είναι ξεχωριστός κι ένας μαθητής με ειδικές εκπαιδευτικές ανάγκες είναι περισσότερο ξεχωριστός.</w:t>
      </w:r>
    </w:p>
    <w:p w14:paraId="0AB4A492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Ταυτόχρονα, η Πολιτεία μας, υποστηρίζει έντονα την ένταξη των μαθητών μας με αναπηρία και ειδικές εκπαιδευτικές ανάγκες (</w:t>
      </w:r>
      <w:proofErr w:type="spellStart"/>
      <w:r w:rsidRPr="00A64BB5">
        <w:rPr>
          <w:sz w:val="24"/>
        </w:rPr>
        <w:t>εεα</w:t>
      </w:r>
      <w:proofErr w:type="spellEnd"/>
      <w:r w:rsidRPr="00A64BB5">
        <w:rPr>
          <w:sz w:val="24"/>
        </w:rPr>
        <w:t>), ενισχύοντας διαρκώς τα Τμήματα Ένταξης και τις Παράλληλες Στηρίξεις.</w:t>
      </w:r>
    </w:p>
    <w:p w14:paraId="4F1A200C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 xml:space="preserve">Οι ανωτέρω συνάδελφοι, </w:t>
      </w:r>
      <w:r w:rsidR="003D5D54">
        <w:rPr>
          <w:sz w:val="24"/>
        </w:rPr>
        <w:t xml:space="preserve">συχνά, </w:t>
      </w:r>
      <w:r w:rsidRPr="00A64BB5">
        <w:rPr>
          <w:sz w:val="24"/>
        </w:rPr>
        <w:t xml:space="preserve">σε ένα ασταθές, πολύ δύσκολο για αυτούς εργασιακό περιβάλλον, υποστηρίζουν τους μαθητές με </w:t>
      </w:r>
      <w:proofErr w:type="spellStart"/>
      <w:r w:rsidRPr="00A64BB5">
        <w:rPr>
          <w:sz w:val="24"/>
        </w:rPr>
        <w:t>εεα</w:t>
      </w:r>
      <w:proofErr w:type="spellEnd"/>
      <w:r w:rsidRPr="00A64BB5">
        <w:rPr>
          <w:sz w:val="24"/>
        </w:rPr>
        <w:t xml:space="preserve"> προσπαθώντας να αμβλύνουν </w:t>
      </w:r>
      <w:r>
        <w:rPr>
          <w:sz w:val="24"/>
        </w:rPr>
        <w:t>δυναμικές</w:t>
      </w:r>
      <w:r w:rsidRPr="00A64BB5">
        <w:rPr>
          <w:sz w:val="24"/>
        </w:rPr>
        <w:t xml:space="preserve"> συμπεριφορές και να ενισχύσουν ταυτόχρονα το γνωστικό.</w:t>
      </w:r>
    </w:p>
    <w:p w14:paraId="384C503D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 xml:space="preserve">Είναι εκπαιδευτικοί με ισότιμη θέση στις σχολικές μας μονάδες και εμείς τους αξιώνουμε με το αυτονόητο. Τη δυνατότητα δηλαδή να έχουν λόγο στο σύνολο της εκπαιδευτικής διαδικασίας των μαθητών τους. </w:t>
      </w:r>
    </w:p>
    <w:p w14:paraId="62AF12DE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lastRenderedPageBreak/>
        <w:t>Είναι εξαιρετικά σημαντικό και για αυτό τους παρακαλούμε, τους υπενθυμίζουμε, να συμμετέχουν στα πλαίσια των διδακτικών τους κ</w:t>
      </w:r>
      <w:r w:rsidR="009F5DEE">
        <w:rPr>
          <w:sz w:val="24"/>
        </w:rPr>
        <w:t>αθηκόντων κι όπου ο χρόνος τους</w:t>
      </w:r>
      <w:r w:rsidRPr="00A64BB5">
        <w:rPr>
          <w:sz w:val="24"/>
        </w:rPr>
        <w:t xml:space="preserve"> το επιτρέπει και στις εξετάσεις των μαθητών τους, γραπτές ή προφορικές.</w:t>
      </w:r>
    </w:p>
    <w:p w14:paraId="7173BF43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Οι εκπαιδευτικοί Παράλληλης Στήριξης και Τμημάτων Ένταξης, από κοινού με τον/τους εκπαιδευτικό/</w:t>
      </w:r>
      <w:proofErr w:type="spellStart"/>
      <w:r w:rsidRPr="00A64BB5">
        <w:rPr>
          <w:sz w:val="24"/>
        </w:rPr>
        <w:t>κούς</w:t>
      </w:r>
      <w:proofErr w:type="spellEnd"/>
      <w:r w:rsidRPr="00A64BB5">
        <w:rPr>
          <w:sz w:val="24"/>
        </w:rPr>
        <w:t xml:space="preserve"> της γενικής αγωγής, θα </w:t>
      </w:r>
      <w:proofErr w:type="spellStart"/>
      <w:r w:rsidRPr="00A64BB5">
        <w:rPr>
          <w:sz w:val="24"/>
        </w:rPr>
        <w:t>συνδιαμόρφωνουν</w:t>
      </w:r>
      <w:proofErr w:type="spellEnd"/>
      <w:r w:rsidRPr="00A64BB5">
        <w:rPr>
          <w:sz w:val="24"/>
        </w:rPr>
        <w:t xml:space="preserve"> το σύνολο του τρόπου και των δοκιμίων εξετάσεων, γραπτών/προφορικών δοκιμασιών, ολιγόλεπτων, ωριαίων, καθώς και αυτών των προαγωγικών και απολυτήριων εξετάσεων.</w:t>
      </w:r>
    </w:p>
    <w:p w14:paraId="007D6DC5" w14:textId="67397D31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Έτσι, ως διαδικασία, παρακαλούμε μια οποιαδήποτε εξέταση, να συζητείτ</w:t>
      </w:r>
      <w:r w:rsidR="00494553">
        <w:rPr>
          <w:sz w:val="24"/>
        </w:rPr>
        <w:t>αι</w:t>
      </w:r>
      <w:r w:rsidR="00483C98" w:rsidRPr="00483C98">
        <w:rPr>
          <w:sz w:val="24"/>
        </w:rPr>
        <w:t xml:space="preserve"> </w:t>
      </w:r>
      <w:r w:rsidR="00483C98">
        <w:rPr>
          <w:sz w:val="24"/>
        </w:rPr>
        <w:t>αρκετά νωρίτερα</w:t>
      </w:r>
      <w:r w:rsidRPr="00A64BB5">
        <w:rPr>
          <w:sz w:val="24"/>
        </w:rPr>
        <w:t xml:space="preserve">, να </w:t>
      </w:r>
      <w:proofErr w:type="spellStart"/>
      <w:r w:rsidRPr="00A64BB5">
        <w:rPr>
          <w:sz w:val="24"/>
        </w:rPr>
        <w:t>συνδιαμορφώνεται</w:t>
      </w:r>
      <w:proofErr w:type="spellEnd"/>
      <w:r w:rsidRPr="00A64BB5">
        <w:rPr>
          <w:sz w:val="24"/>
        </w:rPr>
        <w:t xml:space="preserve"> ισότιμα (εκπαιδευτικοί της γενικής και ειδικής αγωγής) πριν αποδοθεί στην τάξη, στο τμήμα και στον κάθε μαθητή </w:t>
      </w:r>
      <w:r w:rsidR="00340FBB">
        <w:rPr>
          <w:sz w:val="24"/>
        </w:rPr>
        <w:t xml:space="preserve">με </w:t>
      </w:r>
      <w:proofErr w:type="spellStart"/>
      <w:r w:rsidR="00340FBB">
        <w:rPr>
          <w:sz w:val="24"/>
        </w:rPr>
        <w:t>εεα</w:t>
      </w:r>
      <w:proofErr w:type="spellEnd"/>
      <w:r w:rsidR="00340FBB">
        <w:rPr>
          <w:sz w:val="24"/>
        </w:rPr>
        <w:t xml:space="preserve"> </w:t>
      </w:r>
      <w:r w:rsidRPr="00A64BB5">
        <w:rPr>
          <w:sz w:val="24"/>
        </w:rPr>
        <w:t xml:space="preserve">ξεχωριστά. </w:t>
      </w:r>
    </w:p>
    <w:p w14:paraId="66E8DEEE" w14:textId="77777777" w:rsidR="00A64BB5" w:rsidRPr="00A64BB5" w:rsidRDefault="00FD6DD5" w:rsidP="00A64BB5">
      <w:pPr>
        <w:jc w:val="both"/>
        <w:rPr>
          <w:sz w:val="24"/>
        </w:rPr>
      </w:pPr>
      <w:r>
        <w:rPr>
          <w:sz w:val="24"/>
        </w:rPr>
        <w:t>Ένας κυρίαρχος</w:t>
      </w:r>
      <w:r w:rsidR="00A64BB5" w:rsidRPr="00A64BB5">
        <w:rPr>
          <w:sz w:val="24"/>
        </w:rPr>
        <w:t xml:space="preserve"> </w:t>
      </w:r>
      <w:r w:rsidR="004D2964">
        <w:rPr>
          <w:sz w:val="24"/>
        </w:rPr>
        <w:t>στόχος</w:t>
      </w:r>
      <w:r w:rsidR="00A64BB5" w:rsidRPr="00A64BB5">
        <w:rPr>
          <w:sz w:val="24"/>
        </w:rPr>
        <w:t>, πλέον</w:t>
      </w:r>
      <w:r w:rsidR="004D2964">
        <w:rPr>
          <w:sz w:val="24"/>
        </w:rPr>
        <w:t>,</w:t>
      </w:r>
      <w:r w:rsidR="00A64BB5" w:rsidRPr="00A64BB5">
        <w:rPr>
          <w:sz w:val="24"/>
        </w:rPr>
        <w:t xml:space="preserve"> του εκπαιδευτικού μας συστήματος είναι ο περιορισμός της μαθητικής διαρροής, που πλήττει πρωτίστως τους μαθητές με </w:t>
      </w:r>
      <w:proofErr w:type="spellStart"/>
      <w:r w:rsidR="00A64BB5" w:rsidRPr="00A64BB5">
        <w:rPr>
          <w:sz w:val="24"/>
        </w:rPr>
        <w:t>εεα</w:t>
      </w:r>
      <w:proofErr w:type="spellEnd"/>
      <w:r w:rsidR="00A64BB5" w:rsidRPr="00A64BB5">
        <w:rPr>
          <w:sz w:val="24"/>
        </w:rPr>
        <w:t xml:space="preserve">. Κι έτσι, η παιδαγωγική μας προσέγγιση </w:t>
      </w:r>
      <w:r w:rsidR="004D2964">
        <w:rPr>
          <w:sz w:val="24"/>
        </w:rPr>
        <w:t xml:space="preserve">στο καθημερινό μάθημα και </w:t>
      </w:r>
      <w:r w:rsidR="00A64BB5" w:rsidRPr="00A64BB5">
        <w:rPr>
          <w:sz w:val="24"/>
        </w:rPr>
        <w:t>στις εξετάσεις είναι “να πιάσουμε τους μαθητές μας καλούς”. Να δώσουμε σε όλους τη δυνατότητα να πετύχουν!</w:t>
      </w:r>
      <w:r w:rsidR="00693B4E">
        <w:rPr>
          <w:sz w:val="24"/>
        </w:rPr>
        <w:t xml:space="preserve"> </w:t>
      </w:r>
      <w:r w:rsidR="00A64BB5" w:rsidRPr="00A64BB5">
        <w:rPr>
          <w:sz w:val="24"/>
        </w:rPr>
        <w:t xml:space="preserve">Παρακαλούμε έτσι, να δημιουργείτε από κοινού, διαβαθμισμένα θέματα </w:t>
      </w:r>
      <w:r w:rsidR="0072583E">
        <w:rPr>
          <w:sz w:val="24"/>
        </w:rPr>
        <w:t xml:space="preserve">εξετάσεων </w:t>
      </w:r>
      <w:r w:rsidR="00A64BB5" w:rsidRPr="00A64BB5">
        <w:rPr>
          <w:sz w:val="24"/>
        </w:rPr>
        <w:t xml:space="preserve">που θα δίνουν δυνατότητα βιωμάτων επίτευξης και προόδου για όλους τους μαθητές, με έμφαση αυτούς με </w:t>
      </w:r>
      <w:proofErr w:type="spellStart"/>
      <w:r w:rsidR="00A64BB5" w:rsidRPr="00A64BB5">
        <w:rPr>
          <w:sz w:val="24"/>
        </w:rPr>
        <w:t>εεα</w:t>
      </w:r>
      <w:proofErr w:type="spellEnd"/>
      <w:r w:rsidR="00A64BB5" w:rsidRPr="00A64BB5">
        <w:rPr>
          <w:sz w:val="24"/>
        </w:rPr>
        <w:t>.</w:t>
      </w:r>
    </w:p>
    <w:p w14:paraId="0EBD2B6E" w14:textId="77777777" w:rsidR="00A64BB5" w:rsidRPr="00A64BB5" w:rsidRDefault="00A64BB5" w:rsidP="00A64BB5">
      <w:pPr>
        <w:jc w:val="both"/>
        <w:rPr>
          <w:sz w:val="24"/>
        </w:rPr>
      </w:pPr>
      <w:r w:rsidRPr="00A64BB5">
        <w:rPr>
          <w:sz w:val="24"/>
        </w:rPr>
        <w:t>Εξετάσεις χωρίς τη συμμετοχή των εκπαιδευτικών που η Πολιτεία όρισε να υποστηρίζουν το</w:t>
      </w:r>
      <w:r w:rsidR="00317A6F">
        <w:rPr>
          <w:sz w:val="24"/>
        </w:rPr>
        <w:t>ν</w:t>
      </w:r>
      <w:r w:rsidRPr="00A64BB5">
        <w:rPr>
          <w:sz w:val="24"/>
        </w:rPr>
        <w:t xml:space="preserve"> μαθητή</w:t>
      </w:r>
      <w:r w:rsidR="00483C98">
        <w:rPr>
          <w:sz w:val="24"/>
        </w:rPr>
        <w:t xml:space="preserve">, </w:t>
      </w:r>
      <w:r w:rsidRPr="00A64BB5">
        <w:rPr>
          <w:sz w:val="24"/>
        </w:rPr>
        <w:t>αποτελούν στέρηση της προσβασιμότητας του γνωστικού αγαθού, η οποία με τη σειρά της αποτελεί διάκριση κατά της Αναπηρίας και είναι κάθετα αντίθετη με τη δεοντολογία της Εκπαίδευσή</w:t>
      </w:r>
      <w:r w:rsidR="00A072D4">
        <w:rPr>
          <w:sz w:val="24"/>
        </w:rPr>
        <w:t>ς</w:t>
      </w:r>
      <w:r w:rsidRPr="00A64BB5">
        <w:rPr>
          <w:sz w:val="24"/>
        </w:rPr>
        <w:t xml:space="preserve"> μας.</w:t>
      </w:r>
    </w:p>
    <w:p w14:paraId="0A37C72C" w14:textId="77777777" w:rsidR="003636D1" w:rsidRPr="00A64BB5" w:rsidRDefault="003636D1" w:rsidP="00DE596A">
      <w:pPr>
        <w:jc w:val="both"/>
      </w:pPr>
    </w:p>
    <w:p w14:paraId="18E09CE8" w14:textId="77777777" w:rsidR="003636D1" w:rsidRPr="00A64BB5" w:rsidRDefault="003636D1" w:rsidP="00DE596A">
      <w:pPr>
        <w:jc w:val="both"/>
      </w:pPr>
    </w:p>
    <w:p w14:paraId="7BF0336A" w14:textId="77777777" w:rsidR="003636D1" w:rsidRPr="00A64BB5" w:rsidRDefault="00494553" w:rsidP="00DE596A">
      <w:pPr>
        <w:jc w:val="both"/>
      </w:pPr>
      <w:r>
        <w:rPr>
          <w:noProof/>
          <w:lang w:eastAsia="el-GR"/>
        </w:rPr>
        <w:pict w14:anchorId="1CB52BCD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9.25pt;margin-top:-22.2pt;width:218.05pt;height:132pt;z-index:251658240" stroked="f">
            <v:textbox style="mso-next-textbox:#_x0000_s1026">
              <w:txbxContent>
                <w:p w14:paraId="6D5E0E18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14:paraId="4C4F9884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4</w:t>
                  </w:r>
                  <w:r w:rsidRPr="00693B4E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693B4E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14:paraId="249AEC14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14:paraId="665F72DC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14:paraId="76C65994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14:paraId="3267860B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14:paraId="488E1077" w14:textId="77777777" w:rsidR="003636D1" w:rsidRPr="00693B4E" w:rsidRDefault="003636D1" w:rsidP="003636D1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693B4E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14:paraId="48F1601E" w14:textId="77777777" w:rsidR="003636D1" w:rsidRPr="00A64BB5" w:rsidRDefault="003636D1" w:rsidP="00DE596A">
      <w:pPr>
        <w:jc w:val="both"/>
      </w:pPr>
    </w:p>
    <w:p w14:paraId="6F014D6A" w14:textId="77777777" w:rsidR="003636D1" w:rsidRPr="00A64BB5" w:rsidRDefault="003636D1" w:rsidP="00DE596A">
      <w:pPr>
        <w:jc w:val="both"/>
      </w:pPr>
    </w:p>
    <w:p w14:paraId="2003D8A4" w14:textId="77777777" w:rsidR="003636D1" w:rsidRPr="00A64BB5" w:rsidRDefault="003636D1" w:rsidP="00DE596A">
      <w:pPr>
        <w:jc w:val="both"/>
      </w:pPr>
    </w:p>
    <w:p w14:paraId="4E9ACC3E" w14:textId="77777777" w:rsidR="003636D1" w:rsidRPr="00A64BB5" w:rsidRDefault="003636D1" w:rsidP="00DE596A">
      <w:pPr>
        <w:jc w:val="both"/>
      </w:pPr>
    </w:p>
    <w:p w14:paraId="239A3700" w14:textId="77777777" w:rsidR="003636D1" w:rsidRDefault="003636D1" w:rsidP="00DE596A">
      <w:pPr>
        <w:tabs>
          <w:tab w:val="left" w:pos="284"/>
        </w:tabs>
        <w:jc w:val="both"/>
        <w:rPr>
          <w:rFonts w:ascii="Garamond" w:hAnsi="Garamond"/>
        </w:rPr>
      </w:pPr>
    </w:p>
    <w:p w14:paraId="6E3CB19F" w14:textId="77777777" w:rsidR="003636D1" w:rsidRDefault="003636D1" w:rsidP="00DE596A">
      <w:pPr>
        <w:tabs>
          <w:tab w:val="left" w:pos="284"/>
        </w:tabs>
        <w:jc w:val="both"/>
      </w:pPr>
    </w:p>
    <w:p w14:paraId="29770A90" w14:textId="77777777" w:rsidR="003636D1" w:rsidRPr="003636D1" w:rsidRDefault="003636D1" w:rsidP="00DE596A">
      <w:pPr>
        <w:jc w:val="both"/>
      </w:pPr>
    </w:p>
    <w:sectPr w:rsidR="003636D1" w:rsidRPr="003636D1" w:rsidSect="00AE77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6D1"/>
    <w:rsid w:val="00070C4E"/>
    <w:rsid w:val="000763F7"/>
    <w:rsid w:val="000A0624"/>
    <w:rsid w:val="000C027E"/>
    <w:rsid w:val="000D4664"/>
    <w:rsid w:val="00161E64"/>
    <w:rsid w:val="001A00C5"/>
    <w:rsid w:val="00217708"/>
    <w:rsid w:val="00220CCB"/>
    <w:rsid w:val="00284403"/>
    <w:rsid w:val="002F1EBB"/>
    <w:rsid w:val="002F3A24"/>
    <w:rsid w:val="00317A6F"/>
    <w:rsid w:val="00340FBB"/>
    <w:rsid w:val="003636D1"/>
    <w:rsid w:val="003D5D54"/>
    <w:rsid w:val="00483C98"/>
    <w:rsid w:val="00494553"/>
    <w:rsid w:val="004D2964"/>
    <w:rsid w:val="00591B27"/>
    <w:rsid w:val="00604451"/>
    <w:rsid w:val="00607B32"/>
    <w:rsid w:val="00646908"/>
    <w:rsid w:val="00693B4E"/>
    <w:rsid w:val="0072583E"/>
    <w:rsid w:val="008A09AA"/>
    <w:rsid w:val="008B5B38"/>
    <w:rsid w:val="008E21E6"/>
    <w:rsid w:val="00902818"/>
    <w:rsid w:val="00946726"/>
    <w:rsid w:val="009E3457"/>
    <w:rsid w:val="009F5DEE"/>
    <w:rsid w:val="00A072D4"/>
    <w:rsid w:val="00A454B7"/>
    <w:rsid w:val="00A64BB5"/>
    <w:rsid w:val="00AB3D7B"/>
    <w:rsid w:val="00AE77D1"/>
    <w:rsid w:val="00BF3C45"/>
    <w:rsid w:val="00C82235"/>
    <w:rsid w:val="00DE596A"/>
    <w:rsid w:val="00E97CFA"/>
    <w:rsid w:val="00EC4ED8"/>
    <w:rsid w:val="00F345C5"/>
    <w:rsid w:val="00FB54D3"/>
    <w:rsid w:val="00FC43C8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4F0BC4"/>
  <w15:docId w15:val="{AD425937-3688-4900-9F1D-D0FBFD05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6D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3636D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525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</dc:creator>
  <cp:lastModifiedBy>ADRIANOS</cp:lastModifiedBy>
  <cp:revision>3</cp:revision>
  <cp:lastPrinted>2020-01-07T08:49:00Z</cp:lastPrinted>
  <dcterms:created xsi:type="dcterms:W3CDTF">2020-01-08T11:31:00Z</dcterms:created>
  <dcterms:modified xsi:type="dcterms:W3CDTF">2020-12-19T05:41:00Z</dcterms:modified>
</cp:coreProperties>
</file>