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14:paraId="3FB5AC53" w14:textId="77777777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7BC30625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71A493A8" wp14:editId="51C18373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03CFAD22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5131B63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B280CAE" w14:textId="77777777"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4A7B71F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CCFC2DB" w14:textId="77777777"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49733941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4684974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FD6D4FD" w14:textId="2E4849E7" w:rsidR="00DE596A" w:rsidRPr="00FC5E54" w:rsidRDefault="00DE596A" w:rsidP="002F5864">
            <w:pPr>
              <w:spacing w:after="0"/>
              <w:rPr>
                <w:rFonts w:eastAsia="Times New Roman"/>
                <w:b/>
                <w:bCs/>
                <w:lang w:val="en-US" w:eastAsia="el-GR"/>
              </w:rPr>
            </w:pPr>
          </w:p>
        </w:tc>
      </w:tr>
      <w:tr w:rsidR="00DE596A" w:rsidRPr="00647ECE" w14:paraId="62DEB94B" w14:textId="77777777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37A0D1C2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2F9BBEA4" w14:textId="77777777"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14:paraId="04ED7824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2526B966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59A339FF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65F4D176" w14:textId="77777777"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14:paraId="7C14964C" w14:textId="77777777"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14:paraId="3CD6DA2B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2785D720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14:paraId="3D26299D" w14:textId="7EB777D1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 w:rsidR="006B3C03">
              <w:rPr>
                <w:rFonts w:eastAsia="Times New Roman"/>
                <w:bCs/>
                <w:sz w:val="24"/>
                <w:szCs w:val="24"/>
                <w:lang w:eastAsia="el-GR"/>
              </w:rPr>
              <w:t>2</w:t>
            </w:r>
            <w:r w:rsidR="009D2F0C">
              <w:rPr>
                <w:rFonts w:eastAsia="Times New Roman"/>
                <w:bCs/>
                <w:sz w:val="24"/>
                <w:szCs w:val="24"/>
                <w:lang w:eastAsia="el-GR"/>
              </w:rPr>
              <w:t>4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="0001697A">
              <w:rPr>
                <w:rFonts w:eastAsia="Times New Roman"/>
                <w:bCs/>
                <w:sz w:val="24"/>
                <w:szCs w:val="24"/>
                <w:lang w:eastAsia="el-GR"/>
              </w:rPr>
              <w:t>Οκτωβρίου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202</w:t>
            </w:r>
            <w:r w:rsidR="000D7186">
              <w:rPr>
                <w:rFonts w:eastAsia="Times New Roman"/>
                <w:bCs/>
                <w:sz w:val="24"/>
                <w:szCs w:val="24"/>
                <w:lang w:eastAsia="el-GR"/>
              </w:rPr>
              <w:t>2</w:t>
            </w:r>
          </w:p>
          <w:p w14:paraId="7C173AA2" w14:textId="5B7C28A3" w:rsidR="00F46986" w:rsidRPr="00233890" w:rsidRDefault="009A612B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Αρ. πρωτ.: 1637</w:t>
            </w:r>
            <w:r w:rsidR="00F46986"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ab/>
            </w:r>
          </w:p>
          <w:p w14:paraId="22314773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578EBE26" w14:textId="77777777" w:rsidR="00F46986" w:rsidRPr="00475C0D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14:paraId="24ADE514" w14:textId="31708EED" w:rsidR="003C081D" w:rsidRPr="003C081D" w:rsidRDefault="003C081D" w:rsidP="003C081D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3C081D">
              <w:rPr>
                <w:rFonts w:eastAsia="Times New Roman"/>
                <w:bCs/>
                <w:sz w:val="24"/>
                <w:szCs w:val="24"/>
                <w:lang w:eastAsia="el-GR"/>
              </w:rPr>
              <w:t>Διεύθυνση Ειδικής Αγωγής &amp;</w:t>
            </w:r>
          </w:p>
          <w:p w14:paraId="6732621A" w14:textId="5004E91F" w:rsidR="003C081D" w:rsidRDefault="003C081D" w:rsidP="003C081D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3C081D">
              <w:rPr>
                <w:rFonts w:eastAsia="Times New Roman"/>
                <w:bCs/>
                <w:sz w:val="24"/>
                <w:szCs w:val="24"/>
                <w:lang w:eastAsia="el-GR"/>
              </w:rPr>
              <w:t>Εκπαίδευσης, Υ.ΠΑΙ.Θ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.</w:t>
            </w:r>
          </w:p>
          <w:p w14:paraId="1A219A90" w14:textId="2E8CB617" w:rsidR="00F46986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</w:p>
          <w:p w14:paraId="33A7F70F" w14:textId="4DBDCE98" w:rsidR="00E973B8" w:rsidRDefault="00E973B8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05AB7663" w14:textId="731AF5CF" w:rsidR="00E973B8" w:rsidRDefault="00E973B8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14:paraId="60FD121E" w14:textId="1CC75F03" w:rsidR="00DE596A" w:rsidRPr="00FC0775" w:rsidRDefault="000D7186" w:rsidP="00D821F8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bookmarkStart w:id="0" w:name="_Hlk83285725"/>
            <w:r w:rsidRPr="00170657">
              <w:rPr>
                <w:rFonts w:eastAsia="Times New Roman"/>
                <w:bCs/>
                <w:sz w:val="24"/>
                <w:szCs w:val="24"/>
                <w:lang w:eastAsia="el-GR"/>
              </w:rPr>
              <w:t>1</w:t>
            </w:r>
            <w:r w:rsidR="0082067D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. </w:t>
            </w:r>
            <w:bookmarkStart w:id="1" w:name="_Hlk117193174"/>
            <w:r w:rsidR="0082067D">
              <w:rPr>
                <w:rFonts w:eastAsia="Times New Roman"/>
                <w:bCs/>
                <w:sz w:val="24"/>
                <w:szCs w:val="24"/>
                <w:lang w:eastAsia="el-GR"/>
              </w:rPr>
              <w:t>Πανελλήνιος Σύνδεσμο</w:t>
            </w:r>
            <w:r w:rsidR="00F71A6F">
              <w:rPr>
                <w:rFonts w:eastAsia="Times New Roman"/>
                <w:bCs/>
                <w:sz w:val="24"/>
                <w:szCs w:val="24"/>
                <w:lang w:eastAsia="el-GR"/>
              </w:rPr>
              <w:t>ς</w:t>
            </w:r>
            <w:r w:rsidR="0082067D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Τυφλών </w:t>
            </w:r>
            <w:bookmarkEnd w:id="1"/>
          </w:p>
          <w:bookmarkEnd w:id="0"/>
          <w:p w14:paraId="67ACF697" w14:textId="40A5084E" w:rsidR="00DE596A" w:rsidRDefault="00D821F8" w:rsidP="002F5864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170657">
              <w:rPr>
                <w:rFonts w:eastAsia="Times New Roman"/>
                <w:bCs/>
                <w:sz w:val="24"/>
                <w:szCs w:val="24"/>
                <w:lang w:eastAsia="el-GR"/>
              </w:rPr>
              <w:t>2</w:t>
            </w:r>
            <w:bookmarkStart w:id="2" w:name="_Hlk115872795"/>
            <w:r w:rsidR="0082067D">
              <w:rPr>
                <w:rFonts w:eastAsia="Times New Roman"/>
                <w:bCs/>
                <w:sz w:val="24"/>
                <w:szCs w:val="24"/>
                <w:lang w:eastAsia="el-GR"/>
              </w:rPr>
              <w:t>.</w:t>
            </w:r>
            <w:r w:rsidR="00876121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="008C61DC" w:rsidRPr="00170657">
              <w:rPr>
                <w:rFonts w:eastAsia="Times New Roman"/>
                <w:bCs/>
                <w:sz w:val="24"/>
                <w:szCs w:val="24"/>
                <w:lang w:eastAsia="el-GR"/>
              </w:rPr>
              <w:t>Συντον</w:t>
            </w:r>
            <w:r w:rsidR="000D7186" w:rsidRPr="00170657">
              <w:rPr>
                <w:rFonts w:eastAsia="Times New Roman"/>
                <w:bCs/>
                <w:sz w:val="24"/>
                <w:szCs w:val="24"/>
                <w:lang w:eastAsia="el-GR"/>
              </w:rPr>
              <w:t>ιστ</w:t>
            </w:r>
            <w:r w:rsidR="00F71A6F">
              <w:rPr>
                <w:rFonts w:eastAsia="Times New Roman"/>
                <w:bCs/>
                <w:sz w:val="24"/>
                <w:szCs w:val="24"/>
                <w:lang w:eastAsia="el-GR"/>
              </w:rPr>
              <w:t>ές</w:t>
            </w:r>
            <w:r w:rsidR="008C61DC" w:rsidRPr="00170657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Ε.Ε. Παιδαγωγική</w:t>
            </w:r>
            <w:r w:rsidRPr="00170657">
              <w:rPr>
                <w:rFonts w:eastAsia="Times New Roman"/>
                <w:bCs/>
                <w:sz w:val="24"/>
                <w:szCs w:val="24"/>
                <w:lang w:eastAsia="el-GR"/>
              </w:rPr>
              <w:t>ς</w:t>
            </w:r>
            <w:r w:rsidR="008C61DC" w:rsidRPr="00170657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Ευθύνης</w:t>
            </w:r>
            <w:bookmarkEnd w:id="2"/>
            <w:r w:rsidR="00F71A6F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2</w:t>
            </w:r>
            <w:r w:rsidR="00F71A6F" w:rsidRPr="00F71A6F">
              <w:rPr>
                <w:rFonts w:eastAsia="Times New Roman"/>
                <w:bCs/>
                <w:sz w:val="24"/>
                <w:szCs w:val="24"/>
                <w:vertAlign w:val="superscript"/>
                <w:lang w:eastAsia="el-GR"/>
              </w:rPr>
              <w:t>ο</w:t>
            </w:r>
            <w:r w:rsidR="00F71A6F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Γυμν., Καλλιθέας, 2</w:t>
            </w:r>
            <w:r w:rsidR="00F71A6F" w:rsidRPr="00F71A6F">
              <w:rPr>
                <w:rFonts w:eastAsia="Times New Roman"/>
                <w:bCs/>
                <w:sz w:val="24"/>
                <w:szCs w:val="24"/>
                <w:vertAlign w:val="superscript"/>
                <w:lang w:eastAsia="el-GR"/>
              </w:rPr>
              <w:t>ου</w:t>
            </w:r>
            <w:r w:rsidR="00F71A6F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ΓΕΛ Καλλιθέας, </w:t>
            </w:r>
            <w:r w:rsidR="00F71A6F" w:rsidRPr="00F71A6F">
              <w:rPr>
                <w:rFonts w:eastAsia="Times New Roman"/>
                <w:bCs/>
                <w:sz w:val="24"/>
                <w:szCs w:val="24"/>
                <w:lang w:eastAsia="el-GR"/>
              </w:rPr>
              <w:t>Μουσικού Σχολείου Αλίμου</w:t>
            </w:r>
          </w:p>
          <w:p w14:paraId="0DF8BDCA" w14:textId="7AD2BDE8" w:rsidR="00F71A6F" w:rsidRDefault="00F71A6F" w:rsidP="002F5864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3. Δ/νση Δ.Ε. Δ΄ Αθήνας</w:t>
            </w:r>
          </w:p>
          <w:p w14:paraId="6AF6FC6F" w14:textId="47B1EF1B" w:rsidR="00F71A6F" w:rsidRDefault="00F71A6F" w:rsidP="002F5864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4. 2</w:t>
            </w:r>
            <w:r w:rsidRPr="00F71A6F">
              <w:rPr>
                <w:rFonts w:eastAsia="Times New Roman"/>
                <w:bCs/>
                <w:sz w:val="24"/>
                <w:szCs w:val="24"/>
                <w:vertAlign w:val="superscript"/>
                <w:lang w:eastAsia="el-GR"/>
              </w:rPr>
              <w:t>ο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Γυμν. Καλλιθέας</w:t>
            </w:r>
          </w:p>
          <w:p w14:paraId="48151FBE" w14:textId="6C855D6E" w:rsidR="00F71A6F" w:rsidRDefault="00F71A6F" w:rsidP="002F5864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5. 2</w:t>
            </w:r>
            <w:r w:rsidRPr="00F71A6F">
              <w:rPr>
                <w:rFonts w:eastAsia="Times New Roman"/>
                <w:bCs/>
                <w:sz w:val="24"/>
                <w:szCs w:val="24"/>
                <w:vertAlign w:val="superscript"/>
                <w:lang w:eastAsia="el-GR"/>
              </w:rPr>
              <w:t>ο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ΓΕΛ Καλλιθέας</w:t>
            </w:r>
          </w:p>
          <w:p w14:paraId="285817ED" w14:textId="6014EAA9" w:rsidR="00F71A6F" w:rsidRDefault="00F71A6F" w:rsidP="002F5864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6. </w:t>
            </w:r>
            <w:r w:rsidRPr="00F71A6F">
              <w:rPr>
                <w:rFonts w:eastAsia="Times New Roman"/>
                <w:bCs/>
                <w:sz w:val="24"/>
                <w:szCs w:val="24"/>
                <w:lang w:eastAsia="el-GR"/>
              </w:rPr>
              <w:t>Μουσικ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ό</w:t>
            </w:r>
            <w:r w:rsidRPr="00F71A6F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Σχολείο Αλίμου</w:t>
            </w:r>
          </w:p>
          <w:p w14:paraId="717CFC0F" w14:textId="77777777" w:rsidR="00DE596A" w:rsidRPr="004F515F" w:rsidRDefault="00DE596A" w:rsidP="006B3C03">
            <w:pPr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</w:tc>
      </w:tr>
      <w:tr w:rsidR="00DE596A" w:rsidRPr="00647ECE" w14:paraId="1B33460B" w14:textId="77777777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1577572D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1E582687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6CABFF7" w14:textId="77777777"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14:paraId="76C78DFD" w14:textId="77777777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14:paraId="1912C946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00C03B87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69B86D40" w14:textId="77777777"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63442DD4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99F13CD" w14:textId="77777777"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2A56C6A7" w14:textId="77777777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14:paraId="609F200A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539D06A9" w14:textId="77777777"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4A1551DE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EF28EA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66B334D2" w14:textId="77777777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14:paraId="5E0FBA6D" w14:textId="77777777"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5F13DDCC" w14:textId="1451A123" w:rsidR="00DE596A" w:rsidRPr="00FD2926" w:rsidRDefault="00EA38AC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="00DE596A"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 w:rsidR="00DE596A"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14:paraId="1830BDF1" w14:textId="70264BBB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14:paraId="20F3906F" w14:textId="1A9F665A"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3AF8A98C" w14:textId="77777777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75E182CF" w14:textId="77777777" w:rsidR="00EA38AC" w:rsidRDefault="00DE596A" w:rsidP="00EA38AC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="00EA38AC"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 w:rsidR="00EA38AC"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 w:rsidR="00EA38AC">
              <w:t xml:space="preserve"> </w:t>
            </w:r>
          </w:p>
          <w:p w14:paraId="742AC25C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14:paraId="5FE85ADF" w14:textId="77777777"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14:paraId="6FF30B3B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5A02B7B0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354DD27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058F54C1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6D1C1803" w14:textId="7F51854A" w:rsidR="006C4C8F" w:rsidRPr="00AE5F70" w:rsidRDefault="00F46986" w:rsidP="006C4C8F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  <w:r w:rsidRPr="00AE5F70">
        <w:rPr>
          <w:rFonts w:eastAsia="Times New Roman" w:cs="Arial"/>
          <w:b/>
          <w:sz w:val="24"/>
          <w:szCs w:val="24"/>
          <w:lang w:eastAsia="el-GR"/>
        </w:rPr>
        <w:t xml:space="preserve">Θέμα: </w:t>
      </w:r>
      <w:bookmarkStart w:id="3" w:name="_Hlk50125471"/>
      <w:r w:rsidR="006C4C8F" w:rsidRPr="00AE5F70">
        <w:rPr>
          <w:rFonts w:eastAsia="Times New Roman" w:cs="Arial"/>
          <w:b/>
          <w:sz w:val="24"/>
          <w:szCs w:val="24"/>
          <w:lang w:eastAsia="el-GR"/>
        </w:rPr>
        <w:t>“</w:t>
      </w:r>
      <w:r w:rsidR="003A6D1C">
        <w:rPr>
          <w:rFonts w:eastAsia="Times New Roman" w:cs="Arial"/>
          <w:b/>
          <w:sz w:val="24"/>
          <w:szCs w:val="24"/>
          <w:lang w:eastAsia="el-GR"/>
        </w:rPr>
        <w:t>Προτάσεις για τη</w:t>
      </w:r>
      <w:r w:rsidR="00902731">
        <w:rPr>
          <w:rFonts w:eastAsia="Times New Roman" w:cs="Arial"/>
          <w:b/>
          <w:sz w:val="24"/>
          <w:szCs w:val="24"/>
          <w:lang w:eastAsia="el-GR"/>
        </w:rPr>
        <w:t xml:space="preserve">ν βέλτιστη </w:t>
      </w:r>
      <w:r w:rsidR="003A6D1C">
        <w:rPr>
          <w:rFonts w:eastAsia="Times New Roman" w:cs="Arial"/>
          <w:b/>
          <w:sz w:val="24"/>
          <w:szCs w:val="24"/>
          <w:lang w:eastAsia="el-GR"/>
        </w:rPr>
        <w:t>λειτουργία των Τ</w:t>
      </w:r>
      <w:r w:rsidR="00E61CE9">
        <w:rPr>
          <w:rFonts w:eastAsia="Times New Roman" w:cs="Arial"/>
          <w:b/>
          <w:sz w:val="24"/>
          <w:szCs w:val="24"/>
          <w:lang w:eastAsia="el-GR"/>
        </w:rPr>
        <w:t xml:space="preserve">μημάτων Ένταξης </w:t>
      </w:r>
      <w:r w:rsidR="00902731">
        <w:rPr>
          <w:rFonts w:eastAsia="Times New Roman" w:cs="Arial"/>
          <w:b/>
          <w:sz w:val="24"/>
          <w:szCs w:val="24"/>
          <w:lang w:eastAsia="el-GR"/>
        </w:rPr>
        <w:t xml:space="preserve">Δ.Ε. </w:t>
      </w:r>
      <w:r w:rsidR="00E61CE9" w:rsidRPr="00E61CE9">
        <w:rPr>
          <w:rFonts w:eastAsia="Times New Roman" w:cs="Arial"/>
          <w:b/>
          <w:sz w:val="24"/>
          <w:szCs w:val="24"/>
          <w:lang w:eastAsia="el-GR"/>
        </w:rPr>
        <w:t>μαθητών με Προβλήματα Όρασης</w:t>
      </w:r>
      <w:r w:rsidR="006C4C8F" w:rsidRPr="00AE5F70">
        <w:rPr>
          <w:rFonts w:eastAsia="Times New Roman" w:cs="Arial"/>
          <w:b/>
          <w:sz w:val="24"/>
          <w:szCs w:val="24"/>
          <w:lang w:eastAsia="el-GR"/>
        </w:rPr>
        <w:t>”</w:t>
      </w:r>
    </w:p>
    <w:p w14:paraId="2861BD3B" w14:textId="69D2200D" w:rsidR="00F46986" w:rsidRPr="00AE5F70" w:rsidRDefault="00F46986" w:rsidP="00F46986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</w:p>
    <w:bookmarkEnd w:id="3"/>
    <w:p w14:paraId="19350A70" w14:textId="4159D887" w:rsidR="00F46986" w:rsidRDefault="00F46986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2ED47787" w14:textId="267B6F79" w:rsidR="003A6D1C" w:rsidRDefault="003A6D1C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Η λειτουργ</w:t>
      </w:r>
      <w:r w:rsidR="002B069F">
        <w:rPr>
          <w:rFonts w:eastAsia="Times New Roman" w:cs="Arial"/>
          <w:bCs/>
          <w:sz w:val="24"/>
          <w:szCs w:val="24"/>
          <w:lang w:eastAsia="el-GR"/>
        </w:rPr>
        <w:t>ία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των Τ</w:t>
      </w:r>
      <w:r w:rsidR="00E61CE9">
        <w:rPr>
          <w:rFonts w:eastAsia="Times New Roman" w:cs="Arial"/>
          <w:bCs/>
          <w:sz w:val="24"/>
          <w:szCs w:val="24"/>
          <w:lang w:eastAsia="el-GR"/>
        </w:rPr>
        <w:t>μημάτων Ένταξης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μαθητών με προβλήματα όρασης, </w:t>
      </w:r>
      <w:r w:rsidR="00D25A87">
        <w:rPr>
          <w:rFonts w:eastAsia="Times New Roman" w:cs="Arial"/>
          <w:bCs/>
          <w:sz w:val="24"/>
          <w:szCs w:val="24"/>
          <w:lang w:eastAsia="el-GR"/>
        </w:rPr>
        <w:t>στη Δ΄ Αθήνας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έχει μακρά ιστορία και ιδιαίτερη αξία για την ίδια την αναπηρία, αλλά και για το σύνολο της εκπαίδευσης των σχολείων μας.</w:t>
      </w:r>
    </w:p>
    <w:p w14:paraId="7352461C" w14:textId="5CA5617C" w:rsidR="001C1311" w:rsidRDefault="001C1311" w:rsidP="001C1311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Συγκεκριμένα, στην περιοχή ευθύνης λειτουργούν Τμήματα Ένταξης για τους μαθητές με προβλήματα όρασης στο Μουσικό Γυμν. – Λύκειο Αλίμου, καθώς και στα συστεγαζόμενα 2</w:t>
      </w:r>
      <w:r w:rsidRPr="00A47A12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Γυμν. και 2</w:t>
      </w:r>
      <w:r w:rsidRPr="00A47A12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ΓΕΛ Καλλιθέας.</w:t>
      </w:r>
      <w:r w:rsidR="000F5E47">
        <w:rPr>
          <w:rFonts w:eastAsia="Times New Roman" w:cs="Arial"/>
          <w:bCs/>
          <w:sz w:val="24"/>
          <w:szCs w:val="24"/>
          <w:lang w:eastAsia="el-GR"/>
        </w:rPr>
        <w:t xml:space="preserve"> Υποστηρίζουν μαθητές με προβλήματα όρασης κι όταν οι διδακτικοί χρόνοι το επιτρέπουν κι άλλους μαθητές με ειδικές εκπαιδευτικές ανάγκες.</w:t>
      </w:r>
    </w:p>
    <w:p w14:paraId="78CD140C" w14:textId="15A4D46A" w:rsidR="003A6D1C" w:rsidRDefault="000F5E47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Μ</w:t>
      </w:r>
      <w:r w:rsidR="003A6D1C">
        <w:rPr>
          <w:rFonts w:eastAsia="Times New Roman" w:cs="Arial"/>
          <w:bCs/>
          <w:sz w:val="24"/>
          <w:szCs w:val="24"/>
          <w:lang w:eastAsia="el-GR"/>
        </w:rPr>
        <w:t>ε σκοπό τη</w:t>
      </w:r>
      <w:r w:rsidR="00C234C6">
        <w:rPr>
          <w:rFonts w:eastAsia="Times New Roman" w:cs="Arial"/>
          <w:bCs/>
          <w:sz w:val="24"/>
          <w:szCs w:val="24"/>
          <w:lang w:eastAsia="el-GR"/>
        </w:rPr>
        <w:t>ν</w:t>
      </w:r>
      <w:r w:rsidR="003A6D1C">
        <w:rPr>
          <w:rFonts w:eastAsia="Times New Roman" w:cs="Arial"/>
          <w:bCs/>
          <w:sz w:val="24"/>
          <w:szCs w:val="24"/>
          <w:lang w:eastAsia="el-GR"/>
        </w:rPr>
        <w:t xml:space="preserve"> βέλτιστη λειτουργία τους θα σας παρακαλούσαμε </w:t>
      </w:r>
      <w:r>
        <w:rPr>
          <w:rFonts w:eastAsia="Times New Roman" w:cs="Arial"/>
          <w:bCs/>
          <w:sz w:val="24"/>
          <w:szCs w:val="24"/>
          <w:lang w:eastAsia="el-GR"/>
        </w:rPr>
        <w:t>για την αρωγή σας σ</w:t>
      </w:r>
      <w:r w:rsidR="003A6D1C">
        <w:rPr>
          <w:rFonts w:eastAsia="Times New Roman" w:cs="Arial"/>
          <w:bCs/>
          <w:sz w:val="24"/>
          <w:szCs w:val="24"/>
          <w:lang w:eastAsia="el-GR"/>
        </w:rPr>
        <w:t>την άμβλυνση σημαντικών θεμάτων</w:t>
      </w:r>
      <w:r w:rsidR="00333377">
        <w:rPr>
          <w:rFonts w:eastAsia="Times New Roman" w:cs="Arial"/>
          <w:bCs/>
          <w:sz w:val="24"/>
          <w:szCs w:val="24"/>
          <w:lang w:eastAsia="el-GR"/>
        </w:rPr>
        <w:t xml:space="preserve">, </w:t>
      </w:r>
      <w:r w:rsidR="003A6D1C">
        <w:rPr>
          <w:rFonts w:eastAsia="Times New Roman" w:cs="Arial"/>
          <w:bCs/>
          <w:sz w:val="24"/>
          <w:szCs w:val="24"/>
          <w:lang w:eastAsia="el-GR"/>
        </w:rPr>
        <w:t xml:space="preserve">που οδηγούν σε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αποστελέχωση και </w:t>
      </w:r>
      <w:r w:rsidR="003A6D1C">
        <w:rPr>
          <w:rFonts w:eastAsia="Times New Roman" w:cs="Arial"/>
          <w:bCs/>
          <w:sz w:val="24"/>
          <w:szCs w:val="24"/>
          <w:lang w:eastAsia="el-GR"/>
        </w:rPr>
        <w:t xml:space="preserve">αποσπασματικότητα </w:t>
      </w:r>
      <w:r>
        <w:rPr>
          <w:rFonts w:eastAsia="Times New Roman" w:cs="Arial"/>
          <w:bCs/>
          <w:sz w:val="24"/>
          <w:szCs w:val="24"/>
          <w:lang w:eastAsia="el-GR"/>
        </w:rPr>
        <w:t>της παρέμβασης.</w:t>
      </w:r>
    </w:p>
    <w:p w14:paraId="0B8ED3DA" w14:textId="247BE042" w:rsidR="003A6D1C" w:rsidRDefault="00C234C6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Μερικά π</w:t>
      </w:r>
      <w:r w:rsidR="003A6D1C">
        <w:rPr>
          <w:rFonts w:eastAsia="Times New Roman" w:cs="Arial"/>
          <w:bCs/>
          <w:sz w:val="24"/>
          <w:szCs w:val="24"/>
          <w:lang w:eastAsia="el-GR"/>
        </w:rPr>
        <w:t>αραδείγματα:</w:t>
      </w:r>
    </w:p>
    <w:p w14:paraId="39AB84E5" w14:textId="6633658A" w:rsidR="00D2389A" w:rsidRDefault="00D2389A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-</w:t>
      </w:r>
      <w:r w:rsidR="003A6D1C">
        <w:rPr>
          <w:rFonts w:eastAsia="Times New Roman" w:cs="Arial"/>
          <w:bCs/>
          <w:sz w:val="24"/>
          <w:szCs w:val="24"/>
          <w:lang w:eastAsia="el-GR"/>
        </w:rPr>
        <w:t>Η στελέχωση με εκπαιδευτικούς αναπληρωτές μειωμένου ωραρίου έχει ως συνέπεια, με την πρώτη «αναβάθμισ</w:t>
      </w:r>
      <w:r>
        <w:rPr>
          <w:rFonts w:eastAsia="Times New Roman" w:cs="Arial"/>
          <w:bCs/>
          <w:sz w:val="24"/>
          <w:szCs w:val="24"/>
          <w:lang w:eastAsia="el-GR"/>
        </w:rPr>
        <w:t>ή</w:t>
      </w:r>
      <w:r w:rsidR="003A6D1C">
        <w:rPr>
          <w:rFonts w:eastAsia="Times New Roman" w:cs="Arial"/>
          <w:bCs/>
          <w:sz w:val="24"/>
          <w:szCs w:val="24"/>
          <w:lang w:eastAsia="el-GR"/>
        </w:rPr>
        <w:t>»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τους</w:t>
      </w:r>
      <w:r w:rsidR="003A6D1C">
        <w:rPr>
          <w:rFonts w:eastAsia="Times New Roman" w:cs="Arial"/>
          <w:bCs/>
          <w:sz w:val="24"/>
          <w:szCs w:val="24"/>
          <w:lang w:eastAsia="el-GR"/>
        </w:rPr>
        <w:t xml:space="preserve"> σε πλήρους ωραρίου</w:t>
      </w:r>
      <w:r>
        <w:rPr>
          <w:rFonts w:eastAsia="Times New Roman" w:cs="Arial"/>
          <w:bCs/>
          <w:sz w:val="24"/>
          <w:szCs w:val="24"/>
          <w:lang w:eastAsia="el-GR"/>
        </w:rPr>
        <w:t>,</w:t>
      </w:r>
      <w:r w:rsidR="003A6D1C">
        <w:rPr>
          <w:rFonts w:eastAsia="Times New Roman" w:cs="Arial"/>
          <w:bCs/>
          <w:sz w:val="24"/>
          <w:szCs w:val="24"/>
          <w:lang w:eastAsia="el-GR"/>
        </w:rPr>
        <w:t xml:space="preserve"> να </w:t>
      </w:r>
      <w:r w:rsidR="00C234C6">
        <w:rPr>
          <w:rFonts w:eastAsia="Times New Roman" w:cs="Arial"/>
          <w:bCs/>
          <w:sz w:val="24"/>
          <w:szCs w:val="24"/>
          <w:lang w:eastAsia="el-GR"/>
        </w:rPr>
        <w:t>εγκαταλείπουν το σχολείο και να αναλαμβάνουν</w:t>
      </w:r>
      <w:r w:rsidR="003A6D1C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18095A">
        <w:rPr>
          <w:rFonts w:eastAsia="Times New Roman" w:cs="Arial"/>
          <w:bCs/>
          <w:sz w:val="24"/>
          <w:szCs w:val="24"/>
          <w:lang w:eastAsia="el-GR"/>
        </w:rPr>
        <w:t xml:space="preserve">υπηρεσία </w:t>
      </w:r>
      <w:r w:rsidR="003A6D1C">
        <w:rPr>
          <w:rFonts w:eastAsia="Times New Roman" w:cs="Arial"/>
          <w:bCs/>
          <w:sz w:val="24"/>
          <w:szCs w:val="24"/>
          <w:lang w:eastAsia="el-GR"/>
        </w:rPr>
        <w:t>σε άλλα</w:t>
      </w:r>
      <w:r w:rsidR="0018095A">
        <w:rPr>
          <w:rFonts w:eastAsia="Times New Roman" w:cs="Arial"/>
          <w:bCs/>
          <w:sz w:val="24"/>
          <w:szCs w:val="24"/>
          <w:lang w:eastAsia="el-GR"/>
        </w:rPr>
        <w:t>,</w:t>
      </w:r>
      <w:r w:rsidR="003A6D1C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καίτοι υπάρχει </w:t>
      </w:r>
      <w:r w:rsidR="0018095A">
        <w:rPr>
          <w:rFonts w:eastAsia="Times New Roman" w:cs="Arial"/>
          <w:bCs/>
          <w:sz w:val="24"/>
          <w:szCs w:val="24"/>
          <w:lang w:eastAsia="el-GR"/>
        </w:rPr>
        <w:t xml:space="preserve">σημαντική </w:t>
      </w:r>
      <w:r>
        <w:rPr>
          <w:rFonts w:eastAsia="Times New Roman" w:cs="Arial"/>
          <w:bCs/>
          <w:sz w:val="24"/>
          <w:szCs w:val="24"/>
          <w:lang w:eastAsia="el-GR"/>
        </w:rPr>
        <w:t>ανάγκη εκεί</w:t>
      </w:r>
      <w:r w:rsidR="0018095A">
        <w:rPr>
          <w:rFonts w:eastAsia="Times New Roman" w:cs="Arial"/>
          <w:bCs/>
          <w:sz w:val="24"/>
          <w:szCs w:val="24"/>
          <w:lang w:eastAsia="el-GR"/>
        </w:rPr>
        <w:t xml:space="preserve"> και το σημαντικότερο: </w:t>
      </w:r>
      <w:r w:rsidR="00674671">
        <w:rPr>
          <w:rFonts w:eastAsia="Times New Roman" w:cs="Arial"/>
          <w:bCs/>
          <w:sz w:val="24"/>
          <w:szCs w:val="24"/>
          <w:lang w:eastAsia="el-GR"/>
        </w:rPr>
        <w:t xml:space="preserve">αναγκάζονται </w:t>
      </w:r>
      <w:r w:rsidR="00333377">
        <w:rPr>
          <w:rFonts w:eastAsia="Times New Roman" w:cs="Arial"/>
          <w:bCs/>
          <w:sz w:val="24"/>
          <w:szCs w:val="24"/>
          <w:lang w:eastAsia="el-GR"/>
        </w:rPr>
        <w:t xml:space="preserve">οι εκπαιδευτικοί </w:t>
      </w:r>
      <w:r w:rsidR="00674671">
        <w:rPr>
          <w:rFonts w:eastAsia="Times New Roman" w:cs="Arial"/>
          <w:bCs/>
          <w:sz w:val="24"/>
          <w:szCs w:val="24"/>
          <w:lang w:eastAsia="el-GR"/>
        </w:rPr>
        <w:t xml:space="preserve">να </w:t>
      </w:r>
      <w:r w:rsidR="0018095A">
        <w:rPr>
          <w:rFonts w:eastAsia="Times New Roman" w:cs="Arial"/>
          <w:bCs/>
          <w:sz w:val="24"/>
          <w:szCs w:val="24"/>
          <w:lang w:eastAsia="el-GR"/>
        </w:rPr>
        <w:t>εγκαταλεί</w:t>
      </w:r>
      <w:r w:rsidR="00674671">
        <w:rPr>
          <w:rFonts w:eastAsia="Times New Roman" w:cs="Arial"/>
          <w:bCs/>
          <w:sz w:val="24"/>
          <w:szCs w:val="24"/>
          <w:lang w:eastAsia="el-GR"/>
        </w:rPr>
        <w:t>ψ</w:t>
      </w:r>
      <w:r w:rsidR="0018095A">
        <w:rPr>
          <w:rFonts w:eastAsia="Times New Roman" w:cs="Arial"/>
          <w:bCs/>
          <w:sz w:val="24"/>
          <w:szCs w:val="24"/>
          <w:lang w:eastAsia="el-GR"/>
        </w:rPr>
        <w:t>ουν σχολική κοινότητα και μαθητές</w:t>
      </w:r>
      <w:r w:rsidR="00767BD9">
        <w:rPr>
          <w:rFonts w:eastAsia="Times New Roman" w:cs="Arial"/>
          <w:bCs/>
          <w:sz w:val="24"/>
          <w:szCs w:val="24"/>
          <w:lang w:eastAsia="el-GR"/>
        </w:rPr>
        <w:t>,</w:t>
      </w:r>
      <w:r w:rsidR="0018095A">
        <w:rPr>
          <w:rFonts w:eastAsia="Times New Roman" w:cs="Arial"/>
          <w:bCs/>
          <w:sz w:val="24"/>
          <w:szCs w:val="24"/>
          <w:lang w:eastAsia="el-GR"/>
        </w:rPr>
        <w:t xml:space="preserve"> ενώ </w:t>
      </w:r>
      <w:r w:rsidR="00674671">
        <w:rPr>
          <w:rFonts w:eastAsia="Times New Roman" w:cs="Arial"/>
          <w:bCs/>
          <w:sz w:val="24"/>
          <w:szCs w:val="24"/>
          <w:lang w:eastAsia="el-GR"/>
        </w:rPr>
        <w:t xml:space="preserve">έχει δομηθεί το πρόγραμμα σχολείου και </w:t>
      </w:r>
      <w:r w:rsidR="0018095A">
        <w:rPr>
          <w:rFonts w:eastAsia="Times New Roman" w:cs="Arial"/>
          <w:bCs/>
          <w:sz w:val="24"/>
          <w:szCs w:val="24"/>
          <w:lang w:eastAsia="el-GR"/>
        </w:rPr>
        <w:t>έχει ήδη ξεκινήσει η εκπαιδευτική παρέμβαση.</w:t>
      </w:r>
      <w:r w:rsidR="009D4837">
        <w:rPr>
          <w:rFonts w:eastAsia="Times New Roman" w:cs="Arial"/>
          <w:bCs/>
          <w:sz w:val="24"/>
          <w:szCs w:val="24"/>
          <w:lang w:eastAsia="el-GR"/>
        </w:rPr>
        <w:t xml:space="preserve"> </w:t>
      </w:r>
    </w:p>
    <w:p w14:paraId="629D1716" w14:textId="27F5104C" w:rsidR="00D2389A" w:rsidRDefault="00D2389A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lastRenderedPageBreak/>
        <w:t xml:space="preserve">-Οι εκπαιδευτικοί Παράλληλης Στήριξης με </w:t>
      </w:r>
      <w:r>
        <w:rPr>
          <w:rFonts w:eastAsia="Times New Roman" w:cs="Arial"/>
          <w:bCs/>
          <w:sz w:val="24"/>
          <w:szCs w:val="24"/>
          <w:lang w:val="en-US" w:eastAsia="el-GR"/>
        </w:rPr>
        <w:t>Braille</w:t>
      </w:r>
      <w:r w:rsidR="009D4837">
        <w:rPr>
          <w:rFonts w:eastAsia="Times New Roman" w:cs="Arial"/>
          <w:bCs/>
          <w:sz w:val="24"/>
          <w:szCs w:val="24"/>
          <w:lang w:eastAsia="el-GR"/>
        </w:rPr>
        <w:t>,</w:t>
      </w:r>
      <w:r w:rsidRPr="00D2389A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767BD9">
        <w:rPr>
          <w:rFonts w:eastAsia="Times New Roman" w:cs="Arial"/>
          <w:bCs/>
          <w:sz w:val="24"/>
          <w:szCs w:val="24"/>
          <w:lang w:eastAsia="el-GR"/>
        </w:rPr>
        <w:t xml:space="preserve">που υπηρετούν στο σχολείο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δεν μπορούν </w:t>
      </w:r>
      <w:r w:rsidR="00177AF6">
        <w:rPr>
          <w:rFonts w:eastAsia="Times New Roman" w:cs="Arial"/>
          <w:bCs/>
          <w:sz w:val="24"/>
          <w:szCs w:val="24"/>
          <w:lang w:eastAsia="el-GR"/>
        </w:rPr>
        <w:t xml:space="preserve">εκ της νομοθεσίας,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εντός </w:t>
      </w:r>
      <w:r w:rsidR="00767BD9">
        <w:rPr>
          <w:rFonts w:eastAsia="Times New Roman" w:cs="Arial"/>
          <w:bCs/>
          <w:sz w:val="24"/>
          <w:szCs w:val="24"/>
          <w:lang w:eastAsia="el-GR"/>
        </w:rPr>
        <w:t xml:space="preserve">του ιδίου </w:t>
      </w:r>
      <w:r>
        <w:rPr>
          <w:rFonts w:eastAsia="Times New Roman" w:cs="Arial"/>
          <w:bCs/>
          <w:sz w:val="24"/>
          <w:szCs w:val="24"/>
          <w:lang w:eastAsia="el-GR"/>
        </w:rPr>
        <w:t>σχολείου να καλύψουν:</w:t>
      </w:r>
    </w:p>
    <w:p w14:paraId="68BCFBD0" w14:textId="656A71DC" w:rsidR="00D2389A" w:rsidRDefault="00D2389A" w:rsidP="00D2389A">
      <w:pPr>
        <w:spacing w:after="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 xml:space="preserve">α) τις σημαντικές ανάγκες των </w:t>
      </w:r>
      <w:r w:rsidR="00177AF6">
        <w:rPr>
          <w:rFonts w:eastAsia="Times New Roman" w:cs="Arial"/>
          <w:bCs/>
          <w:sz w:val="24"/>
          <w:szCs w:val="24"/>
          <w:lang w:eastAsia="el-GR"/>
        </w:rPr>
        <w:t xml:space="preserve">άλλων </w:t>
      </w:r>
      <w:r>
        <w:rPr>
          <w:rFonts w:eastAsia="Times New Roman" w:cs="Arial"/>
          <w:bCs/>
          <w:sz w:val="24"/>
          <w:szCs w:val="24"/>
          <w:lang w:eastAsia="el-GR"/>
        </w:rPr>
        <w:t>μαθητών με θέματα όρασης του Τμήματος Ένταξης.</w:t>
      </w:r>
    </w:p>
    <w:p w14:paraId="675E4434" w14:textId="580EF7D7" w:rsidR="00D2389A" w:rsidRDefault="00D2389A" w:rsidP="00D2389A">
      <w:pPr>
        <w:spacing w:after="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 xml:space="preserve">β) άλλους μαθητές με ζητήματα ειδικής αγωγής. </w:t>
      </w:r>
    </w:p>
    <w:p w14:paraId="4F89C25B" w14:textId="447747FC" w:rsidR="00D2389A" w:rsidRDefault="00D2389A" w:rsidP="00D2389A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Ως αποτέλεσμα</w:t>
      </w:r>
      <w:r w:rsidR="00177AF6">
        <w:rPr>
          <w:rFonts w:eastAsia="Times New Roman" w:cs="Arial"/>
          <w:bCs/>
          <w:sz w:val="24"/>
          <w:szCs w:val="24"/>
          <w:lang w:eastAsia="el-GR"/>
        </w:rPr>
        <w:t xml:space="preserve"> κι εδώ, </w:t>
      </w:r>
      <w:r>
        <w:rPr>
          <w:rFonts w:eastAsia="Times New Roman" w:cs="Arial"/>
          <w:bCs/>
          <w:sz w:val="24"/>
          <w:szCs w:val="24"/>
          <w:lang w:eastAsia="el-GR"/>
        </w:rPr>
        <w:t>οι εκπαιδευτικοί εγκαταλείπουν</w:t>
      </w:r>
      <w:r w:rsidR="00177AF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το </w:t>
      </w:r>
      <w:r w:rsidR="00767BD9">
        <w:rPr>
          <w:rFonts w:eastAsia="Times New Roman" w:cs="Arial"/>
          <w:bCs/>
          <w:sz w:val="24"/>
          <w:szCs w:val="24"/>
          <w:lang w:eastAsia="el-GR"/>
        </w:rPr>
        <w:t xml:space="preserve">σχολείο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για να συμπληρώνουν ώρες </w:t>
      </w:r>
      <w:r w:rsidR="00177AF6">
        <w:rPr>
          <w:rFonts w:eastAsia="Times New Roman" w:cs="Arial"/>
          <w:bCs/>
          <w:sz w:val="24"/>
          <w:szCs w:val="24"/>
          <w:lang w:eastAsia="el-GR"/>
        </w:rPr>
        <w:t xml:space="preserve">περιφερόμενοι </w:t>
      </w:r>
      <w:r>
        <w:rPr>
          <w:rFonts w:eastAsia="Times New Roman" w:cs="Arial"/>
          <w:bCs/>
          <w:sz w:val="24"/>
          <w:szCs w:val="24"/>
          <w:lang w:eastAsia="el-GR"/>
        </w:rPr>
        <w:t>σε πλήθος σχολεί</w:t>
      </w:r>
      <w:r w:rsidR="00177AF6">
        <w:rPr>
          <w:rFonts w:eastAsia="Times New Roman" w:cs="Arial"/>
          <w:bCs/>
          <w:sz w:val="24"/>
          <w:szCs w:val="24"/>
          <w:lang w:eastAsia="el-GR"/>
        </w:rPr>
        <w:t>ων</w:t>
      </w:r>
      <w:r>
        <w:rPr>
          <w:rFonts w:eastAsia="Times New Roman" w:cs="Arial"/>
          <w:bCs/>
          <w:sz w:val="24"/>
          <w:szCs w:val="24"/>
          <w:lang w:eastAsia="el-GR"/>
        </w:rPr>
        <w:t>.</w:t>
      </w:r>
    </w:p>
    <w:p w14:paraId="65025106" w14:textId="0DBF8D1E" w:rsidR="00767BD9" w:rsidRDefault="00767BD9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Σας παρακαλούμε</w:t>
      </w:r>
      <w:r w:rsidR="00F84316">
        <w:rPr>
          <w:rFonts w:eastAsia="Times New Roman" w:cs="Arial"/>
          <w:bCs/>
          <w:sz w:val="24"/>
          <w:szCs w:val="24"/>
          <w:lang w:eastAsia="el-GR"/>
        </w:rPr>
        <w:t xml:space="preserve">, στα πλαίσια των δυνατοτήτων της Υπηρεσίας </w:t>
      </w:r>
      <w:r>
        <w:rPr>
          <w:rFonts w:eastAsia="Times New Roman" w:cs="Arial"/>
          <w:bCs/>
          <w:sz w:val="24"/>
          <w:szCs w:val="24"/>
          <w:lang w:eastAsia="el-GR"/>
        </w:rPr>
        <w:t>για τα εξής</w:t>
      </w:r>
      <w:r w:rsidR="00F84316">
        <w:rPr>
          <w:rFonts w:eastAsia="Times New Roman" w:cs="Arial"/>
          <w:bCs/>
          <w:sz w:val="24"/>
          <w:szCs w:val="24"/>
          <w:lang w:eastAsia="el-GR"/>
        </w:rPr>
        <w:t>:</w:t>
      </w:r>
    </w:p>
    <w:p w14:paraId="5D47FBDA" w14:textId="65D2443A" w:rsidR="00F84316" w:rsidRPr="00F84316" w:rsidRDefault="00F84316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  <w:r>
        <w:rPr>
          <w:rFonts w:eastAsia="Times New Roman" w:cs="Arial"/>
          <w:b/>
          <w:sz w:val="24"/>
          <w:szCs w:val="24"/>
          <w:lang w:eastAsia="el-GR"/>
        </w:rPr>
        <w:t>-</w:t>
      </w:r>
      <w:r w:rsidRPr="00F84316">
        <w:rPr>
          <w:rFonts w:eastAsia="Times New Roman" w:cs="Arial"/>
          <w:b/>
          <w:sz w:val="24"/>
          <w:szCs w:val="24"/>
          <w:lang w:eastAsia="el-GR"/>
        </w:rPr>
        <w:t xml:space="preserve">Βραχυπρόθεσμα </w:t>
      </w:r>
    </w:p>
    <w:p w14:paraId="429E62A1" w14:textId="6F5E88BE" w:rsidR="00F84316" w:rsidRDefault="00F84316" w:rsidP="00A4238F">
      <w:pPr>
        <w:spacing w:after="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Κάλυψη των αναγκών στελέχωσης του Τμήματος Ένταξης 2</w:t>
      </w:r>
      <w:r>
        <w:rPr>
          <w:rFonts w:eastAsia="Times New Roman" w:cs="Arial"/>
          <w:bCs/>
          <w:sz w:val="24"/>
          <w:szCs w:val="24"/>
          <w:vertAlign w:val="superscript"/>
          <w:lang w:eastAsia="el-GR"/>
        </w:rPr>
        <w:t xml:space="preserve">ου </w:t>
      </w:r>
      <w:r>
        <w:rPr>
          <w:rFonts w:eastAsia="Times New Roman" w:cs="Arial"/>
          <w:bCs/>
          <w:sz w:val="24"/>
          <w:szCs w:val="24"/>
          <w:lang w:eastAsia="el-GR"/>
        </w:rPr>
        <w:t>ΓΕΛ Καλλιθέας.</w:t>
      </w:r>
    </w:p>
    <w:p w14:paraId="4DE93CBE" w14:textId="6B5C0642" w:rsidR="00F84316" w:rsidRPr="00F84316" w:rsidRDefault="00F84316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  <w:r>
        <w:rPr>
          <w:rFonts w:eastAsia="Times New Roman" w:cs="Arial"/>
          <w:b/>
          <w:sz w:val="24"/>
          <w:szCs w:val="24"/>
          <w:lang w:eastAsia="el-GR"/>
        </w:rPr>
        <w:t>-</w:t>
      </w:r>
      <w:r w:rsidR="00A4238F">
        <w:rPr>
          <w:rFonts w:eastAsia="Times New Roman" w:cs="Arial"/>
          <w:b/>
          <w:sz w:val="24"/>
          <w:szCs w:val="24"/>
          <w:lang w:eastAsia="el-GR"/>
        </w:rPr>
        <w:t>Μεσο</w:t>
      </w:r>
      <w:r w:rsidRPr="00F84316">
        <w:rPr>
          <w:rFonts w:eastAsia="Times New Roman" w:cs="Arial"/>
          <w:b/>
          <w:sz w:val="24"/>
          <w:szCs w:val="24"/>
          <w:lang w:eastAsia="el-GR"/>
        </w:rPr>
        <w:t>πρόθεσμα:</w:t>
      </w:r>
    </w:p>
    <w:p w14:paraId="09BB111B" w14:textId="05C762AF" w:rsidR="00767BD9" w:rsidRDefault="00767BD9" w:rsidP="00A4238F">
      <w:pPr>
        <w:spacing w:after="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 xml:space="preserve">Α. Θα ήταν ωφέλιμο στον χώρο της </w:t>
      </w:r>
      <w:r w:rsidR="003C081D">
        <w:rPr>
          <w:rFonts w:eastAsia="Times New Roman" w:cs="Arial"/>
          <w:bCs/>
          <w:sz w:val="24"/>
          <w:szCs w:val="24"/>
          <w:lang w:eastAsia="el-GR"/>
        </w:rPr>
        <w:t>Ε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ιδικής </w:t>
      </w:r>
      <w:r w:rsidR="003C081D">
        <w:rPr>
          <w:rFonts w:eastAsia="Times New Roman" w:cs="Arial"/>
          <w:bCs/>
          <w:sz w:val="24"/>
          <w:szCs w:val="24"/>
          <w:lang w:eastAsia="el-GR"/>
        </w:rPr>
        <w:t>Ε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κπαίδευσης να διορίζονται </w:t>
      </w:r>
      <w:r w:rsidR="00177AF6">
        <w:rPr>
          <w:rFonts w:eastAsia="Times New Roman" w:cs="Arial"/>
          <w:bCs/>
          <w:sz w:val="24"/>
          <w:szCs w:val="24"/>
          <w:lang w:eastAsia="el-GR"/>
        </w:rPr>
        <w:t>αποκλειστικά και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A47A12">
        <w:rPr>
          <w:rFonts w:eastAsia="Times New Roman" w:cs="Arial"/>
          <w:bCs/>
          <w:sz w:val="24"/>
          <w:szCs w:val="24"/>
          <w:lang w:eastAsia="el-GR"/>
        </w:rPr>
        <w:t xml:space="preserve">μόνο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εκπαιδευτικοί πλήρους ωραρίου. </w:t>
      </w:r>
    </w:p>
    <w:p w14:paraId="0DCA74CF" w14:textId="1A71985C" w:rsidR="00A47A12" w:rsidRPr="002B069F" w:rsidRDefault="00A47A12" w:rsidP="00A4238F">
      <w:pPr>
        <w:spacing w:after="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 xml:space="preserve">Β. Οι εκπαιδευτικοί Παράλληλης Στήριξης με </w:t>
      </w:r>
      <w:r>
        <w:rPr>
          <w:rFonts w:eastAsia="Times New Roman" w:cs="Arial"/>
          <w:bCs/>
          <w:sz w:val="24"/>
          <w:szCs w:val="24"/>
          <w:lang w:val="en-US" w:eastAsia="el-GR"/>
        </w:rPr>
        <w:t>Braille</w:t>
      </w:r>
      <w:r w:rsidRPr="00A47A12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>
        <w:rPr>
          <w:rFonts w:eastAsia="Times New Roman" w:cs="Arial"/>
          <w:bCs/>
          <w:sz w:val="24"/>
          <w:szCs w:val="24"/>
          <w:lang w:eastAsia="el-GR"/>
        </w:rPr>
        <w:t>να εντάσσονται αυτόματα στη δομή του Τμήματος Ένταξης του σχολείου</w:t>
      </w:r>
      <w:r w:rsidR="00177AF6">
        <w:rPr>
          <w:rFonts w:eastAsia="Times New Roman" w:cs="Arial"/>
          <w:bCs/>
          <w:sz w:val="24"/>
          <w:szCs w:val="24"/>
          <w:lang w:eastAsia="el-GR"/>
        </w:rPr>
        <w:t xml:space="preserve"> ώστε από κοινού με όλους τους εκπαιδευτικούς να ορίζουν την παρέμβαση.</w:t>
      </w:r>
      <w:r w:rsidR="00902731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902731" w:rsidRPr="002B069F">
        <w:rPr>
          <w:rFonts w:eastAsia="Times New Roman" w:cs="Arial"/>
          <w:bCs/>
          <w:sz w:val="24"/>
          <w:szCs w:val="24"/>
          <w:lang w:eastAsia="el-GR"/>
        </w:rPr>
        <w:t xml:space="preserve">Το παρόν θέμα συνδέεται με αντίστοιχες παλαιότερες εισηγήσεις </w:t>
      </w:r>
      <w:r w:rsidR="002B069F">
        <w:rPr>
          <w:rFonts w:eastAsia="Times New Roman" w:cs="Arial"/>
          <w:bCs/>
          <w:sz w:val="24"/>
          <w:szCs w:val="24"/>
          <w:lang w:eastAsia="el-GR"/>
        </w:rPr>
        <w:t>μας, που ζητούν ο εκπαιδευτικός Παράλληλης Στήριξη να μην αναλαμβάνει ονομαστικά κι αποκλειστικά μαθητή αλλά να εντάσσεται στο σχολείο για τις ανάγκες των μαθητών με ειδικές εκπαιδευτικές ανάγκες</w:t>
      </w:r>
      <w:r w:rsidR="00902731" w:rsidRPr="002B069F">
        <w:rPr>
          <w:rFonts w:eastAsia="Times New Roman" w:cs="Arial"/>
          <w:bCs/>
          <w:sz w:val="24"/>
          <w:szCs w:val="24"/>
          <w:lang w:eastAsia="el-GR"/>
        </w:rPr>
        <w:t>.</w:t>
      </w:r>
    </w:p>
    <w:p w14:paraId="5E139A3D" w14:textId="1FEE77FE" w:rsidR="00767BD9" w:rsidRDefault="00A47A12" w:rsidP="00A4238F">
      <w:pPr>
        <w:spacing w:after="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 xml:space="preserve">Γ. Τα Τμήματα Ένταξης των συστεγαζόμενων </w:t>
      </w:r>
      <w:r w:rsidR="00177AF6">
        <w:rPr>
          <w:rFonts w:eastAsia="Times New Roman" w:cs="Arial"/>
          <w:bCs/>
          <w:sz w:val="24"/>
          <w:szCs w:val="24"/>
          <w:lang w:eastAsia="el-GR"/>
        </w:rPr>
        <w:t xml:space="preserve">σχολείων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να λειτουργούν </w:t>
      </w:r>
      <w:r w:rsidR="001C1311">
        <w:rPr>
          <w:rFonts w:eastAsia="Times New Roman" w:cs="Arial"/>
          <w:bCs/>
          <w:sz w:val="24"/>
          <w:szCs w:val="24"/>
          <w:lang w:eastAsia="el-GR"/>
        </w:rPr>
        <w:t>από κοινού υποστηρίζοντας το σύνολο του συγκροτήματος</w:t>
      </w:r>
      <w:r w:rsidR="00177AF6">
        <w:rPr>
          <w:rFonts w:eastAsia="Times New Roman" w:cs="Arial"/>
          <w:bCs/>
          <w:sz w:val="24"/>
          <w:szCs w:val="24"/>
          <w:lang w:eastAsia="el-GR"/>
        </w:rPr>
        <w:t xml:space="preserve"> χωρίς διάκριση</w:t>
      </w:r>
      <w:r w:rsidR="001C1311">
        <w:rPr>
          <w:rFonts w:eastAsia="Times New Roman" w:cs="Arial"/>
          <w:bCs/>
          <w:sz w:val="24"/>
          <w:szCs w:val="24"/>
          <w:lang w:eastAsia="el-GR"/>
        </w:rPr>
        <w:t>.</w:t>
      </w:r>
    </w:p>
    <w:p w14:paraId="1A7E1CA6" w14:textId="0E811D7D" w:rsidR="003C081D" w:rsidRDefault="003C081D" w:rsidP="00A4238F">
      <w:pPr>
        <w:spacing w:after="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 xml:space="preserve">Δ. </w:t>
      </w:r>
      <w:r w:rsidRPr="003C081D">
        <w:rPr>
          <w:rFonts w:eastAsia="Times New Roman" w:cs="Arial"/>
          <w:bCs/>
          <w:sz w:val="24"/>
          <w:szCs w:val="24"/>
          <w:lang w:eastAsia="el-GR"/>
        </w:rPr>
        <w:t>Ειδικότερα</w:t>
      </w:r>
      <w:r>
        <w:rPr>
          <w:rFonts w:eastAsia="Times New Roman" w:cs="Arial"/>
          <w:bCs/>
          <w:sz w:val="24"/>
          <w:szCs w:val="24"/>
          <w:lang w:eastAsia="el-GR"/>
        </w:rPr>
        <w:t>,</w:t>
      </w:r>
      <w:r w:rsidRPr="003C081D">
        <w:rPr>
          <w:rFonts w:eastAsia="Times New Roman" w:cs="Arial"/>
          <w:bCs/>
          <w:sz w:val="24"/>
          <w:szCs w:val="24"/>
          <w:lang w:eastAsia="el-GR"/>
        </w:rPr>
        <w:t xml:space="preserve"> για τα </w:t>
      </w:r>
      <w:r>
        <w:rPr>
          <w:rFonts w:eastAsia="Times New Roman" w:cs="Arial"/>
          <w:bCs/>
          <w:sz w:val="24"/>
          <w:szCs w:val="24"/>
          <w:lang w:eastAsia="el-GR"/>
        </w:rPr>
        <w:t>Τμήματα Ένταξης σε μ</w:t>
      </w:r>
      <w:r w:rsidRPr="003C081D">
        <w:rPr>
          <w:rFonts w:eastAsia="Times New Roman" w:cs="Arial"/>
          <w:bCs/>
          <w:sz w:val="24"/>
          <w:szCs w:val="24"/>
          <w:lang w:eastAsia="el-GR"/>
        </w:rPr>
        <w:t xml:space="preserve">ουσικά </w:t>
      </w:r>
      <w:r>
        <w:rPr>
          <w:rFonts w:eastAsia="Times New Roman" w:cs="Arial"/>
          <w:bCs/>
          <w:sz w:val="24"/>
          <w:szCs w:val="24"/>
          <w:lang w:eastAsia="el-GR"/>
        </w:rPr>
        <w:t>σ</w:t>
      </w:r>
      <w:r w:rsidRPr="003C081D">
        <w:rPr>
          <w:rFonts w:eastAsia="Times New Roman" w:cs="Arial"/>
          <w:bCs/>
          <w:sz w:val="24"/>
          <w:szCs w:val="24"/>
          <w:lang w:eastAsia="el-GR"/>
        </w:rPr>
        <w:t>χολεία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είναι ωφέλιμο</w:t>
      </w:r>
      <w:r w:rsidRPr="003C081D">
        <w:rPr>
          <w:rFonts w:eastAsia="Times New Roman" w:cs="Arial"/>
          <w:bCs/>
          <w:sz w:val="24"/>
          <w:szCs w:val="24"/>
          <w:lang w:eastAsia="el-GR"/>
        </w:rPr>
        <w:t xml:space="preserve"> να συμπεριληφθεί η ειδικότητα των </w:t>
      </w:r>
      <w:r>
        <w:rPr>
          <w:rFonts w:eastAsia="Times New Roman" w:cs="Arial"/>
          <w:bCs/>
          <w:sz w:val="24"/>
          <w:szCs w:val="24"/>
          <w:lang w:eastAsia="el-GR"/>
        </w:rPr>
        <w:t>μ</w:t>
      </w:r>
      <w:r w:rsidRPr="003C081D">
        <w:rPr>
          <w:rFonts w:eastAsia="Times New Roman" w:cs="Arial"/>
          <w:bCs/>
          <w:sz w:val="24"/>
          <w:szCs w:val="24"/>
          <w:lang w:eastAsia="el-GR"/>
        </w:rPr>
        <w:t xml:space="preserve">ουσικών ειδικής </w:t>
      </w:r>
      <w:r>
        <w:rPr>
          <w:rFonts w:eastAsia="Times New Roman" w:cs="Arial"/>
          <w:bCs/>
          <w:sz w:val="24"/>
          <w:szCs w:val="24"/>
          <w:lang w:eastAsia="el-GR"/>
        </w:rPr>
        <w:t>α</w:t>
      </w:r>
      <w:r w:rsidRPr="003C081D">
        <w:rPr>
          <w:rFonts w:eastAsia="Times New Roman" w:cs="Arial"/>
          <w:bCs/>
          <w:sz w:val="24"/>
          <w:szCs w:val="24"/>
          <w:lang w:eastAsia="el-GR"/>
        </w:rPr>
        <w:t xml:space="preserve">γωγής στη στελέχωση </w:t>
      </w:r>
      <w:r>
        <w:rPr>
          <w:rFonts w:eastAsia="Times New Roman" w:cs="Arial"/>
          <w:bCs/>
          <w:sz w:val="24"/>
          <w:szCs w:val="24"/>
          <w:lang w:eastAsia="el-GR"/>
        </w:rPr>
        <w:t>τους.</w:t>
      </w:r>
      <w:r w:rsidRPr="003C081D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2B069F">
        <w:rPr>
          <w:rFonts w:eastAsia="Times New Roman" w:cs="Arial"/>
          <w:bCs/>
          <w:sz w:val="24"/>
          <w:szCs w:val="24"/>
          <w:lang w:eastAsia="el-GR"/>
        </w:rPr>
        <w:t xml:space="preserve"> </w:t>
      </w:r>
    </w:p>
    <w:p w14:paraId="6F502AD6" w14:textId="01758944" w:rsidR="003C081D" w:rsidRDefault="003C081D" w:rsidP="00A4238F">
      <w:pPr>
        <w:spacing w:after="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 xml:space="preserve">Ε. Σχετικά </w:t>
      </w:r>
      <w:r w:rsidR="002B069F">
        <w:rPr>
          <w:rFonts w:eastAsia="Times New Roman" w:cs="Arial"/>
          <w:bCs/>
          <w:sz w:val="24"/>
          <w:szCs w:val="24"/>
          <w:lang w:eastAsia="el-GR"/>
        </w:rPr>
        <w:t xml:space="preserve">δε </w:t>
      </w:r>
      <w:r>
        <w:rPr>
          <w:rFonts w:eastAsia="Times New Roman" w:cs="Arial"/>
          <w:bCs/>
          <w:sz w:val="24"/>
          <w:szCs w:val="24"/>
          <w:lang w:eastAsia="el-GR"/>
        </w:rPr>
        <w:t>μ</w:t>
      </w:r>
      <w:r w:rsidRPr="003C081D">
        <w:rPr>
          <w:rFonts w:eastAsia="Times New Roman" w:cs="Arial"/>
          <w:bCs/>
          <w:sz w:val="24"/>
          <w:szCs w:val="24"/>
          <w:lang w:eastAsia="el-GR"/>
        </w:rPr>
        <w:t>ε τη διαδικασία Εισαγωγικών και Κατατακτηρίων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3C081D">
        <w:rPr>
          <w:rFonts w:eastAsia="Times New Roman" w:cs="Arial"/>
          <w:bCs/>
          <w:sz w:val="24"/>
          <w:szCs w:val="24"/>
          <w:lang w:eastAsia="el-GR"/>
        </w:rPr>
        <w:t xml:space="preserve">Εξετάσεων των μαθητών με </w:t>
      </w:r>
      <w:r>
        <w:rPr>
          <w:rFonts w:eastAsia="Times New Roman" w:cs="Arial"/>
          <w:bCs/>
          <w:sz w:val="24"/>
          <w:szCs w:val="24"/>
          <w:lang w:eastAsia="el-GR"/>
        </w:rPr>
        <w:t>π</w:t>
      </w:r>
      <w:r w:rsidRPr="003C081D">
        <w:rPr>
          <w:rFonts w:eastAsia="Times New Roman" w:cs="Arial"/>
          <w:bCs/>
          <w:sz w:val="24"/>
          <w:szCs w:val="24"/>
          <w:lang w:eastAsia="el-GR"/>
        </w:rPr>
        <w:t xml:space="preserve">ροβλήματα </w:t>
      </w:r>
      <w:r>
        <w:rPr>
          <w:rFonts w:eastAsia="Times New Roman" w:cs="Arial"/>
          <w:bCs/>
          <w:sz w:val="24"/>
          <w:szCs w:val="24"/>
          <w:lang w:eastAsia="el-GR"/>
        </w:rPr>
        <w:t>ό</w:t>
      </w:r>
      <w:r w:rsidRPr="003C081D">
        <w:rPr>
          <w:rFonts w:eastAsia="Times New Roman" w:cs="Arial"/>
          <w:bCs/>
          <w:sz w:val="24"/>
          <w:szCs w:val="24"/>
          <w:lang w:eastAsia="el-GR"/>
        </w:rPr>
        <w:t xml:space="preserve">ρασης στο </w:t>
      </w:r>
      <w:r>
        <w:rPr>
          <w:rFonts w:eastAsia="Times New Roman" w:cs="Arial"/>
          <w:bCs/>
          <w:sz w:val="24"/>
          <w:szCs w:val="24"/>
          <w:lang w:eastAsia="el-GR"/>
        </w:rPr>
        <w:t>μ</w:t>
      </w:r>
      <w:r w:rsidRPr="003C081D">
        <w:rPr>
          <w:rFonts w:eastAsia="Times New Roman" w:cs="Arial"/>
          <w:bCs/>
          <w:sz w:val="24"/>
          <w:szCs w:val="24"/>
          <w:lang w:eastAsia="el-GR"/>
        </w:rPr>
        <w:t xml:space="preserve">ουσικό </w:t>
      </w:r>
      <w:r>
        <w:rPr>
          <w:rFonts w:eastAsia="Times New Roman" w:cs="Arial"/>
          <w:bCs/>
          <w:sz w:val="24"/>
          <w:szCs w:val="24"/>
          <w:lang w:eastAsia="el-GR"/>
        </w:rPr>
        <w:t>σ</w:t>
      </w:r>
      <w:r w:rsidRPr="003C081D">
        <w:rPr>
          <w:rFonts w:eastAsia="Times New Roman" w:cs="Arial"/>
          <w:bCs/>
          <w:sz w:val="24"/>
          <w:szCs w:val="24"/>
          <w:lang w:eastAsia="el-GR"/>
        </w:rPr>
        <w:t>χολείο Αλίμου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εκτενείς προτάσεις μας είναι </w:t>
      </w:r>
      <w:r w:rsidR="002B069F">
        <w:rPr>
          <w:rFonts w:eastAsia="Times New Roman" w:cs="Arial"/>
          <w:bCs/>
          <w:sz w:val="24"/>
          <w:szCs w:val="24"/>
          <w:lang w:eastAsia="el-GR"/>
        </w:rPr>
        <w:t xml:space="preserve">ήδη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στη διάθεσή σας (βλ. </w:t>
      </w:r>
      <w:hyperlink r:id="rId6" w:history="1">
        <w:r w:rsidRPr="003C081D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>σύνδεσμος εγγράφου</w:t>
        </w:r>
      </w:hyperlink>
      <w:r>
        <w:rPr>
          <w:rFonts w:eastAsia="Times New Roman" w:cs="Arial"/>
          <w:bCs/>
          <w:sz w:val="24"/>
          <w:szCs w:val="24"/>
          <w:lang w:eastAsia="el-GR"/>
        </w:rPr>
        <w:t>).</w:t>
      </w:r>
    </w:p>
    <w:p w14:paraId="622428C7" w14:textId="18D1B2F3" w:rsidR="00767BD9" w:rsidRDefault="003C081D" w:rsidP="00A4238F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 xml:space="preserve">Οι ανωτέρω προτάσεις θεωρούμε ότι </w:t>
      </w:r>
      <w:r w:rsidR="00535F23">
        <w:rPr>
          <w:rFonts w:eastAsia="Times New Roman" w:cs="Arial"/>
          <w:bCs/>
          <w:sz w:val="24"/>
          <w:szCs w:val="24"/>
          <w:lang w:eastAsia="el-GR"/>
        </w:rPr>
        <w:t xml:space="preserve">χωρίς υψηλό κόστος </w:t>
      </w:r>
      <w:r>
        <w:rPr>
          <w:rFonts w:eastAsia="Times New Roman" w:cs="Arial"/>
          <w:bCs/>
          <w:sz w:val="24"/>
          <w:szCs w:val="24"/>
          <w:lang w:eastAsia="el-GR"/>
        </w:rPr>
        <w:t>θα επιλύσουν ζητήματα οργάνωσης προσφέροντας σταθερότητα</w:t>
      </w:r>
      <w:r w:rsidR="00535F23">
        <w:rPr>
          <w:rFonts w:eastAsia="Times New Roman" w:cs="Arial"/>
          <w:bCs/>
          <w:sz w:val="24"/>
          <w:szCs w:val="24"/>
          <w:lang w:eastAsia="el-GR"/>
        </w:rPr>
        <w:t>,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535F23">
        <w:rPr>
          <w:rFonts w:eastAsia="Times New Roman" w:cs="Arial"/>
          <w:bCs/>
          <w:sz w:val="24"/>
          <w:szCs w:val="24"/>
          <w:lang w:eastAsia="el-GR"/>
        </w:rPr>
        <w:t>με ταυτόχρονη βελτίωση της αποτελεσματικότητας</w:t>
      </w:r>
      <w:r w:rsidR="00535F23" w:rsidRPr="00535F23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535F23">
        <w:rPr>
          <w:rFonts w:eastAsia="Times New Roman" w:cs="Arial"/>
          <w:bCs/>
          <w:sz w:val="24"/>
          <w:szCs w:val="24"/>
          <w:lang w:eastAsia="el-GR"/>
        </w:rPr>
        <w:t>στην εκπαιδευτική παρέμβαση</w:t>
      </w:r>
      <w:r>
        <w:rPr>
          <w:rFonts w:eastAsia="Times New Roman" w:cs="Arial"/>
          <w:bCs/>
          <w:sz w:val="24"/>
          <w:szCs w:val="24"/>
          <w:lang w:eastAsia="el-GR"/>
        </w:rPr>
        <w:t>.</w:t>
      </w:r>
    </w:p>
    <w:p w14:paraId="683C400E" w14:textId="77777777" w:rsidR="00767BD9" w:rsidRDefault="00767BD9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32ABC148" w14:textId="3BCC567D" w:rsidR="00F46986" w:rsidRPr="00F46986" w:rsidRDefault="00000000" w:rsidP="007B333D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noProof/>
          <w:lang w:eastAsia="el-GR"/>
        </w:rPr>
        <w:pict w14:anchorId="07DCB0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9.25pt;margin-top:15.35pt;width:218.05pt;height:132pt;z-index:251658240" stroked="f">
            <v:textbox style="mso-next-textbox:#_x0000_s1026">
              <w:txbxContent>
                <w:p w14:paraId="386C7459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Ο Συντονιστής Ε.Ε. ΕΑ &amp; ΕΕ </w:t>
                  </w:r>
                </w:p>
                <w:p w14:paraId="33B83D3E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4</w:t>
                  </w:r>
                  <w:r w:rsidRPr="00F46986">
                    <w:rPr>
                      <w:rFonts w:cs="Calibri"/>
                      <w:b/>
                      <w:bCs/>
                      <w:sz w:val="24"/>
                      <w:vertAlign w:val="superscript"/>
                    </w:rPr>
                    <w:t>Ο</w:t>
                  </w: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 ΠΕΚΕΣ Αττικής </w:t>
                  </w:r>
                </w:p>
                <w:p w14:paraId="3E12553B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605C8CE0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9956269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2ED4BB5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Αδριανός Γ. Μουταβελής</w:t>
                  </w:r>
                </w:p>
                <w:p w14:paraId="747E385E" w14:textId="56439EB5" w:rsidR="003636D1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Δάσκαλος στην Ειδική Εκπαίδευση</w:t>
                  </w:r>
                </w:p>
                <w:p w14:paraId="7B2C6117" w14:textId="77777777" w:rsidR="00530105" w:rsidRPr="00F46986" w:rsidRDefault="00530105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</w:txbxContent>
            </v:textbox>
          </v:shape>
        </w:pict>
      </w:r>
    </w:p>
    <w:p w14:paraId="4B686CC3" w14:textId="77777777" w:rsidR="003636D1" w:rsidRPr="00F46986" w:rsidRDefault="003636D1" w:rsidP="00F46986">
      <w:pPr>
        <w:spacing w:after="0"/>
        <w:jc w:val="both"/>
        <w:rPr>
          <w:bCs/>
        </w:rPr>
      </w:pPr>
    </w:p>
    <w:p w14:paraId="256706A1" w14:textId="3B9D4629" w:rsidR="003636D1" w:rsidRPr="00F46986" w:rsidRDefault="003636D1" w:rsidP="00DE596A">
      <w:pPr>
        <w:jc w:val="both"/>
      </w:pPr>
    </w:p>
    <w:p w14:paraId="28FBDB7A" w14:textId="0235B604" w:rsidR="003636D1" w:rsidRDefault="003636D1" w:rsidP="00DE596A">
      <w:pPr>
        <w:jc w:val="both"/>
      </w:pPr>
    </w:p>
    <w:p w14:paraId="6194720C" w14:textId="16E811DA" w:rsidR="00E154AF" w:rsidRDefault="00E154AF" w:rsidP="00DE596A">
      <w:pPr>
        <w:jc w:val="both"/>
      </w:pPr>
    </w:p>
    <w:p w14:paraId="60019A5B" w14:textId="388B7DCF" w:rsidR="00E154AF" w:rsidRDefault="00E154AF" w:rsidP="00DE596A">
      <w:pPr>
        <w:jc w:val="both"/>
      </w:pPr>
    </w:p>
    <w:p w14:paraId="5A66457D" w14:textId="30E67D0D" w:rsidR="00E154AF" w:rsidRDefault="00E154AF" w:rsidP="00DE596A">
      <w:pPr>
        <w:jc w:val="both"/>
      </w:pPr>
    </w:p>
    <w:p w14:paraId="15581CEA" w14:textId="77777777" w:rsidR="00A16927" w:rsidRDefault="00A16927" w:rsidP="00DE596A">
      <w:pPr>
        <w:jc w:val="both"/>
      </w:pPr>
    </w:p>
    <w:p w14:paraId="782BF817" w14:textId="77777777" w:rsidR="002B069F" w:rsidRDefault="002B069F" w:rsidP="00DE596A">
      <w:pPr>
        <w:jc w:val="both"/>
        <w:rPr>
          <w:b/>
          <w:bCs/>
        </w:rPr>
      </w:pPr>
    </w:p>
    <w:p w14:paraId="10BA6FBD" w14:textId="151F988C" w:rsidR="00E154AF" w:rsidRDefault="00876121" w:rsidP="00DE596A">
      <w:pPr>
        <w:jc w:val="both"/>
        <w:rPr>
          <w:b/>
          <w:bCs/>
        </w:rPr>
      </w:pPr>
      <w:r>
        <w:rPr>
          <w:b/>
          <w:bCs/>
        </w:rPr>
        <w:t>Σ</w:t>
      </w:r>
      <w:r w:rsidR="00A16927">
        <w:rPr>
          <w:b/>
          <w:bCs/>
        </w:rPr>
        <w:t>ημαντική σ</w:t>
      </w:r>
      <w:r>
        <w:rPr>
          <w:b/>
          <w:bCs/>
        </w:rPr>
        <w:t>ημείωση</w:t>
      </w:r>
      <w:r w:rsidR="00A16927">
        <w:rPr>
          <w:b/>
          <w:bCs/>
        </w:rPr>
        <w:t>:</w:t>
      </w:r>
    </w:p>
    <w:p w14:paraId="5F1A01FE" w14:textId="23CCD00F" w:rsidR="00876121" w:rsidRPr="00876121" w:rsidRDefault="00876121" w:rsidP="00876121">
      <w:pPr>
        <w:jc w:val="both"/>
      </w:pPr>
      <w:r w:rsidRPr="00876121">
        <w:t xml:space="preserve">Οι ανωτέρω </w:t>
      </w:r>
      <w:r w:rsidR="006B374A">
        <w:t xml:space="preserve">προσωπικές </w:t>
      </w:r>
      <w:r w:rsidRPr="00876121">
        <w:t>προτάσεις</w:t>
      </w:r>
      <w:r w:rsidR="00695C69" w:rsidRPr="00695C69">
        <w:t>,</w:t>
      </w:r>
      <w:r w:rsidRPr="00876121">
        <w:t xml:space="preserve"> γίνονται </w:t>
      </w:r>
      <w:r w:rsidR="006B374A">
        <w:t>μ</w:t>
      </w:r>
      <w:r w:rsidR="00695C69">
        <w:t>ετά</w:t>
      </w:r>
      <w:r w:rsidR="006B374A">
        <w:t xml:space="preserve"> από τις συζητήσεις μας </w:t>
      </w:r>
      <w:r>
        <w:t xml:space="preserve">και τους ευχαριστώ, </w:t>
      </w:r>
      <w:r w:rsidRPr="00876121">
        <w:t xml:space="preserve">με την αρωγή των εκπαιδευτικών και </w:t>
      </w:r>
      <w:r w:rsidR="006B374A">
        <w:t>Δ/ντ</w:t>
      </w:r>
      <w:r>
        <w:t>ών</w:t>
      </w:r>
      <w:r w:rsidRPr="00876121">
        <w:t xml:space="preserve"> των σχολείων</w:t>
      </w:r>
      <w:r>
        <w:t xml:space="preserve"> μας</w:t>
      </w:r>
      <w:r w:rsidRPr="00876121">
        <w:t xml:space="preserve">, καθώς και με τη συμμετοχή του Οργανωτικού ΣΕΕ κ. Ν. Καμήλου, και ΣΕΕ Παιδαγωγικής &amp; Επιστημονικής Ευθύνης κ. Δ. Καλαϊτζίδη και </w:t>
      </w:r>
      <w:r w:rsidR="00D1054F" w:rsidRPr="00876121">
        <w:t>κ.</w:t>
      </w:r>
      <w:r w:rsidR="00D1054F">
        <w:t xml:space="preserve"> </w:t>
      </w:r>
      <w:r w:rsidRPr="00876121">
        <w:t>Κ. Θεριανού.</w:t>
      </w:r>
      <w:r>
        <w:t xml:space="preserve"> Ευχαριστούμε </w:t>
      </w:r>
      <w:r w:rsidR="007A7A90">
        <w:t xml:space="preserve">επίσης, </w:t>
      </w:r>
      <w:r>
        <w:t xml:space="preserve">την κ. Χρ. Αλμπάνη ΠΕ31 και </w:t>
      </w:r>
      <w:r w:rsidR="00E61CE9">
        <w:t>κυρίως</w:t>
      </w:r>
      <w:r>
        <w:t xml:space="preserve"> τον Πρόεδρο και τα Μέλη του Πανελληνίου Συνδέσμου Τυφλών για τον εμπλουτισμό του διαλόγου με εστίαση και κοινό σκοπό, το όφελος των μαθητών μας.  </w:t>
      </w:r>
    </w:p>
    <w:p w14:paraId="2956DC91" w14:textId="77777777" w:rsidR="00E154AF" w:rsidRPr="003A6D1C" w:rsidRDefault="00E154AF" w:rsidP="00DE596A">
      <w:pPr>
        <w:jc w:val="both"/>
      </w:pPr>
    </w:p>
    <w:sectPr w:rsidR="00E154AF" w:rsidRPr="003A6D1C" w:rsidSect="00E26389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022"/>
    <w:multiLevelType w:val="hybridMultilevel"/>
    <w:tmpl w:val="7B9A2CEE"/>
    <w:lvl w:ilvl="0" w:tplc="3A6CB1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768378">
    <w:abstractNumId w:val="1"/>
  </w:num>
  <w:num w:numId="2" w16cid:durableId="111767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D1"/>
    <w:rsid w:val="0000017E"/>
    <w:rsid w:val="0001697A"/>
    <w:rsid w:val="00042228"/>
    <w:rsid w:val="00070C4E"/>
    <w:rsid w:val="000763F7"/>
    <w:rsid w:val="00080333"/>
    <w:rsid w:val="00087420"/>
    <w:rsid w:val="00093F7F"/>
    <w:rsid w:val="00094906"/>
    <w:rsid w:val="000C027E"/>
    <w:rsid w:val="000D7186"/>
    <w:rsid w:val="000F5E47"/>
    <w:rsid w:val="00103CC8"/>
    <w:rsid w:val="001114B8"/>
    <w:rsid w:val="00115285"/>
    <w:rsid w:val="00163EFB"/>
    <w:rsid w:val="00170657"/>
    <w:rsid w:val="00177AF6"/>
    <w:rsid w:val="0018095A"/>
    <w:rsid w:val="001C1311"/>
    <w:rsid w:val="001D4EBF"/>
    <w:rsid w:val="001E1A4C"/>
    <w:rsid w:val="00217708"/>
    <w:rsid w:val="00220CCB"/>
    <w:rsid w:val="00233890"/>
    <w:rsid w:val="00277646"/>
    <w:rsid w:val="00284403"/>
    <w:rsid w:val="002946D4"/>
    <w:rsid w:val="002B069F"/>
    <w:rsid w:val="002F1EBB"/>
    <w:rsid w:val="00301605"/>
    <w:rsid w:val="0030719C"/>
    <w:rsid w:val="00333377"/>
    <w:rsid w:val="00344CC1"/>
    <w:rsid w:val="003636D1"/>
    <w:rsid w:val="00393E2D"/>
    <w:rsid w:val="003A6D1C"/>
    <w:rsid w:val="003B71BB"/>
    <w:rsid w:val="003C081D"/>
    <w:rsid w:val="003C5A29"/>
    <w:rsid w:val="00424AB9"/>
    <w:rsid w:val="00444CCF"/>
    <w:rsid w:val="00475C0D"/>
    <w:rsid w:val="004933CC"/>
    <w:rsid w:val="004E323A"/>
    <w:rsid w:val="0051448C"/>
    <w:rsid w:val="00515475"/>
    <w:rsid w:val="00530105"/>
    <w:rsid w:val="00535F23"/>
    <w:rsid w:val="00576351"/>
    <w:rsid w:val="0058695E"/>
    <w:rsid w:val="00591B27"/>
    <w:rsid w:val="005A15DD"/>
    <w:rsid w:val="005C2F01"/>
    <w:rsid w:val="00632AEF"/>
    <w:rsid w:val="00651EE6"/>
    <w:rsid w:val="00663822"/>
    <w:rsid w:val="00674671"/>
    <w:rsid w:val="00681E45"/>
    <w:rsid w:val="00695C69"/>
    <w:rsid w:val="00696C8B"/>
    <w:rsid w:val="006A0084"/>
    <w:rsid w:val="006B374A"/>
    <w:rsid w:val="006B3C03"/>
    <w:rsid w:val="006C4C8F"/>
    <w:rsid w:val="006D16D7"/>
    <w:rsid w:val="006E36FA"/>
    <w:rsid w:val="006E709A"/>
    <w:rsid w:val="00744569"/>
    <w:rsid w:val="00767BD9"/>
    <w:rsid w:val="00784B85"/>
    <w:rsid w:val="007A7A90"/>
    <w:rsid w:val="007B333D"/>
    <w:rsid w:val="007B4549"/>
    <w:rsid w:val="0082067D"/>
    <w:rsid w:val="00876121"/>
    <w:rsid w:val="008A09AA"/>
    <w:rsid w:val="008B5B38"/>
    <w:rsid w:val="008C61DC"/>
    <w:rsid w:val="008E1089"/>
    <w:rsid w:val="00902731"/>
    <w:rsid w:val="00902818"/>
    <w:rsid w:val="009070AA"/>
    <w:rsid w:val="00943E48"/>
    <w:rsid w:val="00952AF7"/>
    <w:rsid w:val="00995EE2"/>
    <w:rsid w:val="009A612B"/>
    <w:rsid w:val="009C663F"/>
    <w:rsid w:val="009D2F0C"/>
    <w:rsid w:val="009D4837"/>
    <w:rsid w:val="009E163E"/>
    <w:rsid w:val="00A16927"/>
    <w:rsid w:val="00A4238F"/>
    <w:rsid w:val="00A47A12"/>
    <w:rsid w:val="00AB675E"/>
    <w:rsid w:val="00AB7CC1"/>
    <w:rsid w:val="00AC6118"/>
    <w:rsid w:val="00AE5F70"/>
    <w:rsid w:val="00AE77D1"/>
    <w:rsid w:val="00B33F07"/>
    <w:rsid w:val="00B421FD"/>
    <w:rsid w:val="00B45415"/>
    <w:rsid w:val="00B455EB"/>
    <w:rsid w:val="00BA19C6"/>
    <w:rsid w:val="00BA7EF4"/>
    <w:rsid w:val="00BE356E"/>
    <w:rsid w:val="00C06606"/>
    <w:rsid w:val="00C10F9F"/>
    <w:rsid w:val="00C21464"/>
    <w:rsid w:val="00C234C6"/>
    <w:rsid w:val="00C82235"/>
    <w:rsid w:val="00CE7F4C"/>
    <w:rsid w:val="00D1054F"/>
    <w:rsid w:val="00D13D65"/>
    <w:rsid w:val="00D2389A"/>
    <w:rsid w:val="00D25A87"/>
    <w:rsid w:val="00D32F7C"/>
    <w:rsid w:val="00D6117C"/>
    <w:rsid w:val="00D777C3"/>
    <w:rsid w:val="00D821F8"/>
    <w:rsid w:val="00DD4504"/>
    <w:rsid w:val="00DD5534"/>
    <w:rsid w:val="00DE596A"/>
    <w:rsid w:val="00DE75D1"/>
    <w:rsid w:val="00E049F2"/>
    <w:rsid w:val="00E154AF"/>
    <w:rsid w:val="00E25AD7"/>
    <w:rsid w:val="00E26389"/>
    <w:rsid w:val="00E61AAC"/>
    <w:rsid w:val="00E61CE9"/>
    <w:rsid w:val="00E62E43"/>
    <w:rsid w:val="00E876AD"/>
    <w:rsid w:val="00E973B8"/>
    <w:rsid w:val="00E97CFA"/>
    <w:rsid w:val="00EA2A4B"/>
    <w:rsid w:val="00EA38AC"/>
    <w:rsid w:val="00EC4ED8"/>
    <w:rsid w:val="00F345C5"/>
    <w:rsid w:val="00F46986"/>
    <w:rsid w:val="00F705A6"/>
    <w:rsid w:val="00F71A6F"/>
    <w:rsid w:val="00F84316"/>
    <w:rsid w:val="00FB001B"/>
    <w:rsid w:val="00FC0775"/>
    <w:rsid w:val="00FC43C8"/>
    <w:rsid w:val="00FC5E54"/>
    <w:rsid w:val="00F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898E92"/>
  <w15:docId w15:val="{2E9545D5-FAF1-4009-A4D3-A00435B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821F8"/>
    <w:pPr>
      <w:ind w:left="720"/>
      <w:contextualSpacing/>
    </w:pPr>
  </w:style>
  <w:style w:type="table" w:styleId="a5">
    <w:name w:val="Table Grid"/>
    <w:basedOn w:val="a1"/>
    <w:uiPriority w:val="59"/>
    <w:rsid w:val="0034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3C081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C081D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3C08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rianosmoutavelis.github.io/files/exetaseis.tiflon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697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ΑΔΡΙΑΝΟΣ ΜΟΥΤΑΒΕΛΗΣ</cp:lastModifiedBy>
  <cp:revision>108</cp:revision>
  <dcterms:created xsi:type="dcterms:W3CDTF">2019-02-08T19:37:00Z</dcterms:created>
  <dcterms:modified xsi:type="dcterms:W3CDTF">2022-10-24T12:05:00Z</dcterms:modified>
</cp:coreProperties>
</file>