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Traderisk Academy — Product Requirements Document (PRD)</w:t>
      </w:r>
    </w:p>
    <w:p>
      <w:r>
        <w:rPr>
          <w:i/>
        </w:rPr>
        <w:t>Rascunho v0.1 — gerado automaticamente a partir de docs/00-visao-geral.md, README.md e do código. REVISAR e completar com o time.</w:t>
      </w:r>
    </w:p>
    <w:p>
      <w:pPr>
        <w:pStyle w:val="Heading1"/>
      </w:pPr>
      <w:r>
        <w:t>1. Visão</w:t>
      </w:r>
    </w:p>
    <w:p>
      <w:r>
        <w:t>Plataforma de inteligência em Seguro Garantia com 7 módulos, 3 perfis de usuário e modelo freemium. Funciona como hub técnico e funil de leads para a Traderisk: a plataforma sinaliza; a seguradora decide.</w:t>
      </w:r>
    </w:p>
    <w:p>
      <w:pPr>
        <w:pStyle w:val="Heading1"/>
      </w:pPr>
      <w:r>
        <w:t>2. Personas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Perfil</w:t>
            </w:r>
          </w:p>
        </w:tc>
        <w:tc>
          <w:tcPr>
            <w:tcW w:type="dxa" w:w="2880"/>
          </w:tcPr>
          <w:p>
            <w:r>
              <w:t>Necessidade</w:t>
            </w:r>
          </w:p>
        </w:tc>
        <w:tc>
          <w:tcPr>
            <w:tcW w:type="dxa" w:w="2880"/>
          </w:tcPr>
          <w:p>
            <w:r>
              <w:t>Tom do agente</w:t>
            </w:r>
          </w:p>
        </w:tc>
      </w:tr>
      <w:tr>
        <w:tc>
          <w:tcPr>
            <w:tcW w:type="dxa" w:w="2880"/>
          </w:tcPr>
          <w:p>
            <w:r>
              <w:t>Corretor</w:t>
            </w:r>
          </w:p>
        </w:tc>
        <w:tc>
          <w:tcPr>
            <w:tcW w:type="dxa" w:w="2880"/>
          </w:tcPr>
          <w:p>
            <w:r>
              <w:t>Apoio técnico e operacional; manter relacionamento com o cliente</w:t>
            </w:r>
          </w:p>
        </w:tc>
        <w:tc>
          <w:tcPr>
            <w:tcW w:type="dxa" w:w="2880"/>
          </w:tcPr>
          <w:p>
            <w:r>
              <w:t>Técnico, parceria, pode falar de comissões/parceria</w:t>
            </w:r>
          </w:p>
        </w:tc>
      </w:tr>
      <w:tr>
        <w:tc>
          <w:tcPr>
            <w:tcW w:type="dxa" w:w="2880"/>
          </w:tcPr>
          <w:p>
            <w:r>
              <w:t>Tomador (empresa)</w:t>
            </w:r>
          </w:p>
        </w:tc>
        <w:tc>
          <w:tcPr>
            <w:tcW w:type="dxa" w:w="2880"/>
          </w:tcPr>
          <w:p>
            <w:r>
              <w:t>Entender garantias, liberar caixa, prazos e risco</w:t>
            </w:r>
          </w:p>
        </w:tc>
        <w:tc>
          <w:tcPr>
            <w:tcW w:type="dxa" w:w="2880"/>
          </w:tcPr>
          <w:p>
            <w:r>
              <w:t>Executivo; NUNCA mencionar comissões</w:t>
            </w:r>
          </w:p>
        </w:tc>
      </w:tr>
      <w:tr>
        <w:tc>
          <w:tcPr>
            <w:tcW w:type="dxa" w:w="2880"/>
          </w:tcPr>
          <w:p>
            <w:r>
              <w:t>Advogado</w:t>
            </w:r>
          </w:p>
        </w:tc>
        <w:tc>
          <w:tcPr>
            <w:tcW w:type="dxa" w:w="2880"/>
          </w:tcPr>
          <w:p>
            <w:r>
              <w:t>Consultar apólices/documentos; base jurídica</w:t>
            </w:r>
          </w:p>
        </w:tc>
        <w:tc>
          <w:tcPr>
            <w:tcW w:type="dxa" w:w="2880"/>
          </w:tcPr>
          <w:p>
            <w:r>
              <w:t>Formal, cita legislação e exigências do juízo</w:t>
            </w:r>
          </w:p>
        </w:tc>
      </w:tr>
    </w:tbl>
    <w:p/>
    <w:p>
      <w:pPr>
        <w:pStyle w:val="Heading1"/>
      </w:pPr>
      <w:r>
        <w:t>3. Os 7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Módulo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Tela inicial CNPJ</w:t>
            </w:r>
          </w:p>
        </w:tc>
        <w:tc>
          <w:tcPr>
            <w:tcW w:type="dxa" w:w="2160"/>
          </w:tcPr>
          <w:p>
            <w:r>
              <w:t>web/src/app/page.tsx</w:t>
            </w:r>
          </w:p>
        </w:tc>
        <w:tc>
          <w:tcPr>
            <w:tcW w:type="dxa" w:w="2160"/>
          </w:tcPr>
          <w:p>
            <w:r>
              <w:t>api/routers/dossie.py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Academia</w:t>
            </w:r>
          </w:p>
        </w:tc>
        <w:tc>
          <w:tcPr>
            <w:tcW w:type="dxa" w:w="2160"/>
          </w:tcPr>
          <w:p>
            <w:r>
              <w:t>app/(app)/academia</w:t>
            </w:r>
          </w:p>
        </w:tc>
        <w:tc>
          <w:tcPr>
            <w:tcW w:type="dxa" w:w="2160"/>
          </w:tcPr>
          <w:p>
            <w:r>
              <w:t>packages/knowledge-base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Chat IA (RAG)</w:t>
            </w:r>
          </w:p>
        </w:tc>
        <w:tc>
          <w:tcPr>
            <w:tcW w:type="dxa" w:w="2160"/>
          </w:tcPr>
          <w:p>
            <w:r>
              <w:t>app/(app)/chat</w:t>
            </w:r>
          </w:p>
        </w:tc>
        <w:tc>
          <w:tcPr>
            <w:tcW w:type="dxa" w:w="2160"/>
          </w:tcPr>
          <w:p>
            <w:r>
              <w:t>routers/chat.py + services/chat.py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Guia de seguradoras</w:t>
            </w:r>
          </w:p>
        </w:tc>
        <w:tc>
          <w:tcPr>
            <w:tcW w:type="dxa" w:w="2160"/>
          </w:tcPr>
          <w:p>
            <w:r>
              <w:t>app/(app)/seguradoras</w:t>
            </w:r>
          </w:p>
        </w:tc>
        <w:tc>
          <w:tcPr>
            <w:tcW w:type="dxa" w:w="2160"/>
          </w:tcPr>
          <w:p>
            <w:r>
              <w:t>routers/seguradoras.py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Análise financeira</w:t>
            </w:r>
          </w:p>
        </w:tc>
        <w:tc>
          <w:tcPr>
            <w:tcW w:type="dxa" w:w="2160"/>
          </w:tcPr>
          <w:p>
            <w:r>
              <w:t>app/(app)/financeiro</w:t>
            </w:r>
          </w:p>
        </w:tc>
        <w:tc>
          <w:tcPr>
            <w:tcW w:type="dxa" w:w="2160"/>
          </w:tcPr>
          <w:p>
            <w:r>
              <w:t>services/dossie.py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Pipeline judicial</w:t>
            </w:r>
          </w:p>
        </w:tc>
        <w:tc>
          <w:tcPr>
            <w:tcW w:type="dxa" w:w="2160"/>
          </w:tcPr>
          <w:p>
            <w:r>
              <w:t>app/(app)/judicial</w:t>
            </w:r>
          </w:p>
        </w:tc>
        <w:tc>
          <w:tcPr>
            <w:tcW w:type="dxa" w:w="2160"/>
          </w:tcPr>
          <w:p>
            <w:r>
              <w:t>services/integracoes/datajud.py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Análise de contratos</w:t>
            </w:r>
          </w:p>
        </w:tc>
        <w:tc>
          <w:tcPr>
            <w:tcW w:type="dxa" w:w="2160"/>
          </w:tcPr>
          <w:p>
            <w:r>
              <w:t>app/(app)/contratos</w:t>
            </w:r>
          </w:p>
        </w:tc>
        <w:tc>
          <w:tcPr>
            <w:tcW w:type="dxa" w:w="2160"/>
          </w:tcPr>
          <w:p>
            <w:r>
              <w:t>routers/analise.py + services/analise_documento.py</w:t>
            </w:r>
          </w:p>
        </w:tc>
      </w:tr>
    </w:tbl>
    <w:p/>
    <w:p>
      <w:pPr>
        <w:pStyle w:val="Heading1"/>
      </w:pPr>
      <w:r>
        <w:t>4. Modelo freemium</w:t>
      </w:r>
    </w:p>
    <w:p>
      <w:r>
        <w:t>Limites do plano free aplicados no backend (apps/api/app/core/config.py): 10 perguntas de chat/mês e 3 análises de contrato/mês. Planos pro_corretor e pro_tomador removem os limites. Pagamentos via Stripe.</w:t>
      </w:r>
    </w:p>
    <w:p>
      <w:pPr>
        <w:pStyle w:val="Heading1"/>
      </w:pPr>
      <w:r>
        <w:t>5.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Camada</w:t>
            </w:r>
          </w:p>
        </w:tc>
        <w:tc>
          <w:tcPr>
            <w:tcW w:type="dxa" w:w="4320"/>
          </w:tcPr>
          <w:p>
            <w:r>
              <w:t>Tecnologia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14 (App Router), Tailwind, TypeScript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FastAPI, Python 3.11</w:t>
            </w:r>
          </w:p>
        </w:tc>
      </w:tr>
      <w:tr>
        <w:tc>
          <w:tcPr>
            <w:tcW w:type="dxa" w:w="4320"/>
          </w:tcPr>
          <w:p>
            <w:r>
              <w:t>Banco</w:t>
            </w:r>
          </w:p>
        </w:tc>
        <w:tc>
          <w:tcPr>
            <w:tcW w:type="dxa" w:w="4320"/>
          </w:tcPr>
          <w:p>
            <w:r>
              <w:t>Supabase (PostgreSQL + pgvector + Auth + Storage)</w:t>
            </w:r>
          </w:p>
        </w:tc>
      </w:tr>
      <w:tr>
        <w:tc>
          <w:tcPr>
            <w:tcW w:type="dxa" w:w="4320"/>
          </w:tcPr>
          <w:p>
            <w:r>
              <w:t>IA</w:t>
            </w:r>
          </w:p>
        </w:tc>
        <w:tc>
          <w:tcPr>
            <w:tcW w:type="dxa" w:w="4320"/>
          </w:tcPr>
          <w:p>
            <w:r>
              <w:t>Claude (chat e análise) + OpenAI (embeddings)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Vercel (web) + Railway/Render (api)</w:t>
            </w:r>
          </w:p>
        </w:tc>
      </w:tr>
    </w:tbl>
    <w:p/>
    <w:p>
      <w:pPr>
        <w:pStyle w:val="Heading1"/>
      </w:pPr>
      <w:r>
        <w:t>6. Regras de negócio invioláveis</w:t>
      </w:r>
    </w:p>
    <w:p>
      <w:pPr>
        <w:pStyle w:val="ListBullet"/>
      </w:pPr>
      <w:r>
        <w:t>Mapfre inativa em Seguro Garantia — nunca em cotações.</w:t>
      </w:r>
    </w:p>
    <w:p>
      <w:pPr>
        <w:pStyle w:val="ListBullet"/>
      </w:pPr>
      <w:r>
        <w:t>Cosseguro só acima de R$ 200M de IS.</w:t>
      </w:r>
    </w:p>
    <w:p>
      <w:pPr>
        <w:pStyle w:val="ListBullet"/>
      </w:pPr>
      <w:r>
        <w:t>Seguro de Crédito fora de escopo.</w:t>
      </w:r>
    </w:p>
    <w:p>
      <w:pPr>
        <w:pStyle w:val="ListBullet"/>
      </w:pPr>
      <w:r>
        <w:t>Nunca mencionar comissões para tomadores.</w:t>
      </w:r>
    </w:p>
    <w:p>
      <w:pPr>
        <w:pStyle w:val="ListBullet"/>
      </w:pPr>
      <w:r>
        <w:t>Garantia judicial só para o polo passivo (réu).</w:t>
      </w:r>
    </w:p>
    <w:p>
      <w:pPr>
        <w:pStyle w:val="ListBullet"/>
      </w:pPr>
      <w:r>
        <w:t>Renovação de apólice judicial fundamentada em norma, não conveniência comercial.</w:t>
      </w:r>
    </w:p>
    <w:p>
      <w:pPr>
        <w:pStyle w:val="ListBullet"/>
      </w:pPr>
      <w:r>
        <w:t>Empresas em Recuperação Judicial não são aceitas.</w:t>
      </w:r>
    </w:p>
    <w:p>
      <w:pPr>
        <w:pStyle w:val="ListBullet"/>
      </w:pPr>
      <w:r>
        <w:t>A plataforma sinaliza; a seguradora decide.</w:t>
      </w:r>
    </w:p>
    <w:p>
      <w:pPr>
        <w:pStyle w:val="Heading1"/>
      </w:pPr>
      <w:r>
        <w:t>7. Ordem de implementação recomendada</w:t>
      </w:r>
    </w:p>
    <w:p>
      <w:pPr>
        <w:pStyle w:val="ListNumber"/>
      </w:pPr>
      <w:r>
        <w:t>1. Setup local + Supabase (migrations no banco).</w:t>
      </w:r>
    </w:p>
    <w:p>
      <w:pPr>
        <w:pStyle w:val="ListNumber"/>
      </w:pPr>
      <w:r>
        <w:t>2. Ingestão da KB → o chat já funciona.</w:t>
      </w:r>
    </w:p>
    <w:p>
      <w:pPr>
        <w:pStyle w:val="ListNumber"/>
      </w:pPr>
      <w:r>
        <w:t>3. Tela inicial CNPJ (frontend base já pronto).</w:t>
      </w:r>
    </w:p>
    <w:p>
      <w:pPr>
        <w:pStyle w:val="ListNumber"/>
      </w:pPr>
      <w:r>
        <w:t>4. Módulo 7 (análise de contratos) — maior valor técnico.</w:t>
      </w:r>
    </w:p>
    <w:p>
      <w:pPr>
        <w:pStyle w:val="ListNumber"/>
      </w:pPr>
      <w:r>
        <w:t>5. Guia de seguradoras (depende das linhas de corte).</w:t>
      </w:r>
    </w:p>
    <w:p>
      <w:pPr>
        <w:pStyle w:val="ListNumber"/>
      </w:pPr>
      <w:r>
        <w:t>6. Pipeline judicial (integrações DataJud/Escavador).</w:t>
      </w:r>
    </w:p>
    <w:p>
      <w:pPr>
        <w:pStyle w:val="Heading1"/>
      </w:pPr>
      <w:r>
        <w:t>8. Princípio arquitetural</w:t>
      </w:r>
    </w:p>
    <w:p>
      <w:r>
        <w:t>O conhecimento (base .md + tabela de regras) é separado do código. A equipe Traderisk atualiza regras de negócio sem deploy. Dados de API alimentam o agente; o conhecimento decide o que fazer com eles. Ver _specs/ARQUITETURA-INTEGRACAO-IA.md.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