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A693"/>
          <w:sz w:val="26"/>
          <w:szCs w:val="26"/>
        </w:rPr>
        <w:t xml:space="preserve">TRADERISK CAPITAL &amp; INSURANCE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academy.traderisk.com.br</w:t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0D1E3A"/>
          <w:sz w:val="46"/>
          <w:szCs w:val="46"/>
        </w:rPr>
        <w:t xml:space="preserve">Guia Mestre de Desenvolvimento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00A693"/>
          <w:sz w:val="26"/>
          <w:szCs w:val="26"/>
        </w:rPr>
        <w:t xml:space="preserve">Plataforma Traderisk Academy — estrutura, integração com Supabase, GitHub e melhores práticas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1E3A" w:sz="1"/>
              <w:left w:val="single" w:color="0D1E3A" w:sz="1"/>
              <w:bottom w:val="single" w:color="0D1E3A" w:sz="1"/>
              <w:right w:val="single" w:color="0D1E3A" w:sz="1"/>
            </w:tcBorders>
            <w:shd w:fill="0D1E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120"/>
            <w:tcBorders>
              <w:top w:val="single" w:color="0D1E3A" w:sz="1"/>
              <w:left w:val="single" w:color="0D1E3A" w:sz="1"/>
              <w:bottom w:val="single" w:color="0D1E3A" w:sz="1"/>
              <w:right w:val="single" w:color="0D1E3A" w:sz="1"/>
            </w:tcBorders>
            <w:shd w:fill="0D1E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120"/>
            <w:tcBorders>
              <w:top w:val="single" w:color="0D1E3A" w:sz="1"/>
              <w:left w:val="single" w:color="0D1E3A" w:sz="1"/>
              <w:bottom w:val="single" w:color="0D1E3A" w:sz="1"/>
              <w:right w:val="single" w:color="0D1E3A" w:sz="1"/>
            </w:tcBorders>
            <w:shd w:fill="0D1E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Next.js + FastAPI + 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VS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693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0D1E3A"/>
          <w:sz w:val="34"/>
          <w:szCs w:val="34"/>
        </w:rPr>
        <w:t xml:space="preserve">1. Visão Geral do Projeto</w:t>
      </w:r>
    </w:p>
    <w:p>
      <w:pPr>
        <w:spacing w:after="1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Este guia acompanha o repositório traderisk-academy — um monorepo completo, pronto para abrir no VS Code e desenvolver. Ele contém o frontend, o backend, a base de conhecimento, os prompts de IA, as migrations e toda a configuração de ambiente.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1.1 O que está pronto no repositório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Estrutura completa do monorepo (frontend + backend + knowledge base)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Backend FastAPI funcional: routers, serviços, autenticação, integrações (com mocks para desenvolvimento)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Prompts de IA prontos: extração de contratos (Módulo 7) e chat RAG (Módulo 3)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Frontend Next.js com a tela inicial CNPJ funcionando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Script de ingestão da base de conhecimento (66 documentos técnicos)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Configuração de VS Code, Docker, GitHub Actions (CI)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Sete tutoriais passo a passo na pasta docs/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1.2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0D1E3A" w:sz="1"/>
              <w:left w:val="single" w:color="0D1E3A" w:sz="1"/>
              <w:bottom w:val="single" w:color="0D1E3A" w:sz="1"/>
              <w:right w:val="single" w:color="0D1E3A" w:sz="1"/>
            </w:tcBorders>
            <w:shd w:fill="0D1E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5960"/>
            <w:tcBorders>
              <w:top w:val="single" w:color="00A693" w:sz="1"/>
              <w:left w:val="single" w:color="00A693" w:sz="1"/>
              <w:bottom w:val="single" w:color="00A693" w:sz="1"/>
              <w:right w:val="single" w:color="00A693" w:sz="1"/>
            </w:tcBorders>
            <w:shd w:fill="00A69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E3A"/>
                <w:sz w:val="20"/>
                <w:szCs w:val="20"/>
              </w:rPr>
              <w:t xml:space="preserve">Frontend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Next.js 14 (App Router), Tailwind CSS, TypeScript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E3A"/>
                <w:sz w:val="20"/>
                <w:szCs w:val="20"/>
              </w:rPr>
              <w:t xml:space="preserve">Backend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FastAPI, Python 3.11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E3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Supabase (PostgreSQL + pgvector + Storage + Auth)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E3A"/>
                <w:sz w:val="20"/>
                <w:szCs w:val="20"/>
              </w:rPr>
              <w:t xml:space="preserve">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Claude API (chat e análise) + OpenAI (embeddings)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E3A"/>
                <w:sz w:val="20"/>
                <w:szCs w:val="20"/>
              </w:rPr>
              <w:t xml:space="preserve">Pagamentos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E3A"/>
                <w:sz w:val="20"/>
                <w:szCs w:val="20"/>
              </w:rPr>
              <w:t xml:space="preserve">Deploy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Vercel (frontend) + Railway/Render (backend)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E3A"/>
                <w:sz w:val="20"/>
                <w:szCs w:val="20"/>
              </w:rPr>
              <w:t xml:space="preserve">IDE recomendada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VS Code com extensões configuradas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693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0D1E3A"/>
          <w:sz w:val="34"/>
          <w:szCs w:val="34"/>
        </w:rPr>
        <w:t xml:space="preserve">2. Estrutura de Pastas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traderisk-academy/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apps/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├── web/                    Frontend Next.js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├── src/app/            Páginas (App Router)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├── src/components/     Componentes React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│   └── src/lib/            Clientes (supabase, api)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└── api/                    Backend FastAPI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    ├── app/core/           Config, clientes, auth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    ├── app/routers/        Endpoints HTTP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    ├── app/services/       Lógica de negócio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    │   └── integracoes/    APIBrasil, DataJud, PNCP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    ├── app/prompts/        Prompts de IA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    └── tests/              Testes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packages/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└── knowledge-base/         Base de conhecimento (.md)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supabase/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│   └── migrations/             Schema SQL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scripts/                    Ingestão da KB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├── docs/                       Tutoriais (00 a 07)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└── .vscode/                    Configuração do editor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2.1 Princípio arquitetural central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O conhecimento é separado do código. A base de conhecimento (.md) e as regras de impedimento (tabela no banco) podem ser atualizadas pela equipe Traderisk sem deploy. Dados de API alimentam o agente; o conhecimento decide o que fazer com eles.</w:t>
      </w:r>
    </w:p>
    <w:p>
      <w:r>
        <w:br w:type="page"/>
      </w:r>
    </w:p>
    <w:p>
      <w:pPr>
        <w:pStyle w:val="Heading1"/>
        <w:pBdr>
          <w:bottom w:val="single" w:color="00A693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0D1E3A"/>
          <w:sz w:val="34"/>
          <w:szCs w:val="34"/>
        </w:rPr>
        <w:t xml:space="preserve">3. Setup Local — Passo a Passo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3.1 Pré-requisitos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0D1E3A" w:sz="1"/>
              <w:left w:val="single" w:color="0D1E3A" w:sz="1"/>
              <w:bottom w:val="single" w:color="0D1E3A" w:sz="1"/>
              <w:right w:val="single" w:color="0D1E3A" w:sz="1"/>
            </w:tcBorders>
            <w:shd w:fill="0D1E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5960"/>
            <w:tcBorders>
              <w:top w:val="single" w:color="00A693" w:sz="1"/>
              <w:left w:val="single" w:color="00A693" w:sz="1"/>
              <w:bottom w:val="single" w:color="00A693" w:sz="1"/>
              <w:right w:val="single" w:color="00A693" w:sz="1"/>
            </w:tcBorders>
            <w:shd w:fill="00A69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Verificação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E3A"/>
                <w:sz w:val="20"/>
                <w:szCs w:val="20"/>
              </w:rPr>
              <w:t xml:space="preserve">Node.js 18+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node -v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E3A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E3A"/>
                <w:sz w:val="20"/>
                <w:szCs w:val="20"/>
              </w:rPr>
              <w:t xml:space="preserve">Git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E3A"/>
                <w:sz w:val="20"/>
                <w:szCs w:val="20"/>
              </w:rPr>
              <w:t xml:space="preserve">VS Code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recomendado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3.2 Clonar e abrir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git clone https://github.com/traderisk/traderisk-academy.git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cd traderisk-academy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code .   # abre no VS Code (aceite instalar as extensões sugeridas)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3.3 Backend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cd apps/api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python -m venv .venv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source .venv/bin/activate      # Windows: .venv\Scripts\activate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pip install -r requirements.txt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cp .env.example .env           # preencher as chaves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uvicorn app.main:app --reload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API em http://localhost:8000 — documentação automática em /docs.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3.4 Frontend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cd apps/web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npm install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cp .env.local.example .env.local   # preencher Supabase URL e anon key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npm run dev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Frontend em http://localhost:3000. Sem credenciais reais, as integrações retornam mocks — esperado em desenvolvimento.</w:t>
      </w:r>
    </w:p>
    <w:p>
      <w:r>
        <w:br w:type="page"/>
      </w:r>
    </w:p>
    <w:p>
      <w:pPr>
        <w:pStyle w:val="Heading1"/>
        <w:pBdr>
          <w:bottom w:val="single" w:color="00A693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0D1E3A"/>
          <w:sz w:val="34"/>
          <w:szCs w:val="34"/>
        </w:rPr>
        <w:t xml:space="preserve">4. Integração com Supabase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4.1 Criar o projeto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Acesse supabase.com e crie um projeto chamado traderisk-academy.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Região: South America (São Paulo).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Defina e guarde a senha do banco.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4.2 Credenciais (Settings →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D1E3A" w:sz="1"/>
              <w:left w:val="single" w:color="0D1E3A" w:sz="1"/>
              <w:bottom w:val="single" w:color="0D1E3A" w:sz="1"/>
              <w:right w:val="single" w:color="0D1E3A" w:sz="1"/>
            </w:tcBorders>
            <w:shd w:fill="0D1E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Credencial</w:t>
            </w:r>
          </w:p>
        </w:tc>
        <w:tc>
          <w:tcPr>
            <w:tcW w:type="dxa" w:w="6560"/>
            <w:tcBorders>
              <w:top w:val="single" w:color="0D1E3A" w:sz="1"/>
              <w:left w:val="single" w:color="0D1E3A" w:sz="1"/>
              <w:bottom w:val="single" w:color="0D1E3A" w:sz="1"/>
              <w:right w:val="single" w:color="0D1E3A" w:sz="1"/>
            </w:tcBorders>
            <w:shd w:fill="0D1E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Onde usar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Project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SUPABASE_URL (backend) e NEXT_PUBLIC_SUPABASE_URL (frontend)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anon public key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chaves anônimas — frontend e backend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service_role key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SUPABASE_SERVICE_KEY — BACKEND APENAS, nunca expor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2"/>
          <w:szCs w:val="22"/>
        </w:rPr>
        <w:t xml:space="preserve">⚠️ A service_role key ignora todas as regras de segurança (RLS). Nunca a coloque no frontend nem a commite. Só no .env do backend.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4.3 Habilitar extensões (SQL Editor)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CREATE EXTENSION IF NOT EXISTS vector;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CREATE EXTENSION IF NOT EXISTS "uuid-ossp";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CREATE EXTENSION IF NOT EXISTS pgcrypto;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4.4 Criar o schema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Execute as migrations em supabase/migrations/ na ordem (0001 a 0010), colando cada uma no SQL Editor — ou use o Supabase CLI: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npm install -g supabase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supabase login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supabase link --project-ref SEU_PROJECT_REF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supabase db push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4.5 Autenticação e Storage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Authentication → Providers: ative Email (e opcionalmente Google/Microsoft).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URL Configuration: adicione localhost:3000 e academy.traderisk.com.br.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Storage: crie os buckets privados 'documentos' e 'condicoes-gerais'.</w:t>
      </w:r>
    </w:p>
    <w:p>
      <w:r>
        <w:br w:type="page"/>
      </w:r>
    </w:p>
    <w:p>
      <w:pPr>
        <w:pStyle w:val="Heading1"/>
        <w:pBdr>
          <w:bottom w:val="single" w:color="00A693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0D1E3A"/>
          <w:sz w:val="34"/>
          <w:szCs w:val="34"/>
        </w:rPr>
        <w:t xml:space="preserve">5. Integração com GitHub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5.1 Subir o código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git init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git add .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git commit -m "chore: estrutura inicial Traderisk Academy"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git branch -M main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git remote add origin https://github.com/traderisk/traderisk-academy.git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git push -u origin main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O .gitignore já protege .env, node_modules e .venv. Rode git status antes do push para confirmar que nenhum segredo será enviado.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5.2 Proteger a branch main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Settings → Branches → Add rule: exigir Pull Request antes de merge.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Exigir que os status checks (CI) passem antes do merge.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5.3 Secrets do repositório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Em Settings → Secrets and variables → Actions, adicione as chaves usadas no CI/CD: SUPABASE_URL, SUPABASE_SERVICE_KEY, ANTHROPIC_API_KEY, OPENAI_API_KEY, VERCEL_TOKEN.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5.4 CI automático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arquivo .github/workflows/ci.yml já roda os testes do backend e o build do frontend a cada push. Nenhuma configuração adicional necessária além dos secrets.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5.5 Padrão de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D1E3A" w:sz="1"/>
              <w:left w:val="single" w:color="0D1E3A" w:sz="1"/>
              <w:bottom w:val="single" w:color="0D1E3A" w:sz="1"/>
              <w:right w:val="single" w:color="0D1E3A" w:sz="1"/>
            </w:tcBorders>
            <w:shd w:fill="0D1E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Prefixo</w:t>
            </w:r>
          </w:p>
        </w:tc>
        <w:tc>
          <w:tcPr>
            <w:tcW w:type="dxa" w:w="6960"/>
            <w:tcBorders>
              <w:top w:val="single" w:color="0D1E3A" w:sz="1"/>
              <w:left w:val="single" w:color="0D1E3A" w:sz="1"/>
              <w:bottom w:val="single" w:color="0D1E3A" w:sz="1"/>
              <w:right w:val="single" w:color="0D1E3A" w:sz="1"/>
            </w:tcBorders>
            <w:shd w:fill="0D1E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feat: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Nova funcionalidade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fix: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Correção de bug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docs: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Documentação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refactor: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Refatoração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test: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Testes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chore: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Manutenção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693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0D1E3A"/>
          <w:sz w:val="34"/>
          <w:szCs w:val="34"/>
        </w:rPr>
        <w:t xml:space="preserve">6. Ingestão da Base de Conhecimento (RAG)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base de conhecimento (66 documentos .md) precisa ser convertida em embeddings no Supabase para alimentar o chat IA e o motor de análise.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6.1 Fluxo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Arquivos .md  →  chunking por ##  →  embeddings (OpenAI)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        →  documentos_kb (pgvector)  →  busca semântica (RAG)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6.2 Executar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OPENAI_API_KEY=sk-...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SUPABASE_URL=https://....supabase.co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export SUPABASE_SERVICE_KEY=eyJ...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python scripts/ingest_knowledge_base.py \</w:t>
      </w:r>
    </w:p>
    <w:p>
      <w:pPr>
        <w:shd w:fill="1E2A3A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8D8A8"/>
          <w:sz w:val="17"/>
          <w:szCs w:val="17"/>
        </w:rPr>
        <w:t xml:space="preserve">  --path packages/knowledge-base/agente-seguro-garantia</w:t>
      </w:r>
    </w:p>
    <w:p>
      <w:pPr>
        <w:spacing w:after="10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Reingestão após atualizar a KB: TRUNCATE documentos_kb no SQL Editor, depois rode o script novamente. Em produção, automatize com um GitHub Action a cada merge na pasta knowledge-base.</w:t>
      </w:r>
    </w:p>
    <w:p>
      <w:r>
        <w:br w:type="page"/>
      </w:r>
    </w:p>
    <w:p>
      <w:pPr>
        <w:pStyle w:val="Heading1"/>
        <w:pBdr>
          <w:bottom w:val="single" w:color="00A693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0D1E3A"/>
          <w:sz w:val="34"/>
          <w:szCs w:val="34"/>
        </w:rPr>
        <w:t xml:space="preserve">7. Integrações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0D1E3A" w:sz="1"/>
              <w:left w:val="single" w:color="0D1E3A" w:sz="1"/>
              <w:bottom w:val="single" w:color="0D1E3A" w:sz="1"/>
              <w:right w:val="single" w:color="0D1E3A" w:sz="1"/>
            </w:tcBorders>
            <w:shd w:fill="0D1E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4400"/>
            <w:tcBorders>
              <w:top w:val="single" w:color="0D1E3A" w:sz="1"/>
              <w:left w:val="single" w:color="0D1E3A" w:sz="1"/>
              <w:bottom w:val="single" w:color="0D1E3A" w:sz="1"/>
              <w:right w:val="single" w:color="0D1E3A" w:sz="1"/>
            </w:tcBorders>
            <w:shd w:fill="0D1E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2760"/>
            <w:tcBorders>
              <w:top w:val="single" w:color="0D1E3A" w:sz="1"/>
              <w:left w:val="single" w:color="0D1E3A" w:sz="1"/>
              <w:bottom w:val="single" w:color="0D1E3A" w:sz="1"/>
              <w:right w:val="single" w:color="0D1E3A" w:sz="1"/>
            </w:tcBorders>
            <w:shd w:fill="0D1E3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Variável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Claude (Anthropic)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Chat IA + análise de contratos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ANTHROPIC_API_KEY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OpenAI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Embeddings do RAG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OPENAI_API_KEY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APIBrasil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Consulta cadastral CNPJ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APIBRASIL_TOKEN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DataJud (CNJ)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Processos judiciais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DATAJUD_API_KEY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Escavador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Monitoramento processual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ESCAVADOR_TOKEN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PNCP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Contratos públicos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(sem auth)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Stripe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Pagamentos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STRIPE_SECRET_KEY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AWS Textract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OCR de PDF escaneado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AWS_ACCESS_KEY_ID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Todas as integrações têm modo mock — sem credenciais, retornam dados de exemplo. Substitua os métodos _mock() por chamadas reais conforme obtém as credenciais. Detalhes em docs/05-integracoes.md.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7.1 Princípios de custo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CNPJ: cache de 30 dias no banco — não reconsultar a mesma empresa.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DataJud: consultas em batch a cada 15 dias para monitoramento.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Escavador: acionar só quando há nova movimentação relevante.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Chat: limite de 10 perguntas/mês no free controla custo de IA.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Embeddings: gerados uma vez na ingestão, não a cada busca.</w:t>
      </w:r>
    </w:p>
    <w:p>
      <w:r>
        <w:br w:type="page"/>
      </w:r>
    </w:p>
    <w:p>
      <w:pPr>
        <w:pStyle w:val="Heading1"/>
        <w:pBdr>
          <w:bottom w:val="single" w:color="00A693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0D1E3A"/>
          <w:sz w:val="34"/>
          <w:szCs w:val="34"/>
        </w:rPr>
        <w:t xml:space="preserve">8. Deploy em Produção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8.1 Frontend na Vercel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Importe o repositório do GitHub na Vercel.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Root Directory: apps/web. Framework Next.js é detectado.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Adicione as variáveis NEXT_PUBLIC_*.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 Domains, adicione academy.traderisk.com.br.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DNS do traderisk.com.br, crie um CNAME: academy → cname.vercel-dns.com.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8.2 Backend no Railway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Crie um projeto a partir do GitHub, diretório apps/api.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Railway detecta o Dockerfile e faz o build.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Adicione todas as variáveis de ambiente (exceto NEXT_PUBLIC_).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Pegue a URL pública e coloque em NEXT_PUBLIC_API_URL na Vercel.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8.3 Checklist de produção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Variáveis de ambiente em ambos os serviços (sem .env commitado)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CORS no backend liberando o domínio de produção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Supabase: Site URL e Redirect URLs com o domínio de produção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RLS habilitado em todas as tabelas sensíveis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Stripe em modo live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Knowledge base ingerida no Supabase de produção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SSL ativo + monitoramento (Sentry + PostHog)</w:t>
      </w:r>
    </w:p>
    <w:p>
      <w:r>
        <w:br w:type="page"/>
      </w:r>
    </w:p>
    <w:p>
      <w:pPr>
        <w:pStyle w:val="Heading1"/>
        <w:pBdr>
          <w:bottom w:val="single" w:color="00A693" w:sz="8" w:space="1"/>
        </w:pBdr>
        <w:spacing w:after="200" w:before="440"/>
      </w:pPr>
      <w:r>
        <w:rPr>
          <w:rFonts w:ascii="Arial" w:cs="Arial" w:eastAsia="Arial" w:hAnsi="Arial"/>
          <w:b/>
          <w:bCs/>
          <w:color w:val="0D1E3A"/>
          <w:sz w:val="34"/>
          <w:szCs w:val="34"/>
        </w:rPr>
        <w:t xml:space="preserve">9. Melhores Práticas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9.1 Segurança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Nunca commitar .env. Confirmar com git status antes do push.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service_role key só no backend. anon key no frontend.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RLS habilitado em todas as tabelas de dados de usuário.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Balanços e contratos em Storage privado. Restritivos com cache de 30 dias.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LGPD: documentar consentimento do tomador para análise dos dados.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9.2 Arquitetura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routers/ apenas recebe e valida; services/ tem a lógica; core/ a infraestrutura.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Prompts de IA isolados em prompts/ — versionáveis e testáveis.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Regras de impedimento na tabela regras_impedimento — editáveis sem deploy.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9.3 IA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Prompts de extração exigem JSON puro; o parser remove cercas markdown.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Validar o JSON antes de salvar; tratar erros de parsing.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 IA sinaliza; a seguradora decide. O relatório sempre deixa isso claro.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Impedimentos críticos checados por regra fixa, não só por IA.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9.4 Regras de negócio invioláveis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Mapfre é inativa em Seguro Garantia — nunca em cotações.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Cosseguro só acima de R$ 200M de IS.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Seguro de Crédito fora de escopo.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Nunca mencionar comissões para tomadores.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Garantia judicial: só polo passivo.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Renovação judicial fundamentada em norma, não em conveniência comercial.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E3A"/>
          <w:sz w:val="26"/>
          <w:szCs w:val="26"/>
        </w:rPr>
        <w:t xml:space="preserve">9.5 Ordem de implementação recomendada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Setup local + Supabase (migrations no banco).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Ingestão da KB → o chat já funciona.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Tela inicial CNPJ (frontend base já pronto).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Módulo 7 (análise de contratos) — maior valor técnico.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Guia de seguradoras (depende da planilha de linhas de corte).</w:t>
      </w:r>
    </w:p>
    <w:p>
      <w:pPr>
        <w:pStyle w:val="ListParagraph"/>
        <w:numPr>
          <w:ilvl w:val="0"/>
          <w:numId w:val="3"/>
        </w:numPr>
        <w:spacing w:after="7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Pipeline judicial (integrações DataJud/Escavador).</w:t>
      </w:r>
    </w:p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120" w:before="3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Fim do guia —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Traderisk Capital &amp; Insurance | academy.traderisk.com.br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693" w:sz="4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Traderisk Academy — Guia Mestre de Desenvolvimento   |   Pág.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D1E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D1E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A6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2026-06-14T22:46:22.666Z</dcterms:created>
  <dcterms:modified xsi:type="dcterms:W3CDTF">2026-06-14T22:46:22.666Z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