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7 — Análise de Contratos e Editais (Especificação Técnica)</w:t>
      </w:r>
    </w:p>
    <w:p>
      <w:r>
        <w:rPr>
          <w:i/>
        </w:rPr>
        <w:t>Rascunho v0.1 — gerado a partir de apps/api/app/prompts/extracao_contrato.py, services/analise_documento.py e services/extrator_texto.py. REVISAR.</w:t>
      </w:r>
    </w:p>
    <w:p>
      <w:pPr>
        <w:pStyle w:val="Heading1"/>
      </w:pPr>
      <w:r>
        <w:t>1. Objetivo</w:t>
      </w:r>
    </w:p>
    <w:p>
      <w:r>
        <w:t>Extrair, de forma estruturada e rigorosa, todos os dados de um contrato ou edital relevantes para Seguro Garantia: modalidade aplicável, importância segurada (IS), coberturas e — o mais importante — IMPEDIMENTOS à contratação. A IA sinaliza; a equipe técnica e a seguradora decidem.</w:t>
      </w:r>
    </w:p>
    <w:p>
      <w:pPr>
        <w:pStyle w:val="Heading1"/>
      </w:pPr>
      <w:r>
        <w:t>2. Pipeline</w:t>
      </w:r>
    </w:p>
    <w:p>
      <w:pPr>
        <w:pStyle w:val="ListNumber"/>
      </w:pPr>
      <w:r>
        <w:t>1. Extração de texto: PDF (PyMuPDF) e DOCX (python-docx), com OCR (Tesseract) em páginas escaneadas (extrator_texto.py).</w:t>
      </w:r>
    </w:p>
    <w:p>
      <w:pPr>
        <w:pStyle w:val="ListNumber"/>
      </w:pPr>
      <w:r>
        <w:t>2. Chunking semântico (máx ~12K chars, respeitando parágrafos).</w:t>
      </w:r>
    </w:p>
    <w:p>
      <w:pPr>
        <w:pStyle w:val="ListNumber"/>
      </w:pPr>
      <w:r>
        <w:t>3. Extração por chunk: Claude retorna SOMENTE JSON válido (OUTPUT_SCHEMA), com contexto acumulado.</w:t>
      </w:r>
    </w:p>
    <w:p>
      <w:pPr>
        <w:pStyle w:val="ListNumber"/>
      </w:pPr>
      <w:r>
        <w:t>4. Consolidação: merge dos JSONs (SYSTEM_PROMPT_CONSOLIDACAO), recalcula tem_bloqueador e prazo_total_meses.</w:t>
      </w:r>
    </w:p>
    <w:p>
      <w:pPr>
        <w:pStyle w:val="ListNumber"/>
      </w:pPr>
      <w:r>
        <w:t>5. Estratégia: geração de estratégia de emissão em linguagem natural (build_estrategia_prompt).</w:t>
      </w:r>
    </w:p>
    <w:p>
      <w:pPr>
        <w:pStyle w:val="ListNumber"/>
      </w:pPr>
      <w:r>
        <w:t>6. Persistência: resultado + estratégia + _meta (páginas, ocr_used, chunks) em analises_documentos.</w:t>
      </w:r>
    </w:p>
    <w:p>
      <w:pPr>
        <w:pStyle w:val="Heading1"/>
      </w:pPr>
      <w:r>
        <w:t>3. Endpoint</w:t>
      </w:r>
    </w:p>
    <w:p>
      <w:r>
        <w:t>POST /analise/contrato (multipart: PDF/DOCX/DOC). Auth obrigatória; aplica limite freemium (3 análises/mês no free). Retorna o JSON consolidado + estratégia + _meta.</w:t>
      </w:r>
    </w:p>
    <w:p>
      <w:pPr>
        <w:pStyle w:val="Heading1"/>
      </w:pPr>
      <w:r>
        <w:t>4. Bloqueadores (impedem a emissão)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Vigência total (com prorrogações) &gt; 60 meses.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Indenização trabalhista exigida na FASE ADMINISTRATIVA (se só após decisão judicial → A6).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Cancelamento unilateral da garantia pelo tomador sem anuência do beneficiário.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Multa PUNITIVA no objeto (dano moral, pena exemplar). Compensatória por atraso não é B4.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Vigência indeterminada (sem data de término).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Objeto ilícito, vedado ou sem cobertura regulada.</w:t>
            </w:r>
          </w:p>
        </w:tc>
      </w:tr>
    </w:tbl>
    <w:p/>
    <w:p>
      <w:pPr>
        <w:pStyle w:val="Heading1"/>
      </w:pPr>
      <w:r>
        <w:t>5. Alertas (exigem estruturação)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Vigência total entre 36 e 60 meses.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IS estimada acima de R$ 200.000.000 (cosseguro).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Cláusula de step-in / retomada (Art. 102, Lei 14.133/2021).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Adiantamento de pagamento / mobilização.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Retenção de percentual nas medições.</w:t>
            </w:r>
          </w:p>
        </w:tc>
      </w:tr>
      <w:tr>
        <w:tc>
          <w:tcPr>
            <w:tcW w:type="dxa" w:w="4320"/>
          </w:tcPr>
          <w:p>
            <w:r>
              <w:t>A6</w:t>
            </w:r>
          </w:p>
        </w:tc>
        <w:tc>
          <w:tcPr>
            <w:tcW w:type="dxa" w:w="4320"/>
          </w:tcPr>
          <w:p>
            <w:r>
              <w:t>Indenização trabalhista na FASE JUDICIAL (apólice separada).</w:t>
            </w:r>
          </w:p>
        </w:tc>
      </w:tr>
      <w:tr>
        <w:tc>
          <w:tcPr>
            <w:tcW w:type="dxa" w:w="4320"/>
          </w:tcPr>
          <w:p>
            <w:r>
              <w:t>A7</w:t>
            </w:r>
          </w:p>
        </w:tc>
        <w:tc>
          <w:tcPr>
            <w:tcW w:type="dxa" w:w="4320"/>
          </w:tcPr>
          <w:p>
            <w:r>
              <w:t>Aditivos de prazo ou valor previstos.</w:t>
            </w:r>
          </w:p>
        </w:tc>
      </w:tr>
      <w:tr>
        <w:tc>
          <w:tcPr>
            <w:tcW w:type="dxa" w:w="4320"/>
          </w:tcPr>
          <w:p>
            <w:r>
              <w:t>A8</w:t>
            </w:r>
          </w:p>
        </w:tc>
        <w:tc>
          <w:tcPr>
            <w:tcW w:type="dxa" w:w="4320"/>
          </w:tcPr>
          <w:p>
            <w:r>
              <w:t>Prazo de apresentação da garantia &lt; 5 dias úteis.</w:t>
            </w:r>
          </w:p>
        </w:tc>
      </w:tr>
      <w:tr>
        <w:tc>
          <w:tcPr>
            <w:tcW w:type="dxa" w:w="4320"/>
          </w:tcPr>
          <w:p>
            <w:r>
              <w:t>A9</w:t>
            </w:r>
          </w:p>
        </w:tc>
        <w:tc>
          <w:tcPr>
            <w:tcW w:type="dxa" w:w="4320"/>
          </w:tcPr>
          <w:p>
            <w:r>
              <w:t>Edital exige garantia de proposta (BID) E de execução.</w:t>
            </w:r>
          </w:p>
        </w:tc>
      </w:tr>
    </w:tbl>
    <w:p/>
    <w:p>
      <w:r>
        <w:t>Os mesmos códigos estão seedados na tabela regras_impedimento (migration 0009), editáveis sem deploy.</w:t>
      </w:r>
    </w:p>
    <w:p>
      <w:pPr>
        <w:pStyle w:val="Heading1"/>
      </w:pPr>
      <w:r>
        <w:t>6. Cálculo de 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</w:t>
            </w:r>
          </w:p>
        </w:tc>
        <w:tc>
          <w:tcPr>
            <w:tcW w:type="dxa" w:w="4320"/>
          </w:tcPr>
          <w:p>
            <w:r>
              <w:t>Regra</w:t>
            </w:r>
          </w:p>
        </w:tc>
      </w:tr>
      <w:tr>
        <w:tc>
          <w:tcPr>
            <w:tcW w:type="dxa" w:w="4320"/>
          </w:tcPr>
          <w:p>
            <w:r>
              <w:t>Licitação BID</w:t>
            </w:r>
          </w:p>
        </w:tc>
        <w:tc>
          <w:tcPr>
            <w:tcW w:type="dxa" w:w="4320"/>
          </w:tcPr>
          <w:p>
            <w:r>
              <w:t>valor estimado × percentual (máx 1%).</w:t>
            </w:r>
          </w:p>
        </w:tc>
      </w:tr>
      <w:tr>
        <w:tc>
          <w:tcPr>
            <w:tcW w:type="dxa" w:w="4320"/>
          </w:tcPr>
          <w:p>
            <w:r>
              <w:t>Execução pública padrão</w:t>
            </w:r>
          </w:p>
        </w:tc>
        <w:tc>
          <w:tcPr>
            <w:tcW w:type="dxa" w:w="4320"/>
          </w:tcPr>
          <w:p>
            <w:r>
              <w:t>valor × 5% (até 10% alta complexidade; até 30% com step-in).</w:t>
            </w:r>
          </w:p>
        </w:tc>
      </w:tr>
      <w:tr>
        <w:tc>
          <w:tcPr>
            <w:tcW w:type="dxa" w:w="4320"/>
          </w:tcPr>
          <w:p>
            <w:r>
              <w:t>Adiantamento</w:t>
            </w:r>
          </w:p>
        </w:tc>
        <w:tc>
          <w:tcPr>
            <w:tcW w:type="dxa" w:w="4320"/>
          </w:tcPr>
          <w:p>
            <w:r>
              <w:t>100% do valor antecipado.</w:t>
            </w:r>
          </w:p>
        </w:tc>
      </w:tr>
      <w:tr>
        <w:tc>
          <w:tcPr>
            <w:tcW w:type="dxa" w:w="4320"/>
          </w:tcPr>
          <w:p>
            <w:r>
              <w:t>Judicial geral</w:t>
            </w:r>
          </w:p>
        </w:tc>
        <w:tc>
          <w:tcPr>
            <w:tcW w:type="dxa" w:w="4320"/>
          </w:tcPr>
          <w:p>
            <w:r>
              <w:t>débito + 30%.</w:t>
            </w:r>
          </w:p>
        </w:tc>
      </w:tr>
    </w:tbl>
    <w:p/>
    <w:p>
      <w:pPr>
        <w:pStyle w:val="Heading1"/>
      </w:pPr>
      <w:r>
        <w:t>7. Schema de saída (OUTPUT_SCHEMA)</w:t>
      </w:r>
    </w:p>
    <w:p>
      <w:r>
        <w:t>JSON com as chaves: identificacao, vigencia, valores, coberturas_identificadas[], modalidade_recomendada, modalidades_adicionais[], justificativa_modalidade, impedimentos[] (codigo, nivel, titulo, trecho_origem, explicacao, saida_possivel), tem_bloqueador, resumo_executivo. Detalhe completo em apps/api/app/prompts/extracao_contrato.py.</w:t>
      </w:r>
    </w:p>
    <w:p>
      <w:pPr>
        <w:pStyle w:val="Heading1"/>
      </w:pPr>
      <w:r>
        <w:t>8. Regras de ouro da IA</w:t>
      </w:r>
    </w:p>
    <w:p>
      <w:pPr>
        <w:pStyle w:val="ListBullet"/>
      </w:pPr>
      <w:r>
        <w:t>Responder APENAS com JSON válido (sem markdown, sem texto extra).</w:t>
      </w:r>
    </w:p>
    <w:p>
      <w:pPr>
        <w:pStyle w:val="ListBullet"/>
      </w:pPr>
      <w:r>
        <w:t>Nunca inventar dados: campo ausente = null.</w:t>
      </w:r>
    </w:p>
    <w:p>
      <w:pPr>
        <w:pStyle w:val="ListBullet"/>
      </w:pPr>
      <w:r>
        <w:t>Nunca confirmar viabilidade definitiva — sinalizar, não decidir.</w:t>
      </w:r>
    </w:p>
    <w:p>
      <w:pPr>
        <w:pStyle w:val="ListBullet"/>
      </w:pPr>
      <w:r>
        <w:t>Valores como número puro (2000000.00); percentuais em decimal (0.05).</w:t>
      </w:r>
    </w:p>
    <w:p>
      <w:pPr>
        <w:pStyle w:val="ListBullet"/>
      </w:pPr>
      <w:r>
        <w:t>Citar a cláusula/item de origem sempre que possível.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