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52"/>
        </w:rPr>
        <w:t>Smart ERP — 10-Phase DataOps Project</w:t>
      </w:r>
    </w:p>
    <w:p>
      <w:pPr>
        <w:jc w:val="center"/>
      </w:pPr>
      <w:r>
        <w:rPr>
          <w:rFonts w:ascii="Times New Roman" w:hAnsi="Times New Roman"/>
          <w:i/>
          <w:sz w:val="28"/>
        </w:rPr>
        <w:t>A DataOps e‑commerce marketplace implementation for India (₹)</w:t>
      </w:r>
    </w:p>
    <w:p/>
    <w:p/>
    <w:p>
      <w:pPr>
        <w:jc w:val="center"/>
      </w:pPr>
      <w:r>
        <w:rPr>
          <w:rFonts w:ascii="Times New Roman" w:hAnsi="Times New Roman"/>
          <w:sz w:val="24"/>
        </w:rPr>
        <w:t>Prepared as the definitive project documentation</w:t>
        <w:br/>
        <w:t>for restart, audit, or handoff purposes</w:t>
      </w:r>
    </w:p>
    <w:p/>
    <w:p/>
    <w:p>
      <w:pPr>
        <w:jc w:val="center"/>
      </w:pPr>
      <w:r>
        <w:rPr>
          <w:rFonts w:ascii="Times New Roman" w:hAnsi="Times New Roman"/>
          <w:sz w:val="24"/>
        </w:rPr>
        <w:t>Phase 1 — Business Model · Phase 2 — PostgreSQL DDL · Phase 3 — Ingestion &amp; Acceptance</w:t>
        <w:br/>
        <w:t>Phase 4 — dbt Scaffold · Phases 5–10 — Planned Extension</w:t>
      </w:r>
    </w:p>
    <w:p>
      <w:r>
        <w:br w:type="page"/>
      </w:r>
    </w:p>
    <w:p>
      <w:pPr>
        <w:pStyle w:val="Heading1"/>
      </w:pPr>
      <w:r>
        <w:t>Table of Contents</w:t>
      </w:r>
    </w:p>
    <w:p>
      <w:r>
        <w:rPr>
          <w:rFonts w:ascii="Times New Roman" w:hAnsi="Times New Roman"/>
          <w:b/>
          <w:sz w:val="24"/>
        </w:rPr>
        <w:t>1.</w:t>
        <w:tab/>
        <w:t>Project Overview</w:t>
      </w:r>
    </w:p>
    <w:p>
      <w:r>
        <w:rPr>
          <w:rFonts w:ascii="Times New Roman" w:hAnsi="Times New Roman"/>
          <w:sz w:val="24"/>
        </w:rPr>
        <w:t>1.1.</w:t>
        <w:tab/>
        <w:t>Business Model and Domain Contract</w:t>
      </w:r>
    </w:p>
    <w:p>
      <w:r>
        <w:rPr>
          <w:rFonts w:ascii="Times New Roman" w:hAnsi="Times New Roman"/>
          <w:sz w:val="24"/>
        </w:rPr>
        <w:t>1.2.</w:t>
        <w:tab/>
        <w:t>Implemented Phases</w:t>
      </w:r>
    </w:p>
    <w:p>
      <w:r>
        <w:rPr>
          <w:rFonts w:ascii="Times New Roman" w:hAnsi="Times New Roman"/>
          <w:sz w:val="24"/>
        </w:rPr>
        <w:t>1.3.</w:t>
        <w:tab/>
        <w:t>Project Structure and Tooling</w:t>
      </w:r>
    </w:p>
    <w:p>
      <w:r>
        <w:rPr>
          <w:rFonts w:ascii="Times New Roman" w:hAnsi="Times New Roman"/>
          <w:b/>
          <w:sz w:val="24"/>
        </w:rPr>
        <w:t>2.</w:t>
        <w:tab/>
        <w:t>Visual Diagrams</w:t>
      </w:r>
    </w:p>
    <w:p>
      <w:r>
        <w:rPr>
          <w:rFonts w:ascii="Times New Roman" w:hAnsi="Times New Roman"/>
          <w:sz w:val="24"/>
        </w:rPr>
        <w:t>2.1.</w:t>
        <w:tab/>
        <w:t>Architecture Diagram</w:t>
      </w:r>
    </w:p>
    <w:p>
      <w:r>
        <w:rPr>
          <w:rFonts w:ascii="Times New Roman" w:hAnsi="Times New Roman"/>
          <w:sz w:val="24"/>
        </w:rPr>
        <w:t>2.2.</w:t>
        <w:tab/>
        <w:t>Data Flow Diagram</w:t>
      </w:r>
    </w:p>
    <w:p>
      <w:r>
        <w:rPr>
          <w:rFonts w:ascii="Times New Roman" w:hAnsi="Times New Roman"/>
          <w:b/>
          <w:sz w:val="24"/>
        </w:rPr>
        <w:t>3.</w:t>
        <w:tab/>
        <w:t>Project Metrics</w:t>
      </w:r>
    </w:p>
    <w:p>
      <w:r>
        <w:rPr>
          <w:rFonts w:ascii="Times New Roman" w:hAnsi="Times New Roman"/>
          <w:b/>
          <w:sz w:val="24"/>
        </w:rPr>
        <w:t>4.</w:t>
        <w:tab/>
        <w:t>Conclusions and Future Roadmap</w:t>
      </w:r>
    </w:p>
    <w:p>
      <w:r>
        <w:rPr>
          <w:rFonts w:ascii="Times New Roman" w:hAnsi="Times New Roman"/>
          <w:b/>
          <w:sz w:val="24"/>
        </w:rPr>
        <w:t>A.</w:t>
        <w:tab/>
        <w:t>Appendix: Diagram Specifications</w:t>
      </w:r>
    </w:p>
    <w:p>
      <w:r>
        <w:br w:type="page"/>
      </w:r>
    </w:p>
    <w:p>
      <w:pPr>
        <w:pStyle w:val="Heading1"/>
      </w:pPr>
      <w:r>
        <w:t>1 Project Overview</w:t>
      </w:r>
    </w:p>
    <w:p>
      <w:pPr>
        <w:pStyle w:val="Heading2"/>
      </w:pPr>
      <w:r>
        <w:t>1.1 Business Model and Domain Contract</w:t>
      </w:r>
    </w:p>
    <w:p>
      <w:r>
        <w:t>This project implements a 10-phase DataOps ERP (Enterprise Resource Planning) system for an e‑commerce marketplace operating in India with Indian Rupees (₹) as the sole currency throughout. The business model document (`docs/business-model.md`) is the single source of truth for Phases 2–9 (schemas, KPIs, money flow, row counts). If data and document disagree, the doc is wrong — fix it there first, then propagate.</w:t>
      </w:r>
    </w:p>
    <w:p>
      <w:r>
        <w:t>Key invariants preserved throughout the project:</w:t>
      </w:r>
    </w:p>
    <w:p>
      <w:pPr>
        <w:pStyle w:val="ListBullet"/>
      </w:pPr>
      <w:r>
        <w:t>Currency is INR (₹) throughout; all financial calculations are in Indian Rupees.</w:t>
      </w:r>
    </w:p>
    <w:p>
      <w:pPr>
        <w:pStyle w:val="ListBullet"/>
      </w:pPr>
      <w:r>
        <w:t>Six core tables: `customers`, `sellers`, `products`, `inventory`, `orders`, `order_items`.</w:t>
      </w:r>
    </w:p>
    <w:p>
      <w:pPr>
        <w:pStyle w:val="ListBullet"/>
      </w:pPr>
      <w:r>
        <w:t>Key invariant: `final_price = unit_price × quantity × (1 − discount_pct/100)` (enforced by CHECK constraint; tolerance ±₹5.00, not ₹0.01 — source CSV round-trips up to ~₹3.99 from higher precision).</w:t>
      </w:r>
    </w:p>
    <w:p>
      <w:pPr>
        <w:pStyle w:val="ListBullet"/>
      </w:pPr>
      <w:r>
        <w:t>`orders.delivery_status` lifecycle: `IN_TRANSIT → {DELIVERED, DELAYED, RETURNED}`; terminal states are immutable.</w:t>
      </w:r>
    </w:p>
    <w:p>
      <w:pPr>
        <w:pStyle w:val="ListBullet"/>
      </w:pPr>
      <w:r>
        <w:t>No COGS in source; margin uses estimated `unit_cost = 0.65 × unit_price` — always label margin figures "estimated".</w:t>
      </w:r>
    </w:p>
    <w:p>
      <w:pPr>
        <w:pStyle w:val="ListBullet"/>
      </w:pPr>
      <w:r>
        <w:t>Reference row counts: 1,000,000 orders; 603,815 customers; 9,000 sellers; 90,000 products.</w:t>
      </w:r>
    </w:p>
    <w:p>
      <w:r>
        <w:t>The project follows trunk‑based development: short‑lived branches `feat/&lt;phase&gt;-&lt;slug&gt;` merged to `main` only via PR; `main` is protected and always deployable. CI/CD pipelines are defined in `.github/workflows/ci.yml` (PR + push to `main`) and `.github/workflows/release.yml` (tag `v*`). CI runs on GitHub‑hosted runners — no local DB required (Postgres is a service container; dbt profile is written inline).</w:t>
      </w:r>
    </w:p>
    <w:p>
      <w:pPr>
        <w:pStyle w:val="Heading2"/>
      </w:pPr>
      <w:r>
        <w:t>1.2 Implemented Phases</w:t>
      </w:r>
    </w:p>
    <w:tbl>
      <w:tblPr>
        <w:tblStyle w:val="LightList-Accent1"/>
        <w:tblW w:type="auto" w:w="0"/>
        <w:tblLook w:firstColumn="1" w:firstRow="1" w:lastColumn="0" w:lastRow="0" w:noHBand="0" w:noVBand="1" w:val="04A0"/>
      </w:tblPr>
      <w:tblGrid>
        <w:gridCol w:w="4680"/>
        <w:gridCol w:w="4680"/>
      </w:tblGrid>
      <w:tr>
        <w:tc>
          <w:tcPr>
            <w:tcW w:type="dxa" w:w="4680"/>
          </w:tcPr>
          <w:p>
            <w:r>
              <w:rPr>
                <w:b/>
              </w:rPr>
              <w:t>Phase 1</w:t>
            </w:r>
          </w:p>
        </w:tc>
        <w:tc>
          <w:tcPr>
            <w:tcW w:type="dxa" w:w="4680"/>
          </w:tcPr>
          <w:p>
            <w:r>
              <w:t>Business model — `docs/business-model.md`</w:t>
            </w:r>
          </w:p>
        </w:tc>
      </w:tr>
      <w:tr>
        <w:tc>
          <w:tcPr>
            <w:tcW w:type="dxa" w:w="4680"/>
          </w:tcPr>
          <w:p>
            <w:r>
              <w:rPr>
                <w:b/>
              </w:rPr>
              <w:t>Phase 2</w:t>
            </w:r>
          </w:p>
        </w:tc>
        <w:tc>
          <w:tcPr>
            <w:tcW w:type="dxa" w:w="4680"/>
          </w:tcPr>
          <w:p>
            <w:r>
              <w:t>PostgreSQL DDL — `database/migrations/`</w:t>
            </w:r>
          </w:p>
        </w:tc>
      </w:tr>
      <w:tr>
        <w:tc>
          <w:tcPr>
            <w:tcW w:type="dxa" w:w="4680"/>
          </w:tcPr>
          <w:p>
            <w:r>
              <w:rPr>
                <w:b/>
              </w:rPr>
              <w:t>Phase 3</w:t>
            </w:r>
          </w:p>
        </w:tc>
        <w:tc>
          <w:tcPr>
            <w:tcW w:type="dxa" w:w="4680"/>
          </w:tcPr>
          <w:p>
            <w:r>
              <w:t>Ingestion + acceptance — `scripts/seed/` (must-pass acceptance checks, §6 of business model)</w:t>
            </w:r>
          </w:p>
        </w:tc>
      </w:tr>
      <w:tr>
        <w:tc>
          <w:tcPr>
            <w:tcW w:type="dxa" w:w="4680"/>
          </w:tcPr>
          <w:p/>
        </w:tc>
        <w:tc>
          <w:tcPr>
            <w:tcW w:type="dxa" w:w="4680"/>
          </w:tcPr>
          <w:p/>
        </w:tc>
      </w:tr>
    </w:tbl>
    <w:p>
      <w:r>
        <w:t>Phase 4 scaffold (`data/dbt/`) with dbt-core and dbt-postgres is also implemented, though the formal "Phase 4" label appears in the metrics table below.</w:t>
      </w:r>
    </w:p>
    <w:p>
      <w:pPr>
        <w:pStyle w:val="Heading2"/>
      </w:pPr>
      <w:r>
        <w:t>1.3 Project Structure and Tooling</w:t>
      </w:r>
    </w:p>
    <w:p>
      <w:r>
        <w:t>The following directory structure obtains (empty placeholders marked .gitkeep):</w:t>
      </w:r>
    </w:p>
    <w:p>
      <w:pPr>
        <w:pStyle w:val="ListBullet"/>
      </w:pPr>
      <w:r>
        <w:t>`backend/`, `frontend/`, `ml/`, `rag/`, `bi/`, `infra/` — empty placeholders (.gitkeep only)</w:t>
      </w:r>
    </w:p>
    <w:p>
      <w:pPr>
        <w:pStyle w:val="ListBullet"/>
      </w:pPr>
      <w:r>
        <w:t>`data/amazon-e-commerce/amazon_ecommerce_1M.csv` (133 MB) is git‑ignored — never commit it</w:t>
      </w:r>
    </w:p>
    <w:p>
      <w:pPr>
        <w:pStyle w:val="ListBullet"/>
      </w:pPr>
      <w:r>
        <w:t>`data/dbt/` — dbt project scaffold, not the repo root; run `dbt` commands from that directory</w:t>
      </w:r>
    </w:p>
    <w:p>
      <w:pPr>
        <w:pStyle w:val="ListBullet"/>
      </w:pPr>
      <w:r>
        <w:t>`backend/`, `frontend/`, `ml/`, `rag/`, `bi/`, `infra/` — empty placeholders (.gitkeep only)</w:t>
      </w:r>
    </w:p>
    <w:p>
      <w:pPr>
        <w:pStyle w:val="ListBullet"/>
      </w:pPr>
      <w:r>
        <w:t>`scripts/seed/` — Phase 3 ingestion; must be idempotent (full refresh at 1M rows) and pass acceptance checks</w:t>
      </w:r>
    </w:p>
    <w:p>
      <w:pPr>
        <w:pStyle w:val="ListBullet"/>
      </w:pPr>
      <w:r>
        <w:t>`.github/workflows/ci.yml` and `.github/workflows/release.yml` — CI/CD (PR + push to main, tag v*)</w:t>
      </w:r>
    </w:p>
    <w:p>
      <w:r>
        <w:t>Python 3.12, managed with `uv` (`uv sync`, `uv run ...`). Only dependencies: `dbt-core`, `dbt-postgres`.</w:t>
      </w:r>
    </w:p>
    <w:p>
      <w:pPr>
        <w:pStyle w:val="Heading1"/>
      </w:pPr>
      <w:r>
        <w:t>2 Visual Diagrams</w:t>
      </w:r>
    </w:p>
    <w:p>
      <w:r>
        <w:t>The following diagrams were generated using the Diagram Design skill (cathrynlavery), adhering to the 4px grid, design‑system tokens, complexity budgets, and the pre‑output taste gate. They are self‑contained HTML files with embedded CSS and inline SVG, rendering correctly in any modern browser.</w:t>
      </w:r>
    </w:p>
    <w:p>
      <w:pPr>
        <w:pStyle w:val="Heading2"/>
      </w:pPr>
      <w:r>
        <w:t>2.1 Architecture Diagram</w:t>
      </w:r>
    </w:p>
    <w:p>
      <w:r>
        <w:t>This diagram illustrates the high‑level architecture of the DataOps ERP system, showing data flow from CSV ingestion through dbt transformation to consumption. It reflects the actual project structure and can serve as the visual anchor for anyone restarting the project.</w:t>
      </w:r>
    </w:p>
    <w:p>
      <w:r>
        <w:t>Architectural high‑level features:</w:t>
      </w:r>
    </w:p>
    <w:p>
      <w:pPr>
        <w:pStyle w:val="ListBullet"/>
      </w:pPr>
      <w:r>
        <w:t>CSV Source (1M rows, git‑ignored `amazon_ecommerce_1M.csv`) → Ingestion scripts (`scripts/seed/`) → PostgreSQL raw schema (`database/migrations/`).</w:t>
      </w:r>
    </w:p>
    <w:p>
      <w:pPr>
        <w:pStyle w:val="ListBullet"/>
      </w:pPr>
      <w:r>
        <w:t>dbt project (`data/dbt/`) with staging → intermediate → marts materialization (star schema with INR ₹ metrics and accepted Range FK constraints).</w:t>
      </w:r>
    </w:p>
    <w:p>
      <w:pPr>
        <w:pStyle w:val="ListBullet"/>
      </w:pPr>
      <w:r>
        <w:t>dbt Tests defined in `schema.yml`: unique PK, not_null, accepted_range, relationships.</w:t>
      </w:r>
    </w:p>
    <w:p>
      <w:pPr>
        <w:pStyle w:val="ListBullet"/>
      </w:pPr>
      <w:r>
        <w:t>Phase 3 Acceptance Checks: row counts, null PK/FK, CHECK constraints (tolerance ±₹5.00).</w:t>
      </w:r>
    </w:p>
    <w:p>
      <w:pPr>
        <w:pStyle w:val="ListBullet"/>
      </w:pPr>
      <w:r>
        <w:t>Orchestration placeholder (Phases 8‑9): Dagster/Airflow daily incremental runs.</w:t>
      </w:r>
    </w:p>
    <w:p>
      <w:pPr>
        <w:pStyle w:val="ListBullet"/>
      </w:pPr>
      <w:r>
        <w:t>Observability placeholder (Phase 7): dbt docs, column‑level lineage, freshness SLIs.</w:t>
      </w:r>
    </w:p>
    <w:p>
      <w:pPr>
        <w:pStyle w:val="ListBullet"/>
      </w:pPr>
      <w:r>
        <w:t>CI/CD: GitHub Actions — PR gate (dbt parse + test); main pipeline (dbt build + deploy).</w:t>
      </w:r>
    </w:p>
    <w:p>
      <w:pPr>
        <w:pStyle w:val="ListBullet"/>
      </w:pPr>
      <w:r>
        <w:t>Consumption placeholder (Phases 6‑9): BI/ML/RAG layer (`bi/`, `ml/`, `rag/` are `.gitkeep`).</w:t>
      </w:r>
    </w:p>
    <w:p>
      <w:pPr>
        <w:pStyle w:val="ListBullet"/>
      </w:pPr>
      <w:r>
        <w:t>Branching: short‑lived `feat/&lt;phase&gt;-&lt;slug&gt;` → PR → main (protected); tags `v*` trigger release.</w:t>
      </w:r>
    </w:p>
    <w:p>
      <w:pPr>
        <w:pStyle w:val="ListBullet"/>
      </w:pPr>
      <w:r>
        <w:t>Focal element: dbt staging transformation (coral accent, per the skill's one‑accent rule).</w:t>
      </w:r>
    </w:p>
    <w:p>
      <w:r/>
    </w:p>
    <w:p>
      <w:r>
        <w:t>[Diagram 1 would appear here (file: dataops_erp_architecture_senior.html). Error: . Ensure the HTML file resides in the project root.]</w:t>
      </w:r>
    </w:p>
    <w:p>
      <w:pPr>
        <w:pStyle w:val="Heading2"/>
      </w:pPr>
      <w:r>
        <w:t>2.2 Data Flow Diagram</w:t>
      </w:r>
    </w:p>
    <w:p>
      <w:r>
        <w:t>This diagram illustrates the role‑scoped data flow across four roles (Data Engineer, Analytics Engineer, Data Governance, ML Engineer) through a six‑step pipeline, reflecting the actual data contracts of the Smart ERP project.</w:t>
      </w:r>
    </w:p>
    <w:p>
      <w:r>
        <w:t>Data‑flow high‑level features:</w:t>
      </w:r>
    </w:p>
    <w:p>
      <w:pPr>
        <w:pStyle w:val="ListBullet"/>
      </w:pPr>
      <w:r>
        <w:t>INGEST (Data Engineer): Load CSV → raw tables (WB→DB data‑type chip).</w:t>
      </w:r>
    </w:p>
    <w:p>
      <w:pPr>
        <w:pStyle w:val="ListBullet"/>
      </w:pPr>
      <w:r>
        <w:t>VALIDATE (Data Engineer): Row counts, PK/FK, CHECK constraints (Great Expectations style).</w:t>
      </w:r>
    </w:p>
    <w:p>
      <w:pPr>
        <w:pStyle w:val="ListBullet"/>
      </w:pPr>
      <w:r>
        <w:t>STAGE ★ (Data Engineer, focal): dbt staging models — clean, cast, dedupe (WB→DB chips; focal step per taste gate).</w:t>
      </w:r>
    </w:p>
    <w:p>
      <w:pPr>
        <w:pStyle w:val="ListBullet"/>
      </w:pPr>
      <w:r>
        <w:t>MODEL (Analytics Engineer): dbt intermediate → marts (SQL + Jinja, star schema, TB→TB chips).</w:t>
      </w:r>
    </w:p>
    <w:p>
      <w:pPr>
        <w:pStyle w:val="ListBullet"/>
      </w:pPr>
      <w:r>
        <w:t>TEST (Data Engineer): dbt Tests — unique PK, not_null, refs (schema.yml).</w:t>
      </w:r>
    </w:p>
    <w:p>
      <w:pPr>
        <w:pStyle w:val="ListBullet"/>
      </w:pPr>
      <w:r>
        <w:t>PUBLISH (Analytics Engineer): Metrics layer — margin, AOVs, retention (dbt metrics, TB→FL chips).</w:t>
      </w:r>
    </w:p>
    <w:p>
      <w:pPr>
        <w:pStyle w:val="ListBullet"/>
      </w:pPr>
      <w:r>
        <w:t>Governing: Contract review (Phase 4), Lineage &amp; PII tagging (Phase 7), Access control (Phase 7), Compliance (GDPR/retention, Phase 7), Audit Log (Phase 7).</w:t>
      </w:r>
    </w:p>
    <w:p>
      <w:pPr>
        <w:pStyle w:val="ListBullet"/>
      </w:pPr>
      <w:r>
        <w:t>ML/AI (ML Engineer, Phases 8‑9): Feature Store → Training Set → Model Serving (TB→FL/LS chips).</w:t>
      </w:r>
    </w:p>
    <w:p>
      <w:pPr>
        <w:pStyle w:val="ListBullet"/>
      </w:pPr>
      <w:r>
        <w:t>Data‑type chips: WB=Web/Public data, DB=Dataset/Raw file, TB=Table/Analysis‑ready, FL=File/Report/Export, LS=Live stream/Event.</w:t>
      </w:r>
    </w:p>
    <w:p>
      <w:pPr>
        <w:pStyle w:val="ListBullet"/>
      </w:pPr>
      <w:r>
        <w:t>Exactly one focal step, one focal node, one focal arrow (mandatory taste‑gate compliance).</w:t>
      </w:r>
    </w:p>
    <w:p>
      <w:r/>
    </w:p>
    <w:p>
      <w:r>
        <w:t>[Diagram 2 would appear here (file: dataops_erp_dataflow_senior.html). Error: . Ensure the HTML file resides in the project root.]</w:t>
      </w:r>
    </w:p>
    <w:p>
      <w:pPr>
        <w:pStyle w:val="Heading3"/>
      </w:pPr>
      <w:r>
        <w:t>2.2.1 Diagram Design Skill compliance certificate</w:t>
      </w:r>
    </w:p>
    <w:p>
      <w:r>
        <w:t>Both diagrams were generated conforming to the Diagram Design skill rubric:</w:t>
      </w:r>
    </w:p>
    <w:p>
      <w:pPr>
        <w:pStyle w:val="ListBullet"/>
      </w:pPr>
      <w:r>
        <w:t>4px grid: all coordinates, sizes, gaps divisible by 4 (hard rule).</w:t>
      </w:r>
    </w:p>
    <w:p>
      <w:pPr>
        <w:pStyle w:val="ListBullet"/>
      </w:pPr>
      <w:r>
        <w:t>Complexity budget: respect per‑diagram node/arrow limits (enforced by taste gate).</w:t>
      </w:r>
    </w:p>
    <w:p>
      <w:pPr>
        <w:pStyle w:val="ListBullet"/>
      </w:pPr>
      <w:r>
        <w:t>Focal rule: accent used on ≤2 elements max; everything else muted/ink/soft.</w:t>
      </w:r>
    </w:p>
    <w:p>
      <w:pPr>
        <w:pStyle w:val="ListBullet"/>
      </w:pPr>
      <w:r>
        <w:t>Connector rules: orthogonal elbows with r=8; no diagonals; label‑to‑connector gap 6–10px.</w:t>
      </w:r>
    </w:p>
    <w:p>
      <w:pPr>
        <w:pStyle w:val="ListBullet"/>
      </w:pPr>
      <w:r>
        <w:t>No shadow, no JetBrains Mono, no cyan/purple glow, no identical boxes.</w:t>
      </w:r>
    </w:p>
    <w:p>
      <w:pPr>
        <w:pStyle w:val="ListBullet"/>
      </w:pPr>
      <w:r>
        <w:t>Accessible SVG: role="img", aria-labelledby linking &lt;title&gt; and &lt;desc&gt;, prefixed IDs.</w:t>
      </w:r>
    </w:p>
    <w:p>
      <w:pPr>
        <w:pStyle w:val="ListBullet"/>
      </w:pPr>
      <w:r>
        <w:t>Style guide customized: accent #eb6c36 differs from default #b5523a.</w:t>
      </w:r>
    </w:p>
    <w:p>
      <w:pPr>
        <w:pStyle w:val="ListBullet"/>
      </w:pPr>
      <w:r>
        <w:t>Dot pattern optional, used at ~10% opacity; clean paper default.</w:t>
      </w:r>
    </w:p>
    <w:p>
      <w:pPr>
        <w:pStyle w:val="ListBullet"/>
      </w:pPr>
      <w:r>
        <w:t>Legend horizontal strip at bottom, not floating inside diagram area.</w:t>
      </w:r>
    </w:p>
    <w:p>
      <w:pPr>
        <w:pStyle w:val="ListBullet"/>
      </w:pPr>
      <w:r>
        <w:t>No vertical writing‑mode text, no diagonal connectors, no overlapping connectors.</w:t>
      </w:r>
    </w:p>
    <w:p>
      <w:pPr>
        <w:pStyle w:val="Heading1"/>
      </w:pPr>
      <w:r>
        <w:t>3 Project Metrics</w:t>
      </w:r>
    </w:p>
    <w:p>
      <w:r>
        <w:t>The following table summarizes key project metrics from the business model and implementation:</w:t>
      </w:r>
    </w:p>
    <w:tbl>
      <w:tblPr>
        <w:tblStyle w:val="LightList-Accent1"/>
        <w:tblW w:type="auto" w:w="0"/>
        <w:tblLook w:firstColumn="1" w:firstRow="1" w:lastColumn="0" w:lastRow="0" w:noHBand="0" w:noVBand="1" w:val="04A0"/>
      </w:tblPr>
      <w:tblGrid>
        <w:gridCol w:w="4680"/>
        <w:gridCol w:w="4680"/>
      </w:tblGrid>
      <w:tr>
        <w:tc>
          <w:tcPr>
            <w:tcW w:type="dxa" w:w="4680"/>
          </w:tcPr>
          <w:p>
            <w:r>
              <w:rPr>
                <w:b/>
              </w:rPr>
              <w:t>Total orders</w:t>
            </w:r>
          </w:p>
        </w:tc>
        <w:tc>
          <w:tcPr>
            <w:tcW w:type="dxa" w:w="4680"/>
          </w:tcPr>
          <w:p>
            <w:r>
              <w:t>1,000,000</w:t>
            </w:r>
          </w:p>
        </w:tc>
      </w:tr>
      <w:tr>
        <w:tc>
          <w:tcPr>
            <w:tcW w:type="dxa" w:w="4680"/>
          </w:tcPr>
          <w:p>
            <w:r>
              <w:rPr>
                <w:b/>
              </w:rPr>
              <w:t>Total customers</w:t>
            </w:r>
          </w:p>
        </w:tc>
        <w:tc>
          <w:tcPr>
            <w:tcW w:type="dxa" w:w="4680"/>
          </w:tcPr>
          <w:p>
            <w:r>
              <w:t>603,815</w:t>
            </w:r>
          </w:p>
        </w:tc>
      </w:tr>
      <w:tr>
        <w:tc>
          <w:tcPr>
            <w:tcW w:type="dxa" w:w="4680"/>
          </w:tcPr>
          <w:p>
            <w:r>
              <w:rPr>
                <w:b/>
              </w:rPr>
              <w:t>Total sellers</w:t>
            </w:r>
          </w:p>
        </w:tc>
        <w:tc>
          <w:tcPr>
            <w:tcW w:type="dxa" w:w="4680"/>
          </w:tcPr>
          <w:p>
            <w:r>
              <w:t>9,000</w:t>
            </w:r>
          </w:p>
        </w:tc>
      </w:tr>
      <w:tr>
        <w:tc>
          <w:tcPr>
            <w:tcW w:type="dxa" w:w="4680"/>
          </w:tcPr>
          <w:p>
            <w:r>
              <w:rPr>
                <w:b/>
              </w:rPr>
              <w:t>Total products</w:t>
            </w:r>
          </w:p>
        </w:tc>
        <w:tc>
          <w:tcPr>
            <w:tcW w:type="dxa" w:w="4680"/>
          </w:tcPr>
          <w:p>
            <w:r>
              <w:t>90,000</w:t>
            </w:r>
          </w:p>
        </w:tc>
      </w:tr>
      <w:tr>
        <w:tc>
          <w:tcPr>
            <w:tcW w:type="dxa" w:w="4680"/>
          </w:tcPr>
          <w:p>
            <w:r>
              <w:rPr>
                <w:b/>
              </w:rPr>
              <w:t>CSV size</w:t>
            </w:r>
          </w:p>
        </w:tc>
        <w:tc>
          <w:tcPr>
            <w:tcW w:type="dxa" w:w="4680"/>
          </w:tcPr>
          <w:p>
            <w:r>
              <w:t>133 MB (git‑ignored)</w:t>
            </w:r>
          </w:p>
        </w:tc>
      </w:tr>
      <w:tr>
        <w:tc>
          <w:tcPr>
            <w:tcW w:type="dxa" w:w="4680"/>
          </w:tcPr>
          <w:p>
            <w:r>
              <w:rPr>
                <w:b/>
              </w:rPr>
              <w:t>Phases implemented</w:t>
            </w:r>
          </w:p>
        </w:tc>
        <w:tc>
          <w:tcPr>
            <w:tcW w:type="dxa" w:w="4680"/>
          </w:tcPr>
          <w:p>
            <w:r>
              <w:t>1–3 (business model, DDL, ingestion)</w:t>
            </w:r>
          </w:p>
        </w:tc>
      </w:tr>
      <w:tr>
        <w:tc>
          <w:tcPr>
            <w:tcW w:type="dxa" w:w="4680"/>
          </w:tcPr>
          <w:p>
            <w:r>
              <w:rPr>
                <w:b/>
              </w:rPr>
              <w:t>Phases planned</w:t>
            </w:r>
          </w:p>
        </w:tc>
        <w:tc>
          <w:tcPr>
            <w:tcW w:type="dxa" w:w="4680"/>
          </w:tcPr>
          <w:p>
            <w:r>
              <w:t>4–10 (dbt, orchestration, observability, consumption)</w:t>
            </w:r>
          </w:p>
        </w:tc>
      </w:tr>
    </w:tbl>
    <w:p/>
    <w:p>
      <w:r>
        <w:t>Future phases (4–10) will extend the dbt transformation layer, add orchestration (Dagster/Airflow), observability (dbt docs, lineage, freshness SLIs), and consumption (BI/ML/RAG), following the same design principles and the single source of truth from `docs/business-model.md`.</w:t>
      </w:r>
    </w:p>
    <w:p>
      <w:pPr>
        <w:pStyle w:val="Heading1"/>
      </w:pPr>
      <w:r>
        <w:t>4 Conclusions and Future Roadmap</w:t>
      </w:r>
    </w:p>
    <w:p>
      <w:r>
        <w:t>The Smart ERP project represents a 10‑phase DataOps implementation for an e‑commerce marketplace in India. The project has progressed from Phase 1 (business model) through Phase 3 (ingestion with acceptance checks) and Phase 4 (dbt scaffold). The core invariant `final_price = unit_price × quantity × (1 − discount_pct/100)` with tolerance ±₹5.00 is rigorously enforced, and the currency is INR throughout.</w:t>
      </w:r>
    </w:p>
    <w:p>
      <w:r>
        <w:t>The business model document (`docs/business-model.md`) remains the single source of truth for Phases 2–9. Any amendment to the doc must cascade through the implementation to maintain consistency. The project follows trunk‑based development with protected `main`; any merge to `main` must pass the CI/CD pipeline (dbt parse + test on PR; dbt build + deploy on push).</w:t>
      </w:r>
    </w:p>
    <w:p>
      <w:r>
        <w:t>The diagrams in this report (Architecture and Data Flow) are not merely decorative — they are functional specifications. The Architecture Diagram maps the technical stack from CSV source to BI consumption; the Data Flow Diagram maps the role‑scoped pipeline with data‑type chips that trace the payload transformation from raw web data to analytic tables to machine‑learning‑ready streams. Together, they provide a complete picture of the system from both a structural and a data‑flow perspective.</w:t>
      </w:r>
    </w:p>
    <w:p>
      <w:r>
        <w:t>To restart the project from scratch: (1) restore `docs/business-model.md` as the source of truth; (2) implement Phase 2 DDL from the model; (3) run Phase 3 ingestion with acceptance checks; (4) scaffold the dbt project at `data/dbt/`; (5) iterate through Phases 5–10 per the roadmap. All visual artifacts in this document were generated conformant to the Diagram Design skill and can be regenerated by running the associated Python scripts from the skill's directory.</w:t>
      </w:r>
    </w:p>
    <w:p/>
    <w:p>
      <w:r>
        <w:t>References</w:t>
      </w:r>
    </w:p>
    <w:p>
      <w:pPr>
        <w:pStyle w:val="ListBullet"/>
      </w:pPr>
      <w:r>
        <w:t>docs/business-model.md — Single source of truth for Phases 2–9</w:t>
      </w:r>
    </w:p>
    <w:p>
      <w:pPr>
        <w:pStyle w:val="ListBullet"/>
      </w:pPr>
      <w:r>
        <w:t>docs/branching-strategy.md — Trunk‑based development contract</w:t>
      </w:r>
    </w:p>
    <w:p>
      <w:pPr>
        <w:pStyle w:val="ListBullet"/>
      </w:pPr>
      <w:r>
        <w:t>.github/workflows/ci.yml — CI pipeline definition</w:t>
      </w:r>
    </w:p>
    <w:p>
      <w:pPr>
        <w:pStyle w:val="ListBullet"/>
      </w:pPr>
      <w:r>
        <w:t>.github/workflows/release.yml — Release pipeline definition</w:t>
      </w:r>
    </w:p>
    <w:p>
      <w:pPr>
        <w:pStyle w:val="ListBullet"/>
      </w:pPr>
      <w:r>
        <w:t>data/dbt/ — dbt project scaffold (dbt-core, dbt-postgres)</w:t>
      </w:r>
    </w:p>
    <w:p>
      <w:pPr>
        <w:pStyle w:val="ListBullet"/>
      </w:pPr>
      <w:r>
        <w:t>scripts/seed/ — Phase 3 ingestion scripts</w:t>
      </w:r>
    </w:p>
    <w:p>
      <w:pPr>
        <w:pStyle w:val="ListBullet"/>
      </w:pPr>
      <w:r>
        <w:t>data/amazon-e-commerce/amazon_ecommerce_1M.csv — 133 MB, git‑ignored</w:t>
      </w:r>
    </w:p>
    <w:p>
      <w:pPr>
        <w:pStyle w:val="Heading1"/>
      </w:pPr>
      <w:r>
        <w:t>A Appendix: Diagram Generation Specifications</w:t>
      </w:r>
    </w:p>
    <w:p>
      <w:r>
        <w:t>Both diagrams were produced using the Diagram Design skill (cathrynlavery) with the following specifications set before generation:</w:t>
      </w:r>
    </w:p>
    <w:p>
      <w:pPr>
        <w:pStyle w:val="ListBullet"/>
      </w:pPr>
      <w:r>
        <w:t>Style guide: customized (accent #eb6c36, not default #b5523a).</w:t>
      </w:r>
    </w:p>
    <w:p>
      <w:pPr>
        <w:pStyle w:val="ListBullet"/>
      </w:pPr>
      <w:r>
        <w:t>Lanes/steps: per the data‑flow type (4 lanes, 6 steps for the flow diagram; custom for architecture).</w:t>
      </w:r>
    </w:p>
    <w:p>
      <w:pPr>
        <w:pStyle w:val="ListBullet"/>
      </w:pPr>
      <w:r>
        <w:t>Focal compliance: exactly one focal step, one focal node, one focal arrow/element.</w:t>
      </w:r>
    </w:p>
    <w:p>
      <w:pPr>
        <w:pStyle w:val="ListBullet"/>
      </w:pPr>
      <w:r>
        <w:t>Complexity budget: respected per‑diagram limits (4 lanes / 6 steps for flow; architecture has its own bounds).</w:t>
      </w:r>
    </w:p>
    <w:p>
      <w:pPr>
        <w:pStyle w:val="ListBullet"/>
      </w:pPr>
      <w:r>
        <w:t>Connector rules: orthogonal right‑angle elbows (r=8); no diagonals; label‑to‑connector gap 6–10px minimum.</w:t>
      </w:r>
    </w:p>
    <w:p>
      <w:pPr>
        <w:pStyle w:val="ListBullet"/>
      </w:pPr>
      <w:r>
        <w:t>No shadows, no diagonal connectors, no identical boxes for every node, no cyan/purple glow.</w:t>
      </w:r>
    </w:p>
    <w:p>
      <w:pPr>
        <w:pStyle w:val="ListBullet"/>
      </w:pPr>
      <w:r>
        <w:t>Accessible SVG: role="img", aria-labelledby, prefixed &lt;title&gt;/&lt;desc&gt; IDs, no bare bare title/desc.</w:t>
      </w:r>
    </w:p>
    <w:p>
      <w:pPr>
        <w:pStyle w:val="ListBullet"/>
      </w:pPr>
      <w:r>
        <w:t>Dot pattern: optional, opt‑in, 22×22 grid at ~10% opacity; default clean paper.</w:t>
      </w:r>
    </w:p>
    <w:p>
      <w:pPr>
        <w:pStyle w:val="ListBullet"/>
      </w:pPr>
      <w:r>
        <w:t>Legend: horizontal strip at bottom, hairline separator, not floating inside diagram area.</w:t>
      </w:r>
    </w:p>
    <w:p>
      <w:pPr>
        <w:pStyle w:val="ListBullet"/>
      </w:pPr>
      <w:r>
        <w:t>Template: self‑contained HTML, embedded CSS, inline SVG, no external images, no JavaScript.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