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16CD" w14:textId="29C960E8" w:rsidR="002A4800" w:rsidRDefault="002A4800" w:rsidP="002A4800">
      <w:pPr>
        <w:pStyle w:val="Heading1"/>
      </w:pPr>
    </w:p>
    <w:p w14:paraId="2D9771E9" w14:textId="77777777" w:rsidR="004B1E4F" w:rsidRPr="004B1E4F" w:rsidRDefault="004B1E4F" w:rsidP="004B1E4F"/>
    <w:p w14:paraId="56AB9255" w14:textId="77777777" w:rsidR="002A4800" w:rsidRDefault="002A4800" w:rsidP="002A4800">
      <w:pPr>
        <w:pStyle w:val="Heading1"/>
      </w:pPr>
    </w:p>
    <w:p w14:paraId="0F19BB3F" w14:textId="77777777" w:rsidR="002A4800" w:rsidRDefault="002A4800" w:rsidP="002A4800">
      <w:pPr>
        <w:pStyle w:val="Heading1"/>
      </w:pPr>
    </w:p>
    <w:p w14:paraId="693116BB" w14:textId="77777777" w:rsidR="002A4800" w:rsidRDefault="002A4800" w:rsidP="002A4800">
      <w:pPr>
        <w:pStyle w:val="Heading1"/>
      </w:pPr>
    </w:p>
    <w:p w14:paraId="1B4202A4" w14:textId="77777777" w:rsidR="002A4800" w:rsidRDefault="002A4800" w:rsidP="002A4800">
      <w:pPr>
        <w:pStyle w:val="Heading1"/>
      </w:pPr>
    </w:p>
    <w:p w14:paraId="4E6C06F9" w14:textId="77777777" w:rsidR="002A4800" w:rsidRDefault="002A4800" w:rsidP="002A4800">
      <w:pPr>
        <w:pStyle w:val="Heading1"/>
      </w:pPr>
    </w:p>
    <w:p w14:paraId="21545D8B" w14:textId="71723E79" w:rsidR="002A4800" w:rsidRPr="004F03EA" w:rsidRDefault="002A4800" w:rsidP="002A4800">
      <w:pPr>
        <w:pStyle w:val="Heading1"/>
        <w:rPr>
          <w:lang w:val="en-US"/>
        </w:rPr>
      </w:pPr>
      <w:r w:rsidRPr="004F03EA">
        <w:rPr>
          <w:lang w:val="en-US"/>
        </w:rPr>
        <w:t>DOCUMENTA</w:t>
      </w:r>
      <w:r w:rsidR="004F03EA">
        <w:rPr>
          <w:lang w:val="en-US"/>
        </w:rPr>
        <w:t>CIÓN</w:t>
      </w:r>
    </w:p>
    <w:p w14:paraId="3C95643B" w14:textId="63D0ECBA" w:rsidR="002A4800" w:rsidRPr="004F03EA" w:rsidRDefault="00837587" w:rsidP="002A4800">
      <w:pPr>
        <w:pStyle w:val="Heading1"/>
        <w:rPr>
          <w:lang w:val="en-US"/>
        </w:rPr>
      </w:pPr>
      <w:r w:rsidRPr="004F03EA">
        <w:rPr>
          <w:lang w:val="en-US"/>
        </w:rPr>
        <w:t>BOOTSTRAPPING</w:t>
      </w:r>
    </w:p>
    <w:p w14:paraId="4A32F0E4" w14:textId="6A45A55C" w:rsidR="002A4800" w:rsidRPr="004F03EA" w:rsidRDefault="004D013A" w:rsidP="002A4800">
      <w:pPr>
        <w:pStyle w:val="Heading1"/>
        <w:rPr>
          <w:lang w:val="en-US"/>
        </w:rPr>
      </w:pPr>
      <w:r w:rsidRPr="004F03EA">
        <w:rPr>
          <w:lang w:val="en-US"/>
        </w:rPr>
        <w:t>Mar</w:t>
      </w:r>
      <w:r w:rsidR="004F03EA">
        <w:rPr>
          <w:lang w:val="en-US"/>
        </w:rPr>
        <w:t>zo</w:t>
      </w:r>
      <w:r w:rsidR="002A4800" w:rsidRPr="004F03EA">
        <w:rPr>
          <w:lang w:val="en-US"/>
        </w:rPr>
        <w:t xml:space="preserve"> 202</w:t>
      </w:r>
      <w:r w:rsidRPr="004F03EA">
        <w:rPr>
          <w:lang w:val="en-US"/>
        </w:rPr>
        <w:t>1</w:t>
      </w:r>
    </w:p>
    <w:p w14:paraId="1F504348" w14:textId="77777777" w:rsidR="002A4800" w:rsidRPr="004F03EA" w:rsidRDefault="002A4800" w:rsidP="002A4800">
      <w:pPr>
        <w:pStyle w:val="Heading1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91440" distB="91440" distL="137160" distR="137160" simplePos="0" relativeHeight="251659264" behindDoc="0" locked="0" layoutInCell="1" allowOverlap="1" wp14:anchorId="0369F3C9" wp14:editId="12BA184D">
                <wp:simplePos x="0" y="0"/>
                <wp:positionH relativeFrom="margin">
                  <wp:align>left</wp:align>
                </wp:positionH>
                <wp:positionV relativeFrom="margin">
                  <wp:posOffset>5787390</wp:posOffset>
                </wp:positionV>
                <wp:extent cx="3566160" cy="1143000"/>
                <wp:effectExtent l="0" t="0" r="0" b="8255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E6903" w14:textId="6513768F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Adrián sandoval cordero</w:t>
                            </w:r>
                          </w:p>
                          <w:p w14:paraId="593E045D" w14:textId="149049AE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Inicio PROYECTO: 01-</w:t>
                            </w:r>
                            <w:r w:rsidR="004F137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AGOSTO</w:t>
                            </w: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-2020</w:t>
                            </w:r>
                          </w:p>
                          <w:p w14:paraId="3B3A44D1" w14:textId="77777777" w:rsidR="00875AB1" w:rsidRDefault="00875AB1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F3C9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left:0;text-align:left;margin-left:0;margin-top:455.7pt;width:280.8pt;height:90pt;z-index:251659264;visibility:visible;mso-wrap-style:square;mso-width-percent:60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6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" filled="f" stroked="f" strokeweight=".5pt">
                <v:textbox style="mso-fit-shape-to-text:t" inset="0,0,18pt,0">
                  <w:txbxContent>
                    <w:p w14:paraId="0E4E6903" w14:textId="6513768F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Adrián sandoval cordero</w:t>
                      </w:r>
                    </w:p>
                    <w:p w14:paraId="593E045D" w14:textId="149049AE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Inicio PROYECTO: 01-</w:t>
                      </w:r>
                      <w:r w:rsidR="004F137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AGOSTO</w:t>
                      </w: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-2020</w:t>
                      </w:r>
                    </w:p>
                    <w:p w14:paraId="3B3A44D1" w14:textId="77777777" w:rsidR="00875AB1" w:rsidRDefault="00875AB1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31DC93" w14:textId="77777777" w:rsidR="002A4800" w:rsidRPr="004F03EA" w:rsidRDefault="002A4800" w:rsidP="002A4800">
      <w:pPr>
        <w:rPr>
          <w:lang w:val="en-US"/>
        </w:rPr>
      </w:pPr>
    </w:p>
    <w:p w14:paraId="44E7CED1" w14:textId="77777777" w:rsidR="002A4800" w:rsidRPr="004F03EA" w:rsidRDefault="002A4800" w:rsidP="002A4800">
      <w:pPr>
        <w:rPr>
          <w:lang w:val="en-US"/>
        </w:rPr>
      </w:pPr>
    </w:p>
    <w:p w14:paraId="0BF5F27C" w14:textId="77777777" w:rsidR="002A4800" w:rsidRPr="004F03EA" w:rsidRDefault="002A4800" w:rsidP="002A4800">
      <w:pPr>
        <w:rPr>
          <w:lang w:val="en-US"/>
        </w:rPr>
      </w:pPr>
    </w:p>
    <w:p w14:paraId="75642841" w14:textId="77777777" w:rsidR="002A4800" w:rsidRPr="004F03EA" w:rsidRDefault="002A4800" w:rsidP="002A4800">
      <w:pPr>
        <w:rPr>
          <w:lang w:val="en-US"/>
        </w:rPr>
      </w:pPr>
    </w:p>
    <w:p w14:paraId="1E694212" w14:textId="77777777" w:rsidR="002A4800" w:rsidRPr="004F03EA" w:rsidRDefault="002A4800" w:rsidP="002A4800">
      <w:pPr>
        <w:rPr>
          <w:lang w:val="en-US"/>
        </w:rPr>
      </w:pPr>
    </w:p>
    <w:p w14:paraId="47187B24" w14:textId="77777777" w:rsidR="002A4800" w:rsidRPr="004F03EA" w:rsidRDefault="002A4800" w:rsidP="002A4800">
      <w:pPr>
        <w:rPr>
          <w:lang w:val="en-US"/>
        </w:rPr>
      </w:pPr>
    </w:p>
    <w:p w14:paraId="1138DC50" w14:textId="77777777" w:rsidR="002A4800" w:rsidRPr="004F03EA" w:rsidRDefault="002A4800" w:rsidP="002A4800">
      <w:pPr>
        <w:rPr>
          <w:lang w:val="en-US"/>
        </w:rPr>
      </w:pPr>
    </w:p>
    <w:p w14:paraId="4D68A06F" w14:textId="77777777" w:rsidR="002A4800" w:rsidRPr="004F03EA" w:rsidRDefault="002A4800" w:rsidP="002A4800">
      <w:pPr>
        <w:rPr>
          <w:lang w:val="en-US"/>
        </w:rPr>
      </w:pPr>
    </w:p>
    <w:p w14:paraId="41DFA514" w14:textId="77777777" w:rsidR="002A4800" w:rsidRPr="004F03EA" w:rsidRDefault="002A4800" w:rsidP="002A4800">
      <w:pPr>
        <w:rPr>
          <w:lang w:val="en-US"/>
        </w:rPr>
      </w:pPr>
    </w:p>
    <w:p w14:paraId="3BCCD98A" w14:textId="77777777" w:rsidR="002A4800" w:rsidRPr="004F03EA" w:rsidRDefault="002A4800" w:rsidP="002A4800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US"/>
        </w:rPr>
        <w:id w:val="-1534645635"/>
        <w:docPartObj>
          <w:docPartGallery w:val="Table of Contents"/>
          <w:docPartUnique/>
        </w:docPartObj>
      </w:sdtPr>
      <w:sdtEndPr/>
      <w:sdtContent>
        <w:p w14:paraId="3CC264D7" w14:textId="77777777" w:rsidR="002A4800" w:rsidRDefault="002A4800" w:rsidP="002A4800">
          <w:pPr>
            <w:pStyle w:val="TOCHeading"/>
          </w:pPr>
          <w:r>
            <w:t>Introducción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8A3608E" w14:textId="77777777" w:rsidR="002A4800" w:rsidRPr="00B35D8E" w:rsidRDefault="002A4800">
          <w:pPr>
            <w:pStyle w:val="TOC2"/>
            <w:ind w:left="216"/>
            <w:rPr>
              <w:lang w:val="es-MX"/>
            </w:rPr>
          </w:pPr>
          <w:r w:rsidRPr="00B35D8E">
            <w:rPr>
              <w:lang w:val="es-MX"/>
            </w:rPr>
            <w:t>Obtención de Códigos</w:t>
          </w:r>
          <w:r>
            <w:ptab w:relativeTo="margin" w:alignment="right" w:leader="dot"/>
          </w:r>
          <w:r w:rsidRPr="00B35D8E">
            <w:rPr>
              <w:lang w:val="es-MX"/>
            </w:rPr>
            <w:t>2</w:t>
          </w:r>
        </w:p>
        <w:p w14:paraId="7EBBCFE5" w14:textId="77777777" w:rsidR="002A4800" w:rsidRPr="00B35D8E" w:rsidRDefault="002A4800">
          <w:pPr>
            <w:pStyle w:val="TOC3"/>
            <w:ind w:left="446"/>
            <w:rPr>
              <w:lang w:val="es-MX"/>
            </w:rPr>
          </w:pPr>
          <w:r w:rsidRPr="00B35D8E">
            <w:rPr>
              <w:lang w:val="es-MX"/>
            </w:rPr>
            <w:t>Definición de Coberturas</w:t>
          </w:r>
          <w:r>
            <w:ptab w:relativeTo="margin" w:alignment="right" w:leader="dot"/>
          </w:r>
          <w:r w:rsidRPr="00B35D8E">
            <w:rPr>
              <w:lang w:val="es-MX"/>
            </w:rPr>
            <w:t>3</w:t>
          </w:r>
        </w:p>
        <w:p w14:paraId="062379C2" w14:textId="77777777" w:rsidR="002A4800" w:rsidRDefault="002A4800">
          <w:pPr>
            <w:pStyle w:val="TOC1"/>
          </w:pPr>
          <w:r>
            <w:rPr>
              <w:b/>
              <w:bCs/>
            </w:rPr>
            <w:t>Procesamiento de Base de Datos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A02BACE" w14:textId="77777777" w:rsidR="002A4800" w:rsidRPr="00B35D8E" w:rsidRDefault="002A4800">
          <w:pPr>
            <w:pStyle w:val="TOC2"/>
            <w:ind w:left="216"/>
            <w:rPr>
              <w:lang w:val="es-MX"/>
            </w:rPr>
          </w:pPr>
          <w:r w:rsidRPr="00B35D8E">
            <w:rPr>
              <w:lang w:val="es-MX"/>
            </w:rPr>
            <w:t xml:space="preserve">Obtención de </w:t>
          </w:r>
          <w:proofErr w:type="spellStart"/>
          <w:r w:rsidRPr="00B35D8E">
            <w:rPr>
              <w:lang w:val="es-MX"/>
            </w:rPr>
            <w:t>Flatfile</w:t>
          </w:r>
          <w:proofErr w:type="spellEnd"/>
          <w:r w:rsidRPr="00B35D8E">
            <w:rPr>
              <w:lang w:val="es-MX"/>
            </w:rPr>
            <w:t xml:space="preserve"> por Ramo</w:t>
          </w:r>
          <w:r>
            <w:ptab w:relativeTo="margin" w:alignment="right" w:leader="dot"/>
          </w:r>
          <w:r w:rsidRPr="00B35D8E">
            <w:rPr>
              <w:lang w:val="es-MX"/>
            </w:rPr>
            <w:t>5</w:t>
          </w:r>
        </w:p>
        <w:p w14:paraId="75C53491" w14:textId="77777777" w:rsidR="002A4800" w:rsidRPr="00B35D8E" w:rsidRDefault="002A4800">
          <w:pPr>
            <w:pStyle w:val="TOC3"/>
            <w:ind w:left="446"/>
            <w:rPr>
              <w:lang w:val="es-MX"/>
            </w:rPr>
          </w:pPr>
          <w:proofErr w:type="spellStart"/>
          <w:r w:rsidRPr="00B35D8E">
            <w:rPr>
              <w:lang w:val="es-MX"/>
            </w:rPr>
            <w:t>Analisis</w:t>
          </w:r>
          <w:proofErr w:type="spellEnd"/>
          <w:r w:rsidRPr="00B35D8E">
            <w:rPr>
              <w:lang w:val="es-MX"/>
            </w:rPr>
            <w:t xml:space="preserve"> de Información</w:t>
          </w:r>
          <w:r>
            <w:ptab w:relativeTo="margin" w:alignment="right" w:leader="dot"/>
          </w:r>
          <w:r w:rsidRPr="00B35D8E">
            <w:rPr>
              <w:lang w:val="es-MX"/>
            </w:rPr>
            <w:t>6</w:t>
          </w:r>
        </w:p>
      </w:sdtContent>
    </w:sdt>
    <w:p w14:paraId="297EA6AC" w14:textId="77777777" w:rsidR="002A4800" w:rsidRDefault="002A4800" w:rsidP="002A4800"/>
    <w:p w14:paraId="7ACCE208" w14:textId="77777777" w:rsidR="002A4800" w:rsidRDefault="002A4800" w:rsidP="002A4800"/>
    <w:p w14:paraId="21084D09" w14:textId="77777777" w:rsidR="002A4800" w:rsidRDefault="002A4800" w:rsidP="002A4800"/>
    <w:p w14:paraId="56801D1F" w14:textId="77777777" w:rsidR="002A4800" w:rsidRDefault="002A4800" w:rsidP="002A4800"/>
    <w:p w14:paraId="0BEA19B6" w14:textId="77777777" w:rsidR="002A4800" w:rsidRDefault="002A4800" w:rsidP="002A4800"/>
    <w:p w14:paraId="2EE920BA" w14:textId="77777777" w:rsidR="002A4800" w:rsidRDefault="002A4800" w:rsidP="002A4800"/>
    <w:p w14:paraId="40994F98" w14:textId="77777777" w:rsidR="002A4800" w:rsidRDefault="002A4800" w:rsidP="002A4800"/>
    <w:p w14:paraId="548F53C2" w14:textId="77777777" w:rsidR="002A4800" w:rsidRDefault="002A4800" w:rsidP="002A4800"/>
    <w:p w14:paraId="198D15A4" w14:textId="77777777" w:rsidR="002A4800" w:rsidRDefault="002A4800" w:rsidP="002A4800"/>
    <w:p w14:paraId="5483F816" w14:textId="77777777" w:rsidR="002A4800" w:rsidRDefault="002A4800" w:rsidP="002A4800"/>
    <w:p w14:paraId="65D15714" w14:textId="77777777" w:rsidR="002A4800" w:rsidRDefault="002A4800" w:rsidP="002A4800"/>
    <w:p w14:paraId="2B069A78" w14:textId="77777777" w:rsidR="002A4800" w:rsidRDefault="002A4800" w:rsidP="002A4800"/>
    <w:p w14:paraId="3760BF44" w14:textId="77777777" w:rsidR="002A4800" w:rsidRDefault="002A4800" w:rsidP="002A4800"/>
    <w:p w14:paraId="15966D18" w14:textId="77777777" w:rsidR="002A4800" w:rsidRDefault="002A4800" w:rsidP="002A4800"/>
    <w:p w14:paraId="46E3FFF2" w14:textId="77777777" w:rsidR="002A4800" w:rsidRDefault="002A4800" w:rsidP="002A4800"/>
    <w:p w14:paraId="33DEB2AB" w14:textId="77777777" w:rsidR="002A4800" w:rsidRDefault="002A4800" w:rsidP="002A4800"/>
    <w:p w14:paraId="0179161A" w14:textId="77777777" w:rsidR="002A4800" w:rsidRDefault="002A4800" w:rsidP="002A4800"/>
    <w:p w14:paraId="1D519DF7" w14:textId="77777777" w:rsidR="002A4800" w:rsidRDefault="002A4800" w:rsidP="002A4800"/>
    <w:p w14:paraId="5F25E140" w14:textId="77777777" w:rsidR="002A4800" w:rsidRDefault="002A4800" w:rsidP="002A4800"/>
    <w:p w14:paraId="4B3F3565" w14:textId="77777777" w:rsidR="00987B62" w:rsidRDefault="00987B62" w:rsidP="002A4800"/>
    <w:p w14:paraId="52F03D74" w14:textId="77777777" w:rsidR="00987B62" w:rsidRDefault="00987B62" w:rsidP="002A4800"/>
    <w:p w14:paraId="65727C35" w14:textId="77777777" w:rsidR="00987B62" w:rsidRDefault="00987B62" w:rsidP="002A4800"/>
    <w:p w14:paraId="7413DAC3" w14:textId="77777777" w:rsidR="002A4800" w:rsidRDefault="002A4800" w:rsidP="002A4800"/>
    <w:p w14:paraId="2D976B70" w14:textId="77777777" w:rsidR="0066173D" w:rsidRDefault="00B35D8E" w:rsidP="0066173D">
      <w:pPr>
        <w:pStyle w:val="Heading1"/>
        <w:jc w:val="left"/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t>Introducción</w:t>
      </w:r>
      <w:r w:rsidR="0066173D" w:rsidRPr="0066173D"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t xml:space="preserve"> </w:t>
      </w:r>
    </w:p>
    <w:p w14:paraId="75AE49BC" w14:textId="430ED521" w:rsidR="00253D20" w:rsidRDefault="00253D20" w:rsidP="0035489B">
      <w:pPr>
        <w:jc w:val="both"/>
      </w:pPr>
      <w:r>
        <w:t>El siguiente documento contienen la descripción técnica sobre la macro así como los supuestos e interpretación.</w:t>
      </w:r>
    </w:p>
    <w:p w14:paraId="42213443" w14:textId="620501F7" w:rsidR="00AE609A" w:rsidRDefault="00253D20" w:rsidP="00AE609A">
      <w:pPr>
        <w:pStyle w:val="Heading1"/>
        <w:jc w:val="left"/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z w:val="24"/>
          <w:szCs w:val="24"/>
          <w:u w:val="none"/>
        </w:rPr>
        <w:t>Estructura General del Documento</w:t>
      </w:r>
    </w:p>
    <w:p w14:paraId="49CCE3CE" w14:textId="375A3300" w:rsidR="00253D20" w:rsidRDefault="00253D20" w:rsidP="00AE609A">
      <w:r>
        <w:t>El documento se compone de la siguiente forma:</w:t>
      </w:r>
    </w:p>
    <w:p w14:paraId="1A6364BD" w14:textId="2D5495A1" w:rsidR="00253D20" w:rsidRDefault="00253D20" w:rsidP="00253D20">
      <w:pPr>
        <w:pStyle w:val="ListParagraph"/>
        <w:numPr>
          <w:ilvl w:val="0"/>
          <w:numId w:val="8"/>
        </w:numPr>
      </w:pPr>
      <w:r>
        <w:t>Descripción de la metodología</w:t>
      </w:r>
    </w:p>
    <w:p w14:paraId="4AC7D987" w14:textId="07590E66" w:rsidR="00253D20" w:rsidRDefault="00253D20" w:rsidP="00253D20">
      <w:pPr>
        <w:pStyle w:val="ListParagraph"/>
        <w:numPr>
          <w:ilvl w:val="0"/>
          <w:numId w:val="8"/>
        </w:numPr>
      </w:pPr>
      <w:r>
        <w:t>Supuestos y Codificación en SAS</w:t>
      </w:r>
    </w:p>
    <w:p w14:paraId="7E8A1393" w14:textId="4AABC3C3" w:rsidR="00253D20" w:rsidRDefault="00253D20" w:rsidP="00253D20">
      <w:pPr>
        <w:pStyle w:val="ListParagraph"/>
        <w:numPr>
          <w:ilvl w:val="0"/>
          <w:numId w:val="8"/>
        </w:numPr>
      </w:pPr>
      <w:r>
        <w:t xml:space="preserve">Interpretación de los </w:t>
      </w:r>
      <w:r w:rsidR="006D70DB">
        <w:rPr>
          <w:i/>
          <w:iCs/>
        </w:rPr>
        <w:t xml:space="preserve">outputs </w:t>
      </w:r>
      <w:r w:rsidR="006D70DB">
        <w:t>de la macro</w:t>
      </w:r>
    </w:p>
    <w:p w14:paraId="3A81DE11" w14:textId="0A4C49B2" w:rsidR="006D70DB" w:rsidRDefault="006D70DB" w:rsidP="006D70DB">
      <w:r>
        <w:t xml:space="preserve">Al </w:t>
      </w:r>
      <w:r w:rsidR="00647171">
        <w:t>mes</w:t>
      </w:r>
      <w:r>
        <w:t xml:space="preserve"> de la creación de la primera versión de este documento</w:t>
      </w:r>
      <w:r w:rsidR="00647171">
        <w:t xml:space="preserve"> (Marzo 2021)</w:t>
      </w:r>
      <w:r>
        <w:t>, la mac</w:t>
      </w:r>
      <w:r w:rsidR="00042E51">
        <w:t xml:space="preserve">ro se encuentra en su tercera versión (adjunta en el anexo bajo el nombre de </w:t>
      </w:r>
      <w:r w:rsidR="002C5604">
        <w:t>“</w:t>
      </w:r>
      <w:r w:rsidR="002C5604" w:rsidRPr="002C5604">
        <w:t>Bootstrapping_v3</w:t>
      </w:r>
      <w:r w:rsidR="002C5604">
        <w:t>”</w:t>
      </w:r>
      <w:r w:rsidR="00042E51">
        <w:t xml:space="preserve">). </w:t>
      </w:r>
    </w:p>
    <w:p w14:paraId="38CBD982" w14:textId="274189D2" w:rsidR="00344338" w:rsidRPr="00330C31" w:rsidRDefault="00344338" w:rsidP="006D70DB">
      <w:pPr>
        <w:rPr>
          <w:rStyle w:val="IntenseReference"/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u w:val="none"/>
        </w:rPr>
      </w:pPr>
      <w:r w:rsidRPr="00330C31">
        <w:rPr>
          <w:rStyle w:val="IntenseReference"/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u w:val="none"/>
        </w:rPr>
        <w:t>1</w:t>
      </w:r>
      <w:r w:rsidR="00330C31">
        <w:rPr>
          <w:rStyle w:val="IntenseReference"/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u w:val="none"/>
        </w:rPr>
        <w:t>.</w:t>
      </w:r>
      <w:r w:rsidRPr="00330C31">
        <w:rPr>
          <w:rStyle w:val="IntenseReference"/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u w:val="none"/>
        </w:rPr>
        <w:t xml:space="preserve"> </w:t>
      </w:r>
      <w:r w:rsidR="00330C31" w:rsidRPr="00330C31">
        <w:rPr>
          <w:rStyle w:val="IntenseReference"/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u w:val="none"/>
        </w:rPr>
        <w:t>DESCRIPCIÓN DE LA METODOLOGÍA</w:t>
      </w:r>
    </w:p>
    <w:p w14:paraId="1E293A2F" w14:textId="57E77130" w:rsidR="00330C31" w:rsidRDefault="00330C31" w:rsidP="009D2F33">
      <w:pPr>
        <w:jc w:val="both"/>
      </w:pPr>
      <w:r>
        <w:t xml:space="preserve">La metodología de </w:t>
      </w:r>
      <w:proofErr w:type="spellStart"/>
      <w:r w:rsidRPr="00D0664F">
        <w:rPr>
          <w:i/>
          <w:iCs/>
        </w:rPr>
        <w:t>Bootstrapping</w:t>
      </w:r>
      <w:proofErr w:type="spellEnd"/>
      <w:r>
        <w:t xml:space="preserve"> </w:t>
      </w:r>
      <w:r w:rsidR="00D0664F">
        <w:t>es una técnica</w:t>
      </w:r>
      <w:r w:rsidR="00444C9F">
        <w:t xml:space="preserve"> de </w:t>
      </w:r>
      <w:proofErr w:type="spellStart"/>
      <w:r w:rsidR="00444C9F">
        <w:t>remuestreo</w:t>
      </w:r>
      <w:proofErr w:type="spellEnd"/>
      <w:r w:rsidR="00444C9F">
        <w:t xml:space="preserve"> usado para</w:t>
      </w:r>
      <w:r w:rsidR="00D0664F">
        <w:t xml:space="preserve"> inferencia estadística</w:t>
      </w:r>
      <w:r w:rsidR="00A00FD0">
        <w:t xml:space="preserve">, se </w:t>
      </w:r>
      <w:r w:rsidR="00D0664F">
        <w:t xml:space="preserve">basa en la creación de una </w:t>
      </w:r>
      <w:r w:rsidR="00E36648">
        <w:t xml:space="preserve">nueva </w:t>
      </w:r>
      <w:r w:rsidR="00D0664F">
        <w:t>muestra</w:t>
      </w:r>
      <w:r w:rsidR="00D91567">
        <w:t xml:space="preserve"> </w:t>
      </w:r>
      <w:r w:rsidR="00CE4358">
        <w:t>(</w:t>
      </w:r>
      <w:r w:rsidR="00D91567">
        <w:t>de nuestra muestra observada</w:t>
      </w:r>
      <w:r w:rsidR="009D2F33">
        <w:t xml:space="preserve"> original</w:t>
      </w:r>
      <w:r w:rsidR="00CE4358">
        <w:t>) para pode</w:t>
      </w:r>
      <w:r w:rsidR="00A00594">
        <w:t>r</w:t>
      </w:r>
      <w:r w:rsidR="00CE4358">
        <w:t xml:space="preserve"> </w:t>
      </w:r>
      <w:r w:rsidR="00535F96">
        <w:t xml:space="preserve">hacer una estimación sobre las estadísticas poblacionales </w:t>
      </w:r>
      <w:r w:rsidR="00CD2A2A">
        <w:t xml:space="preserve">(entiéndase estadística como función de </w:t>
      </w:r>
      <w:r w:rsidR="00230AB6">
        <w:t xml:space="preserve">algún parámetro poblacional es decir </w:t>
      </w:r>
      <m:oMath>
        <m:r>
          <w:rPr>
            <w:rFonts w:ascii="Cambria Math" w:hAnsi="Cambria Math"/>
          </w:rPr>
          <m:t>θ=t(P)</m:t>
        </m:r>
      </m:oMath>
      <w:r w:rsidR="00CD2A2A">
        <w:t>).</w:t>
      </w:r>
    </w:p>
    <w:p w14:paraId="48AD0286" w14:textId="79A2A5C5" w:rsidR="00535F96" w:rsidRPr="002C590A" w:rsidRDefault="002C590A" w:rsidP="009D2F33">
      <w:pPr>
        <w:jc w:val="both"/>
      </w:pPr>
      <w:r>
        <w:t xml:space="preserve">La idea general de </w:t>
      </w:r>
      <w:proofErr w:type="spellStart"/>
      <w:r w:rsidRPr="00D0664F">
        <w:rPr>
          <w:i/>
          <w:iCs/>
        </w:rPr>
        <w:t>Bootstrapping</w:t>
      </w:r>
      <w:proofErr w:type="spellEnd"/>
      <w:r>
        <w:rPr>
          <w:i/>
          <w:iCs/>
        </w:rPr>
        <w:t xml:space="preserve"> </w:t>
      </w:r>
      <w:r>
        <w:t xml:space="preserve">se puede resumir de la siguiente forma: </w:t>
      </w:r>
      <w:r w:rsidR="00162B04">
        <w:t>La</w:t>
      </w:r>
      <w:r w:rsidR="00EC1048">
        <w:t xml:space="preserve"> población es a la muestra así como ésta muestra es a la submuestra.</w:t>
      </w:r>
    </w:p>
    <w:p w14:paraId="2F991555" w14:textId="7D667740" w:rsidR="00444C9F" w:rsidRDefault="00444C9F" w:rsidP="006D70DB">
      <w:r>
        <w:t>Su</w:t>
      </w:r>
      <w:r w:rsidR="00D42533">
        <w:t>pongamos que sacamos una muestra</w:t>
      </w:r>
      <w:r w:rsidR="00E969B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D42533">
        <w:t xml:space="preserve"> </w:t>
      </w:r>
      <w:r w:rsidR="009B5240">
        <w:t xml:space="preserve">de una población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0016A4">
        <w:t xml:space="preserve"> y </w:t>
      </w:r>
      <w:r w:rsidR="000E0514">
        <w:t xml:space="preserve">estamos interesados en estimar un parámetro </w:t>
      </w:r>
      <w:r w:rsidR="00BD6467">
        <w:t>poblacional</w:t>
      </w:r>
      <w:r w:rsidR="000E0514">
        <w:t xml:space="preserve">, digamos </w:t>
      </w:r>
      <m:oMath>
        <m:r>
          <w:rPr>
            <w:rFonts w:ascii="Cambria Math" w:hAnsi="Cambria Math"/>
          </w:rPr>
          <m:t>θ=t(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 w:rsidR="00AC55FF">
        <w:t xml:space="preserve"> (este parámetro puede ser un vector)</w:t>
      </w:r>
      <w:r w:rsidR="001C29C9">
        <w:t xml:space="preserve">. </w:t>
      </w:r>
    </w:p>
    <w:p w14:paraId="5B6B8C07" w14:textId="57BA9D40" w:rsidR="001C29C9" w:rsidRDefault="001C29C9" w:rsidP="004237AB">
      <w:pPr>
        <w:jc w:val="both"/>
      </w:pPr>
      <w:r>
        <w:t xml:space="preserve">Para poder hacer inferencia sobre el parámetro </w:t>
      </w:r>
      <w:r w:rsidR="00BD6467">
        <w:t>poblacional mencionado arriba</w:t>
      </w:r>
      <w:r w:rsidR="00EB137A">
        <w:t>,</w:t>
      </w:r>
      <w:r w:rsidR="00BD6467">
        <w:t xml:space="preserve"> se necesita crear una </w:t>
      </w:r>
      <w:r w:rsidR="00336231">
        <w:t>sub</w:t>
      </w:r>
      <w:r w:rsidR="00BD6467">
        <w:t>muestra</w:t>
      </w:r>
      <w:r w:rsidR="004E6254">
        <w:t xml:space="preserve"> con reemplazo</w:t>
      </w:r>
      <w:r w:rsidR="00BD6467">
        <w:t xml:space="preserve"> basad</w:t>
      </w:r>
      <w:r w:rsidR="0010466A">
        <w:t>o</w:t>
      </w:r>
      <w:r w:rsidR="00BD6467"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3A5836">
        <w:rPr>
          <w:b/>
          <w:bCs/>
        </w:rPr>
        <w:t xml:space="preserve"> </w:t>
      </w:r>
      <w:r w:rsidR="00330777">
        <w:t xml:space="preserve">y que </w:t>
      </w:r>
      <w:r w:rsidR="003A5836">
        <w:t>llama</w:t>
      </w:r>
      <w:r w:rsidR="00330777">
        <w:t>remos</w:t>
      </w:r>
      <w:r w:rsidR="00F327DE">
        <w:t xml:space="preserve"> </w:t>
      </w:r>
      <w:r w:rsidR="00F327DE" w:rsidRPr="00F327DE">
        <w:rPr>
          <w:i/>
          <w:iCs/>
        </w:rPr>
        <w:t xml:space="preserve">Bootstrap </w:t>
      </w:r>
      <w:proofErr w:type="spellStart"/>
      <w:r w:rsidR="00F327DE" w:rsidRPr="00F327DE">
        <w:rPr>
          <w:i/>
          <w:iCs/>
        </w:rPr>
        <w:t>sample</w:t>
      </w:r>
      <w:proofErr w:type="spellEnd"/>
      <w:r w:rsidR="00F327DE">
        <w:rPr>
          <w:i/>
          <w:iCs/>
        </w:rPr>
        <w:t xml:space="preserve"> </w:t>
      </w:r>
      <w:r w:rsidR="003921FE">
        <w:t>denotada</w:t>
      </w:r>
      <w:r w:rsidR="003A5836" w:rsidRPr="00F327DE">
        <w:rPr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30777">
        <w:t xml:space="preserve"> </w:t>
      </w:r>
      <w:r w:rsidR="006E18C8">
        <w:t xml:space="preserve">, </w:t>
      </w:r>
      <w:r w:rsidR="009E406A">
        <w:t xml:space="preserve">algunos métodos alternativos </w:t>
      </w:r>
      <w:r w:rsidR="003A5836">
        <w:t>sugieren</w:t>
      </w:r>
      <w:r w:rsidR="00330777">
        <w:t xml:space="preserve"> que ésta nueva muestra sea creada de </w:t>
      </w:r>
      <w:r w:rsidR="00F1453B">
        <w:t xml:space="preserve">la misma forma </w:t>
      </w:r>
      <w:r w:rsidR="00C44E98">
        <w:t>en la que se creó la muestra original</w:t>
      </w:r>
      <w:r w:rsidR="006E18C8">
        <w:t>; sin embargo, la macro</w:t>
      </w:r>
      <w:r w:rsidR="00336231">
        <w:t xml:space="preserve"> implementada en SAS</w:t>
      </w:r>
      <w:r w:rsidR="006E18C8">
        <w:t xml:space="preserve"> crea la </w:t>
      </w:r>
      <w:r w:rsidR="00BC1C5C">
        <w:t>sub</w:t>
      </w:r>
      <w:r w:rsidR="006E18C8">
        <w:t>muestra usando el método de Muestreo Simple con Reemplazo</w:t>
      </w:r>
      <w:r w:rsidR="00310C8E">
        <w:t>,</w:t>
      </w:r>
      <w:r w:rsidR="004237AB">
        <w:t xml:space="preserve"> que consiste en que cada elemento</w:t>
      </w:r>
      <w:r w:rsidR="000171C8">
        <w:t xml:space="preserve"> de la muestra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4237AB">
        <w:t xml:space="preserve"> tiene la misma probabilidad de ser seleccionado</w:t>
      </w:r>
      <w:r w:rsidR="000171C8">
        <w:t xml:space="preserve"> (la probabilidad exacta 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171C8">
        <w:t xml:space="preserve">) </w:t>
      </w:r>
      <w:r w:rsidR="004237AB">
        <w:t xml:space="preserve"> y </w:t>
      </w:r>
      <w:r w:rsidR="000171C8">
        <w:t>cada elemento s</w:t>
      </w:r>
      <w:r w:rsidR="00253856">
        <w:t>e</w:t>
      </w:r>
      <w:r w:rsidR="004237AB">
        <w:t xml:space="preserve"> puede elegir más de una vez.</w:t>
      </w:r>
    </w:p>
    <w:p w14:paraId="3ABB03A0" w14:textId="77777777" w:rsidR="00336231" w:rsidRDefault="00336231" w:rsidP="004237AB">
      <w:pPr>
        <w:jc w:val="both"/>
      </w:pPr>
    </w:p>
    <w:p w14:paraId="680BCCA5" w14:textId="19D98B74" w:rsidR="00074071" w:rsidRDefault="00074071" w:rsidP="004237AB">
      <w:pPr>
        <w:jc w:val="both"/>
        <w:rPr>
          <w:iCs/>
        </w:rPr>
      </w:pPr>
      <w:r>
        <w:t xml:space="preserve">La creación de esta nueva </w:t>
      </w:r>
      <w:r w:rsidR="00336231">
        <w:t>sub</w:t>
      </w:r>
      <w:r>
        <w:t xml:space="preserve">muestra se replica </w:t>
      </w:r>
      <w:r w:rsidR="00404796">
        <w:t>b-veces</w:t>
      </w:r>
      <w:r w:rsidR="005F18EF">
        <w:t>, la b-</w:t>
      </w:r>
      <w:proofErr w:type="spellStart"/>
      <w:r w:rsidR="005F18EF">
        <w:t>ésima</w:t>
      </w:r>
      <w:proofErr w:type="spellEnd"/>
      <w:r w:rsidR="005F18EF">
        <w:t xml:space="preserve"> </w:t>
      </w:r>
      <w:r w:rsidR="005F18EF" w:rsidRPr="00F327DE">
        <w:rPr>
          <w:i/>
          <w:iCs/>
        </w:rPr>
        <w:t xml:space="preserve">Bootstrap </w:t>
      </w:r>
      <w:proofErr w:type="spellStart"/>
      <w:r w:rsidR="005F18EF" w:rsidRPr="00F327DE">
        <w:rPr>
          <w:i/>
          <w:iCs/>
        </w:rPr>
        <w:t>sample</w:t>
      </w:r>
      <w:proofErr w:type="spellEnd"/>
      <w:r w:rsidR="005F18EF">
        <w:rPr>
          <w:i/>
          <w:iCs/>
        </w:rPr>
        <w:t xml:space="preserve"> </w:t>
      </w:r>
      <w:r w:rsidR="005F18EF">
        <w:t>se denotará</w:t>
      </w:r>
      <w:r w:rsidR="005F18EF" w:rsidRPr="00F327DE">
        <w:rPr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11CA1">
        <w:rPr>
          <w:iCs/>
        </w:rPr>
        <w:t>.</w:t>
      </w:r>
    </w:p>
    <w:p w14:paraId="74396792" w14:textId="6B3C6DEF" w:rsidR="00DC7D22" w:rsidRDefault="00DC7D22" w:rsidP="004237AB">
      <w:pPr>
        <w:jc w:val="both"/>
      </w:pPr>
      <w:r>
        <w:rPr>
          <w:iCs/>
        </w:rPr>
        <w:lastRenderedPageBreak/>
        <w:t xml:space="preserve">Se estimará el parámetro poblacional </w:t>
      </w:r>
      <w:r w:rsidR="007E1A35">
        <w:rPr>
          <w:iCs/>
        </w:rPr>
        <w:t xml:space="preserve">con cada una de los </w:t>
      </w:r>
      <w:r w:rsidR="007E1A35" w:rsidRPr="00F327DE">
        <w:rPr>
          <w:i/>
          <w:iCs/>
        </w:rPr>
        <w:t xml:space="preserve">Bootstrap </w:t>
      </w:r>
      <w:proofErr w:type="spellStart"/>
      <w:r w:rsidR="007E1A35" w:rsidRPr="00F327DE">
        <w:rPr>
          <w:i/>
          <w:iCs/>
        </w:rPr>
        <w:t>sample</w:t>
      </w:r>
      <w:proofErr w:type="spellEnd"/>
      <w:r w:rsidR="00766C38">
        <w:t>.</w:t>
      </w:r>
    </w:p>
    <w:p w14:paraId="08526383" w14:textId="515E8B84" w:rsidR="00766C38" w:rsidRPr="00CA3044" w:rsidRDefault="004F03EA" w:rsidP="00766C38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=t(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31B1D7F" w14:textId="337174A9" w:rsidR="00CA3044" w:rsidRDefault="00CA3044" w:rsidP="00CA3044">
      <w:r>
        <w:t xml:space="preserve">La distribución 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</w:t>
      </w:r>
      <w:r w:rsidR="00E937C2">
        <w:t xml:space="preserve">para </w:t>
      </w:r>
      <w:r w:rsidR="00DE7EA9">
        <w:t xml:space="preserve">estimar </w:t>
      </w:r>
      <m:oMath>
        <m:r>
          <w:rPr>
            <w:rFonts w:ascii="Cambria Math" w:hAnsi="Cambria Math"/>
          </w:rPr>
          <m:t>T</m:t>
        </m:r>
      </m:oMath>
      <w:r w:rsidR="00DE7EA9">
        <w:t xml:space="preserve"> es análoga </w:t>
      </w:r>
      <w:r w:rsidR="00146579">
        <w:t xml:space="preserve">a la distribución </w:t>
      </w:r>
      <m:oMath>
        <m:r>
          <w:rPr>
            <w:rFonts w:ascii="Cambria Math" w:hAnsi="Cambria Math"/>
          </w:rPr>
          <m:t>T</m:t>
        </m:r>
      </m:oMath>
      <w:r w:rsidR="00146579">
        <w:t xml:space="preserve"> para estimar </w:t>
      </w:r>
      <m:oMath>
        <m:r>
          <w:rPr>
            <w:rFonts w:ascii="Cambria Math" w:hAnsi="Cambria Math"/>
          </w:rPr>
          <m:t>θ</m:t>
        </m:r>
      </m:oMath>
      <w:r w:rsidR="00146579">
        <w:t>.</w:t>
      </w:r>
    </w:p>
    <w:p w14:paraId="22953AFB" w14:textId="6A09419F" w:rsidR="000807B4" w:rsidRDefault="000807B4" w:rsidP="00CA3044">
      <w:r>
        <w:t xml:space="preserve">Con el parámetro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B176D">
        <w:t xml:space="preserve"> se puede generar una estimación para la muestra poblacional</w:t>
      </w:r>
      <w:r w:rsidR="002B6CAE">
        <w:t>.</w:t>
      </w:r>
    </w:p>
    <w:p w14:paraId="00276F52" w14:textId="6882B015" w:rsidR="00C25311" w:rsidRDefault="00C25311" w:rsidP="00CA3044">
      <w:r>
        <w:t xml:space="preserve">Aplicado en términos de los </w:t>
      </w:r>
      <w:r w:rsidR="008D1856">
        <w:t>M</w:t>
      </w:r>
      <w:r>
        <w:t xml:space="preserve">odelos </w:t>
      </w:r>
      <w:proofErr w:type="spellStart"/>
      <w:r>
        <w:t>Linelaes</w:t>
      </w:r>
      <w:proofErr w:type="spellEnd"/>
      <w:r>
        <w:t xml:space="preserve"> Generalizados </w:t>
      </w:r>
      <w:r w:rsidR="008D1856">
        <w:t xml:space="preserve">(GLM por sus siglas en inglés </w:t>
      </w:r>
      <w:proofErr w:type="spellStart"/>
      <w:r w:rsidR="008D1856" w:rsidRPr="008D1856">
        <w:rPr>
          <w:i/>
          <w:iCs/>
        </w:rPr>
        <w:t>Generalized</w:t>
      </w:r>
      <w:proofErr w:type="spellEnd"/>
      <w:r w:rsidR="008D1856" w:rsidRPr="008D1856">
        <w:rPr>
          <w:i/>
          <w:iCs/>
        </w:rPr>
        <w:t xml:space="preserve"> Linear </w:t>
      </w:r>
      <w:proofErr w:type="spellStart"/>
      <w:r w:rsidR="008D1856" w:rsidRPr="008D1856">
        <w:rPr>
          <w:i/>
          <w:iCs/>
        </w:rPr>
        <w:t>Models</w:t>
      </w:r>
      <w:proofErr w:type="spellEnd"/>
      <w:r w:rsidR="008D1856">
        <w:t>)</w:t>
      </w:r>
      <w:r w:rsidR="00006C53">
        <w:t xml:space="preserve">, le técnica </w:t>
      </w:r>
      <w:r w:rsidR="003F0611">
        <w:t>aplicada sigue el siguiente algoritmo.</w:t>
      </w:r>
    </w:p>
    <w:p w14:paraId="6B15FA53" w14:textId="7904CC6F" w:rsidR="003F0611" w:rsidRDefault="003F0611" w:rsidP="00CA3044">
      <w:pPr>
        <w:rPr>
          <w:b/>
          <w:bCs/>
        </w:rPr>
      </w:pPr>
      <w:r w:rsidRPr="003F0611">
        <w:rPr>
          <w:b/>
          <w:bCs/>
        </w:rPr>
        <w:t xml:space="preserve">Algoritmo de SAS </w:t>
      </w:r>
    </w:p>
    <w:p w14:paraId="4823AC3E" w14:textId="76126921" w:rsidR="003F0611" w:rsidRPr="00CE3009" w:rsidRDefault="00282F74" w:rsidP="003F0611">
      <w:pPr>
        <w:pStyle w:val="ListParagraph"/>
        <w:numPr>
          <w:ilvl w:val="0"/>
          <w:numId w:val="9"/>
        </w:numPr>
      </w:pPr>
      <w:r>
        <w:t>Tenemos una muestra y mediante la técnica de Muestreo Simple con Reemplazo</w:t>
      </w:r>
      <w:r w:rsidR="00F448DB">
        <w:t xml:space="preserve"> (</w:t>
      </w:r>
      <w:proofErr w:type="spellStart"/>
      <w:r w:rsidR="00F448DB">
        <w:t>MS</w:t>
      </w:r>
      <w:r w:rsidR="00994C79">
        <w:t>c</w:t>
      </w:r>
      <w:r w:rsidR="00F448DB">
        <w:t>R</w:t>
      </w:r>
      <w:proofErr w:type="spellEnd"/>
      <w:r w:rsidR="00F448DB">
        <w:t>)</w:t>
      </w:r>
      <w:r>
        <w:t xml:space="preserve"> se </w:t>
      </w:r>
      <w:r w:rsidR="00CE3009">
        <w:t xml:space="preserve">encuentra el </w:t>
      </w:r>
      <w:r w:rsidR="00CE3009" w:rsidRPr="00F327DE">
        <w:rPr>
          <w:i/>
          <w:iCs/>
        </w:rPr>
        <w:t xml:space="preserve">Bootstrap </w:t>
      </w:r>
      <w:proofErr w:type="spellStart"/>
      <w:r w:rsidR="00CE3009" w:rsidRPr="00F327DE">
        <w:rPr>
          <w:i/>
          <w:iCs/>
        </w:rPr>
        <w:t>sample</w:t>
      </w:r>
      <w:proofErr w:type="spellEnd"/>
    </w:p>
    <w:p w14:paraId="04EF9776" w14:textId="3B581FBC" w:rsidR="00D91147" w:rsidRPr="009B0A63" w:rsidRDefault="007619DE" w:rsidP="007619DE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Muestra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MScR</m:t>
                  </m:r>
                </m:e>
              </m:groupChr>
            </m:e>
          </m:box>
          <m:r>
            <w:rPr>
              <w:rFonts w:ascii="Cambria Math" w:hAnsi="Cambria Math"/>
            </w:rPr>
            <m:t>Bootstrap sample</m:t>
          </m:r>
        </m:oMath>
      </m:oMathPara>
    </w:p>
    <w:p w14:paraId="5CC1AC1C" w14:textId="52BD2323" w:rsidR="009B0A63" w:rsidRDefault="00CC48F9" w:rsidP="009B0A63">
      <w:pPr>
        <w:pStyle w:val="ListParagraph"/>
        <w:numPr>
          <w:ilvl w:val="0"/>
          <w:numId w:val="9"/>
        </w:numPr>
      </w:pPr>
      <w:r>
        <w:t xml:space="preserve">Se repite el </w:t>
      </w:r>
      <w:r w:rsidRPr="00CC48F9">
        <w:rPr>
          <w:b/>
          <w:bCs/>
        </w:rPr>
        <w:t>Paso 1</w:t>
      </w:r>
      <w:r>
        <w:t xml:space="preserve"> b-veces</w:t>
      </w:r>
    </w:p>
    <w:p w14:paraId="3CF9DDDE" w14:textId="3EC635CE" w:rsidR="00CC48F9" w:rsidRDefault="000F76DD" w:rsidP="000A4293">
      <w:pPr>
        <w:jc w:val="center"/>
      </w:pPr>
      <m:oMathPara>
        <m:oMath>
          <m:r>
            <w:rPr>
              <w:rFonts w:ascii="Cambria Math" w:hAnsi="Cambria Math"/>
            </w:rPr>
            <m:t xml:space="preserve">Muestra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MScR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Bootstrap sample 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Bootstrap sample b</m:t>
                  </m:r>
                </m:e>
              </m:eqArr>
            </m:e>
          </m:d>
        </m:oMath>
      </m:oMathPara>
    </w:p>
    <w:p w14:paraId="79662798" w14:textId="2B2847A0" w:rsidR="00CC48F9" w:rsidRDefault="00994C79" w:rsidP="00994C79">
      <w:pPr>
        <w:pStyle w:val="ListParagraph"/>
        <w:numPr>
          <w:ilvl w:val="0"/>
          <w:numId w:val="9"/>
        </w:numPr>
      </w:pPr>
      <w:r>
        <w:t>Con cada muestra se crea una estimación de los coeficientes</w:t>
      </w:r>
      <w:r w:rsidR="00572EF8">
        <w:t xml:space="preserve"> del modelo</w:t>
      </w:r>
    </w:p>
    <w:p w14:paraId="4350A063" w14:textId="77777777" w:rsidR="00E555A7" w:rsidRDefault="00E555A7" w:rsidP="00E555A7">
      <w:pPr>
        <w:pStyle w:val="ListParagraph"/>
      </w:pPr>
    </w:p>
    <w:p w14:paraId="294EE347" w14:textId="518C690D" w:rsidR="00572EF8" w:rsidRPr="0070418F" w:rsidRDefault="004F03EA" w:rsidP="00572EF8">
      <w:pPr>
        <w:pStyle w:val="ListParagraph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Bootstrap sample 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Bootstrap sample 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GLM</m:t>
                  </m:r>
                </m:e>
              </m:groupCh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w:bookmarkStart w:id="0" w:name="_Hlk66958772"/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/>
                        </w:rPr>
                        <m:t>=(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  <w:bookmarkEnd w:id="0"/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/>
                        </w:rPr>
                        <m:t>=(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d>
            </m:e>
          </m:box>
        </m:oMath>
      </m:oMathPara>
    </w:p>
    <w:p w14:paraId="5505C48E" w14:textId="0C439F75" w:rsidR="0070418F" w:rsidRDefault="0070418F" w:rsidP="0070418F">
      <w:pPr>
        <w:pStyle w:val="ListParagraph"/>
      </w:pPr>
    </w:p>
    <w:p w14:paraId="194901C1" w14:textId="51206B90" w:rsidR="0070418F" w:rsidRDefault="002911C3" w:rsidP="0070418F">
      <w:pPr>
        <w:pStyle w:val="ListParagraph"/>
        <w:numPr>
          <w:ilvl w:val="0"/>
          <w:numId w:val="9"/>
        </w:numPr>
      </w:pPr>
      <w:r>
        <w:t>Se calculan l</w:t>
      </w:r>
      <w:r w:rsidR="00924C3E">
        <w:t>as siguientes métricas</w:t>
      </w:r>
      <w:r w:rsidR="005B62A9">
        <w:t xml:space="preserve"> </w:t>
      </w:r>
    </w:p>
    <w:p w14:paraId="092337A9" w14:textId="271AF80E" w:rsidR="00924C3E" w:rsidRDefault="00924C3E" w:rsidP="00924C3E">
      <w:pPr>
        <w:pStyle w:val="ListParagraph"/>
      </w:pPr>
    </w:p>
    <w:p w14:paraId="5686B90C" w14:textId="6916EF39" w:rsidR="00FD14E4" w:rsidRPr="0070418F" w:rsidRDefault="004F03EA" w:rsidP="00FD14E4">
      <w:pPr>
        <w:pStyle w:val="ListParagraph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=(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=(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Promedio</m:t>
                  </m:r>
                </m:e>
              </m:groupCh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Boots-Prom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=Promedio(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Boots-Prom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=Promedio(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d>
            </m:e>
          </m:box>
        </m:oMath>
      </m:oMathPara>
    </w:p>
    <w:p w14:paraId="50AB0AA0" w14:textId="655DD2F4" w:rsidR="00924C3E" w:rsidRDefault="00924C3E" w:rsidP="00924C3E">
      <w:pPr>
        <w:pStyle w:val="ListParagraph"/>
        <w:jc w:val="center"/>
      </w:pPr>
    </w:p>
    <w:p w14:paraId="5B72BCF2" w14:textId="5BC775BE" w:rsidR="000434A0" w:rsidRDefault="000434A0" w:rsidP="00924C3E">
      <w:pPr>
        <w:pStyle w:val="ListParagraph"/>
        <w:jc w:val="center"/>
      </w:pPr>
    </w:p>
    <w:p w14:paraId="0DFCCE19" w14:textId="367B40EA" w:rsidR="000434A0" w:rsidRDefault="000434A0" w:rsidP="00924C3E">
      <w:pPr>
        <w:pStyle w:val="ListParagraph"/>
        <w:jc w:val="center"/>
      </w:pPr>
    </w:p>
    <w:p w14:paraId="1ED4E74E" w14:textId="7474E12E" w:rsidR="000434A0" w:rsidRPr="0070418F" w:rsidRDefault="004F03EA" w:rsidP="000434A0">
      <w:pPr>
        <w:pStyle w:val="ListParagraph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=(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=(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Desviación Estándard</m:t>
                  </m:r>
                </m:e>
              </m:groupCh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Boots-Desv. Est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=Desviación Estándar(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Boots-Desv.Est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=Desviación Estándar(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,…,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d>
            </m:e>
          </m:box>
        </m:oMath>
      </m:oMathPara>
    </w:p>
    <w:p w14:paraId="317634D0" w14:textId="1E932959" w:rsidR="000434A0" w:rsidRDefault="000434A0" w:rsidP="00201000">
      <w:pPr>
        <w:pStyle w:val="ListParagraph"/>
      </w:pPr>
    </w:p>
    <w:p w14:paraId="0EA601B1" w14:textId="3D998CBC" w:rsidR="00201000" w:rsidRDefault="00201000" w:rsidP="00201000">
      <w:pPr>
        <w:pStyle w:val="ListParagraph"/>
      </w:pPr>
    </w:p>
    <w:p w14:paraId="46B8D4A6" w14:textId="77777777" w:rsidR="00D37A65" w:rsidRDefault="00D37A65" w:rsidP="00201000">
      <w:pPr>
        <w:pStyle w:val="ListParagraph"/>
      </w:pPr>
    </w:p>
    <w:p w14:paraId="1C2D1CDA" w14:textId="09B890BE" w:rsidR="00201000" w:rsidRDefault="00201000" w:rsidP="00201000">
      <w:pPr>
        <w:pStyle w:val="ListParagraph"/>
      </w:pPr>
    </w:p>
    <w:p w14:paraId="08958FAF" w14:textId="656C0FC7" w:rsidR="00201000" w:rsidRDefault="00201000" w:rsidP="00201000">
      <w:pPr>
        <w:pStyle w:val="ListParagraph"/>
        <w:numPr>
          <w:ilvl w:val="0"/>
          <w:numId w:val="9"/>
        </w:numPr>
      </w:pPr>
      <w:r>
        <w:t>Con las métricas se calcula l</w:t>
      </w:r>
      <w:r w:rsidR="00127514">
        <w:t>os siguientes intervalos de confianza</w:t>
      </w:r>
      <w:r w:rsidR="009D4520">
        <w:t xml:space="preserve"> (IC)</w:t>
      </w:r>
    </w:p>
    <w:p w14:paraId="7DA62652" w14:textId="77777777" w:rsidR="009478DF" w:rsidRDefault="009478DF" w:rsidP="009478DF">
      <w:pPr>
        <w:pStyle w:val="ListParagraph"/>
      </w:pPr>
    </w:p>
    <w:p w14:paraId="2BBA2AD5" w14:textId="488FA366" w:rsidR="00FA7D31" w:rsidRDefault="00D37A65" w:rsidP="00936CF3">
      <w:pPr>
        <w:pStyle w:val="ListParagraph"/>
        <w:numPr>
          <w:ilvl w:val="0"/>
          <w:numId w:val="12"/>
        </w:numPr>
      </w:pPr>
      <w:r>
        <w:t xml:space="preserve">Metodología 1, </w:t>
      </w:r>
      <w:r w:rsidR="00300D06">
        <w:t>hace uso de los promedios calculados en el paso anterior</w:t>
      </w:r>
      <w:r w:rsidR="000116A4">
        <w:t xml:space="preserve"> para encontrar el IC para </w:t>
      </w:r>
      <w:r w:rsidR="009056F4">
        <w:t>el j-</w:t>
      </w:r>
      <w:proofErr w:type="spellStart"/>
      <w:r w:rsidR="009056F4">
        <w:t>ésimo</w:t>
      </w:r>
      <w:proofErr w:type="spellEnd"/>
      <w:r w:rsidR="009056F4">
        <w:t xml:space="preserve"> coeficiente del modelo</w:t>
      </w:r>
    </w:p>
    <w:p w14:paraId="35DB0DF9" w14:textId="2FB3CCD2" w:rsidR="00300D06" w:rsidRDefault="00300D06" w:rsidP="00300D06">
      <w:pPr>
        <w:pStyle w:val="ListParagraph"/>
        <w:ind w:left="1440"/>
      </w:pPr>
    </w:p>
    <w:p w14:paraId="1FC55315" w14:textId="2206AA27" w:rsidR="00300D06" w:rsidRPr="004A4415" w:rsidRDefault="004F03EA" w:rsidP="00496AE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Boots-Prom</m:t>
                  </m:r>
                </m:sup>
              </m:sSubSup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Boots-Desv. Est</m:t>
                  </m:r>
                </m:sup>
              </m:sSubSup>
            </m:e>
          </m:acc>
        </m:oMath>
      </m:oMathPara>
    </w:p>
    <w:p w14:paraId="493FA951" w14:textId="4C729B6B" w:rsidR="004A4415" w:rsidRDefault="00496AE7" w:rsidP="00300D06">
      <w:pPr>
        <w:pStyle w:val="ListParagraph"/>
        <w:ind w:left="1440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BF5278">
        <w:t xml:space="preserve"> es el </w:t>
      </w:r>
      <w:r w:rsidR="00A376EC">
        <w:t xml:space="preserve">cuantil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76EC">
        <w:t xml:space="preserve"> de la distribución normal </w:t>
      </w:r>
      <w:r w:rsidR="004E082F">
        <w:t xml:space="preserve">estándar (por ejemplo si </w:t>
      </w:r>
      <m:oMath>
        <m:r>
          <w:rPr>
            <w:rFonts w:ascii="Cambria Math" w:hAnsi="Cambria Math"/>
          </w:rPr>
          <m:t>α=0.05</m:t>
        </m:r>
      </m:oMath>
      <w:r w:rsidR="003D5BC9">
        <w:t xml:space="preserve">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95%</m:t>
            </m:r>
          </m:sub>
        </m:sSub>
        <m:r>
          <w:rPr>
            <w:rFonts w:ascii="Cambria Math" w:hAnsi="Cambria Math"/>
          </w:rPr>
          <m:t>=1.96</m:t>
        </m:r>
      </m:oMath>
      <w:r w:rsidR="004E082F">
        <w:t>)</w:t>
      </w:r>
    </w:p>
    <w:p w14:paraId="2C862A7E" w14:textId="77777777" w:rsidR="00496AE7" w:rsidRPr="004A4415" w:rsidRDefault="00496AE7" w:rsidP="00300D06">
      <w:pPr>
        <w:pStyle w:val="ListParagraph"/>
        <w:ind w:left="1440"/>
      </w:pPr>
    </w:p>
    <w:p w14:paraId="0AD3AFBA" w14:textId="550DF435" w:rsidR="004A4415" w:rsidRDefault="004A4415" w:rsidP="00936CF3">
      <w:pPr>
        <w:pStyle w:val="ListParagraph"/>
        <w:numPr>
          <w:ilvl w:val="0"/>
          <w:numId w:val="12"/>
        </w:numPr>
      </w:pPr>
      <w:r>
        <w:t xml:space="preserve">Metodología 2, se hace uso de los cuantiles obtenidos mediante el </w:t>
      </w:r>
      <w:proofErr w:type="spellStart"/>
      <w:r>
        <w:t>remuestreo</w:t>
      </w:r>
      <w:proofErr w:type="spellEnd"/>
    </w:p>
    <w:p w14:paraId="1FD42D7C" w14:textId="021379D7" w:rsidR="00BA4BF9" w:rsidRDefault="004F03EA" w:rsidP="00EE4988">
      <w:pPr>
        <w:pStyle w:val="ListParagraph"/>
        <w:ind w:left="144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(inferior)</m:t>
              </m:r>
            </m:sup>
          </m:sSub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(superior)</m:t>
              </m:r>
            </m:sup>
          </m:sSubSup>
        </m:oMath>
      </m:oMathPara>
    </w:p>
    <w:p w14:paraId="4423093C" w14:textId="0F262016" w:rsidR="004A4415" w:rsidRDefault="004A4415" w:rsidP="004A4415">
      <w:pPr>
        <w:pStyle w:val="ListParagraph"/>
        <w:ind w:left="1440"/>
      </w:pPr>
    </w:p>
    <w:p w14:paraId="093EF980" w14:textId="1CC4E8A0" w:rsidR="00A8044B" w:rsidRDefault="009D2A3C" w:rsidP="00A8044B">
      <w:pPr>
        <w:ind w:left="1416" w:firstLine="4"/>
        <w:jc w:val="both"/>
      </w:pPr>
      <w:r>
        <w:t xml:space="preserve">Donde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(inferior)</m:t>
            </m:r>
          </m:sup>
        </m:sSubSup>
      </m:oMath>
      <w:r>
        <w:t xml:space="preserve"> es el </w:t>
      </w:r>
      <w:r w:rsidR="00F8783C">
        <w:t>cuartil</w:t>
      </w:r>
      <w:r w:rsidR="00171BE5">
        <w:t xml:space="preserve"> inferior </w:t>
      </w:r>
      <w:r w:rsidR="008A2B5F">
        <w:t xml:space="preserve">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(superior)</m:t>
            </m:r>
          </m:sup>
        </m:sSubSup>
      </m:oMath>
      <w:r w:rsidR="008A2B5F">
        <w:t xml:space="preserve"> el cuartil superior</w:t>
      </w:r>
      <w:r w:rsidR="0077125B">
        <w:t xml:space="preserve"> donde los</w:t>
      </w:r>
      <w:r w:rsidR="001A5131">
        <w:t xml:space="preserve"> </w:t>
      </w:r>
      <w:r w:rsidR="00977D1D">
        <w:t>cuartiles</w:t>
      </w:r>
      <w:r w:rsidR="0055766E">
        <w:t>.</w:t>
      </w:r>
      <w:r w:rsidR="00CE02F9">
        <w:t xml:space="preserve"> </w:t>
      </w:r>
    </w:p>
    <w:p w14:paraId="38FE560B" w14:textId="10E48047" w:rsidR="001A5131" w:rsidRDefault="00A8044B" w:rsidP="00A8044B">
      <w:pPr>
        <w:ind w:left="1416" w:firstLine="4"/>
        <w:jc w:val="both"/>
      </w:pPr>
      <w:r>
        <w:t>C</w:t>
      </w:r>
      <w:r w:rsidR="00CE02F9">
        <w:t xml:space="preserve">omo se calculan b submuestras; entonces, existen </w:t>
      </w:r>
      <w:r w:rsidR="00C022C8">
        <w:t xml:space="preserve">b-coeficientes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</m:oMath>
      <w:r w:rsidR="0055766E">
        <w:t xml:space="preserve"> (</w:t>
      </w:r>
      <m:oMath>
        <m:r>
          <w:rPr>
            <w:rFonts w:ascii="Cambria Math" w:hAnsi="Cambria Math"/>
          </w:rPr>
          <m:t>k=1, …, b</m:t>
        </m:r>
      </m:oMath>
      <w:r w:rsidR="0055766E">
        <w:t>)</w:t>
      </w:r>
      <w:r>
        <w:t xml:space="preserve"> que se ordenan de forma creciente</w:t>
      </w:r>
      <w:r w:rsidR="00977D1D">
        <w:t>:</w:t>
      </w:r>
    </w:p>
    <w:p w14:paraId="3DDEC7B4" w14:textId="73F88D10" w:rsidR="000D7CA6" w:rsidRPr="00A8159D" w:rsidRDefault="004F03EA" w:rsidP="000D7CA6">
      <w:pPr>
        <w:ind w:left="1416" w:firstLine="4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e>
          </m:acc>
          <m:r>
            <w:rPr>
              <w:rFonts w:ascii="Cambria Math" w:hAnsi="Cambria Math"/>
            </w:rPr>
            <m:t>&lt;…&lt;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(b)</m:t>
                  </m:r>
                </m:sup>
              </m:sSubSup>
            </m:e>
          </m:acc>
        </m:oMath>
      </m:oMathPara>
    </w:p>
    <w:p w14:paraId="68AAC09A" w14:textId="6F5EF4E6" w:rsidR="0055766E" w:rsidRDefault="0055766E" w:rsidP="0055766E">
      <w:pPr>
        <w:ind w:left="1416" w:firstLine="4"/>
      </w:pPr>
      <w:r>
        <w:t>Finalmente, se calculan los coeficientes de la siguiente manera</w:t>
      </w:r>
    </w:p>
    <w:p w14:paraId="34100782" w14:textId="221BA017" w:rsidR="0055766E" w:rsidRDefault="004F03EA" w:rsidP="0055766E">
      <w:pPr>
        <w:pStyle w:val="ListParagraph"/>
        <w:ind w:left="144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(inferior)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*(b+1))</m:t>
                  </m:r>
                </m:sup>
              </m:sSubSup>
            </m:e>
          </m:acc>
        </m:oMath>
      </m:oMathPara>
    </w:p>
    <w:p w14:paraId="28E606C7" w14:textId="77777777" w:rsidR="0055766E" w:rsidRDefault="0055766E" w:rsidP="0055766E">
      <w:pPr>
        <w:ind w:left="1416" w:firstLine="4"/>
      </w:pPr>
    </w:p>
    <w:p w14:paraId="4275BBA7" w14:textId="50DE9643" w:rsidR="00506980" w:rsidRDefault="004F03EA" w:rsidP="00506980">
      <w:pPr>
        <w:pStyle w:val="ListParagraph"/>
        <w:ind w:left="144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(superior)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*(b+1))</m:t>
                  </m:r>
                </m:sup>
              </m:sSubSup>
            </m:e>
          </m:acc>
        </m:oMath>
      </m:oMathPara>
    </w:p>
    <w:p w14:paraId="2C9083C4" w14:textId="4D510D2E" w:rsidR="00ED58E5" w:rsidRDefault="00ED58E5" w:rsidP="00ED58E5"/>
    <w:p w14:paraId="39738689" w14:textId="1FFD1408" w:rsidR="00ED58E5" w:rsidRDefault="00ED58E5" w:rsidP="00ED58E5"/>
    <w:p w14:paraId="4AF63DB7" w14:textId="63AA61E8" w:rsidR="00ED58E5" w:rsidRDefault="00ED58E5" w:rsidP="00ED58E5"/>
    <w:p w14:paraId="1A7AE59D" w14:textId="77C773D3" w:rsidR="00ED58E5" w:rsidRDefault="00ED58E5" w:rsidP="00ED58E5"/>
    <w:p w14:paraId="39B363E8" w14:textId="320C97AB" w:rsidR="00ED58E5" w:rsidRDefault="00ED58E5" w:rsidP="00ED58E5"/>
    <w:p w14:paraId="2823538A" w14:textId="6E48957E" w:rsidR="00ED58E5" w:rsidRDefault="00ED58E5" w:rsidP="00ED58E5"/>
    <w:p w14:paraId="719C0419" w14:textId="095620B5" w:rsidR="00ED58E5" w:rsidRDefault="00ED58E5" w:rsidP="00ED58E5"/>
    <w:p w14:paraId="7C22770C" w14:textId="77777777" w:rsidR="00ED58E5" w:rsidRPr="005B605D" w:rsidRDefault="00ED58E5" w:rsidP="00ED58E5">
      <w:pPr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</w:pP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>2. SUPUESTOS Y CODIFICACIÓN EN SAS</w:t>
      </w:r>
    </w:p>
    <w:p w14:paraId="5A332A3D" w14:textId="56EDFA4F" w:rsidR="00095D72" w:rsidRDefault="00095D72" w:rsidP="00ED58E5">
      <w:r>
        <w:lastRenderedPageBreak/>
        <w:t xml:space="preserve">Para hacer el </w:t>
      </w:r>
      <w:proofErr w:type="spellStart"/>
      <w:r>
        <w:t>remuestreo</w:t>
      </w:r>
      <w:proofErr w:type="spellEnd"/>
      <w:r>
        <w:t xml:space="preserve"> se usó la técnica de: </w:t>
      </w:r>
      <w:proofErr w:type="spellStart"/>
      <w:r>
        <w:t>Remuestro</w:t>
      </w:r>
      <w:proofErr w:type="spellEnd"/>
      <w:r>
        <w:t xml:space="preserve"> Simple con Reemplazo</w:t>
      </w:r>
    </w:p>
    <w:p w14:paraId="45F217BB" w14:textId="77777777" w:rsidR="00260105" w:rsidRDefault="00260105" w:rsidP="00260105">
      <w:r>
        <w:t>La función de SAS se llama de la siguiente forma:</w:t>
      </w:r>
    </w:p>
    <w:p w14:paraId="738547BC" w14:textId="6C28721A" w:rsidR="00260105" w:rsidRPr="00A3196C" w:rsidRDefault="00260105" w:rsidP="0026010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  <w:lang w:val="en-US"/>
        </w:rPr>
      </w:pP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BOOTSTRAP</w:t>
      </w:r>
      <w:r w:rsidRPr="00A3196C"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_v</w:t>
      </w:r>
      <w:r>
        <w:rPr>
          <w:rFonts w:ascii="Courier New" w:hAnsi="Courier New" w:cs="Courier New"/>
          <w:b/>
          <w:bCs/>
          <w:i/>
          <w:iCs/>
          <w:color w:val="000000"/>
          <w:sz w:val="14"/>
          <w:szCs w:val="14"/>
          <w:highlight w:val="yellow"/>
          <w:shd w:val="clear" w:color="auto" w:fill="FFFFFF"/>
          <w:lang w:val="en-US"/>
        </w:rPr>
        <w:t>3</w:t>
      </w: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(Model_Data,Var_Dep,Var_Indep,</w:t>
      </w:r>
      <w:r w:rsidR="00BE6799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N</w:t>
      </w: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,Class_Factor</w:t>
      </w:r>
      <w:r w:rsidR="00BE6799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,alpha</w:t>
      </w:r>
      <w:r w:rsidRPr="00A3196C">
        <w:rPr>
          <w:rFonts w:ascii="Courier New" w:hAnsi="Courier New" w:cs="Courier New"/>
          <w:color w:val="000000"/>
          <w:sz w:val="14"/>
          <w:szCs w:val="14"/>
          <w:highlight w:val="yellow"/>
          <w:shd w:val="clear" w:color="auto" w:fill="FFFFFF"/>
          <w:lang w:val="en-US"/>
        </w:rPr>
        <w:t>,Offset_var,Weight,DIST,LINK)</w:t>
      </w:r>
    </w:p>
    <w:p w14:paraId="5B1DE4B1" w14:textId="77777777" w:rsidR="00260105" w:rsidRPr="004B797F" w:rsidRDefault="00260105" w:rsidP="00260105">
      <w:pPr>
        <w:rPr>
          <w:lang w:val="en-US"/>
        </w:rPr>
      </w:pPr>
    </w:p>
    <w:p w14:paraId="24DB3BA2" w14:textId="77777777" w:rsidR="00260105" w:rsidRPr="009A14CE" w:rsidRDefault="00260105" w:rsidP="00260105">
      <w:r w:rsidRPr="009A14CE">
        <w:t>Donde cada input significa l</w:t>
      </w:r>
      <w:r>
        <w:t>o siguiente:</w:t>
      </w:r>
    </w:p>
    <w:p w14:paraId="098B8DD2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Model_Data</w:t>
      </w:r>
      <w:proofErr w:type="spellEnd"/>
      <w:r>
        <w:rPr>
          <w:rFonts w:eastAsia="Times New Roman"/>
        </w:rPr>
        <w:t>, la tabla de datos donde se encuentra las variables a usar</w:t>
      </w:r>
    </w:p>
    <w:p w14:paraId="49CC6E35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Var_Dep</w:t>
      </w:r>
      <w:proofErr w:type="spellEnd"/>
      <w:r>
        <w:rPr>
          <w:rFonts w:eastAsia="Times New Roman"/>
        </w:rPr>
        <w:t>, el nombre de la variable dependiente</w:t>
      </w:r>
    </w:p>
    <w:p w14:paraId="42ACB494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Var_Indep</w:t>
      </w:r>
      <w:proofErr w:type="spellEnd"/>
      <w:r>
        <w:rPr>
          <w:rFonts w:eastAsia="Times New Roman"/>
        </w:rPr>
        <w:t>, vector con los nombres de variables independientes</w:t>
      </w:r>
    </w:p>
    <w:p w14:paraId="76987CFC" w14:textId="6F29834A" w:rsidR="00260105" w:rsidRDefault="00EE5457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 w:rsidRPr="00EE5457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N</w:t>
      </w:r>
      <w:r w:rsidR="00260105">
        <w:rPr>
          <w:rFonts w:eastAsia="Times New Roman"/>
        </w:rPr>
        <w:t>, número de</w:t>
      </w:r>
      <w:r>
        <w:rPr>
          <w:rFonts w:eastAsia="Times New Roman"/>
        </w:rPr>
        <w:t xml:space="preserve"> iteraciones en el </w:t>
      </w:r>
      <w:proofErr w:type="spellStart"/>
      <w:r>
        <w:rPr>
          <w:rFonts w:eastAsia="Times New Roman"/>
        </w:rPr>
        <w:t>remuestreo</w:t>
      </w:r>
      <w:proofErr w:type="spellEnd"/>
      <w:r>
        <w:rPr>
          <w:rFonts w:eastAsia="Times New Roman"/>
        </w:rPr>
        <w:t xml:space="preserve">, se recomienda </w:t>
      </w:r>
      <w:r w:rsidR="00DD49DA">
        <w:rPr>
          <w:rFonts w:eastAsia="Times New Roman"/>
        </w:rPr>
        <w:t xml:space="preserve">que éste parámetro sea 100 ya que así se obtienen buenos resultados y </w:t>
      </w:r>
      <w:r w:rsidR="001020C4">
        <w:rPr>
          <w:rFonts w:eastAsia="Times New Roman"/>
        </w:rPr>
        <w:t>el programa no toma mucho tiempo</w:t>
      </w:r>
    </w:p>
    <w:p w14:paraId="52FFCCFA" w14:textId="024EF2EE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Class_Factor</w:t>
      </w:r>
      <w:proofErr w:type="spellEnd"/>
      <w:r>
        <w:rPr>
          <w:rFonts w:eastAsia="Times New Roman"/>
        </w:rPr>
        <w:t>, nombre de variables categóricas</w:t>
      </w:r>
    </w:p>
    <w:p w14:paraId="29CA40F8" w14:textId="01058607" w:rsidR="00057607" w:rsidRDefault="00057607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057607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alpha</w:t>
      </w:r>
      <w:proofErr w:type="spellEnd"/>
      <w:r>
        <w:rPr>
          <w:rFonts w:eastAsia="Times New Roman"/>
        </w:rPr>
        <w:t xml:space="preserve">, nivel de significancia de los intervalos de confianza </w:t>
      </w:r>
    </w:p>
    <w:p w14:paraId="3A676F5B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Offset_var</w:t>
      </w:r>
      <w:proofErr w:type="spellEnd"/>
      <w:r>
        <w:rPr>
          <w:rFonts w:eastAsia="Times New Roman"/>
        </w:rPr>
        <w:t>, nombre de variable “</w:t>
      </w:r>
      <w:r>
        <w:rPr>
          <w:rFonts w:eastAsia="Times New Roman"/>
          <w:i/>
          <w:iCs/>
        </w:rPr>
        <w:t>Offset</w:t>
      </w:r>
      <w:r>
        <w:rPr>
          <w:rFonts w:eastAsia="Times New Roman"/>
        </w:rPr>
        <w:t>”</w:t>
      </w:r>
    </w:p>
    <w:p w14:paraId="2D27DC6A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proofErr w:type="spellStart"/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Weight</w:t>
      </w:r>
      <w:proofErr w:type="spellEnd"/>
      <w:r>
        <w:rPr>
          <w:rFonts w:eastAsia="Times New Roman"/>
        </w:rPr>
        <w:t xml:space="preserve">, nombre de variable de pesos </w:t>
      </w:r>
    </w:p>
    <w:p w14:paraId="6D3F86A0" w14:textId="77777777" w:rsidR="00260105" w:rsidRDefault="00260105" w:rsidP="00260105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 w:rsidRPr="004B797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DIST</w:t>
      </w:r>
      <w:r>
        <w:rPr>
          <w:rFonts w:eastAsia="Times New Roman"/>
        </w:rPr>
        <w:t>, la distribución probabilística del modelo</w:t>
      </w:r>
    </w:p>
    <w:p w14:paraId="01697675" w14:textId="391CAA34" w:rsidR="00260105" w:rsidRDefault="00260105" w:rsidP="00260105">
      <w:r w:rsidRPr="004B1E4F">
        <w:rPr>
          <w:rFonts w:ascii="Courier New" w:hAnsi="Courier New" w:cs="Courier New"/>
          <w:color w:val="000000"/>
          <w:sz w:val="18"/>
          <w:szCs w:val="18"/>
          <w:highlight w:val="yellow"/>
          <w:shd w:val="clear" w:color="auto" w:fill="FFFFFF"/>
        </w:rPr>
        <w:t>LINK</w:t>
      </w:r>
      <w:r>
        <w:rPr>
          <w:rFonts w:eastAsia="Times New Roman"/>
        </w:rPr>
        <w:t>, función encaje del modelo</w:t>
      </w:r>
    </w:p>
    <w:p w14:paraId="6535484B" w14:textId="53B1771B" w:rsidR="002303DD" w:rsidRDefault="002303DD" w:rsidP="00ED58E5">
      <w:r>
        <w:t>Para la codificación en SAS se aplicaron los siguientes pasos</w:t>
      </w:r>
      <w:r w:rsidR="00803B4A">
        <w:t>.</w:t>
      </w:r>
    </w:p>
    <w:p w14:paraId="1D3F2C2F" w14:textId="5C9A7A7A" w:rsidR="00FE7EF1" w:rsidRDefault="00FE7EF1" w:rsidP="00936CF3">
      <w:pPr>
        <w:pStyle w:val="ListParagraph"/>
        <w:numPr>
          <w:ilvl w:val="0"/>
          <w:numId w:val="13"/>
        </w:numPr>
      </w:pPr>
      <w:r>
        <w:t xml:space="preserve">Se </w:t>
      </w:r>
      <w:r w:rsidR="00A05FB8">
        <w:t xml:space="preserve">obtienen </w:t>
      </w:r>
      <w:r w:rsidR="009A45F4">
        <w:t xml:space="preserve">los percentiles </w:t>
      </w:r>
      <w:r w:rsidR="002748AE">
        <w:t>para la metodología</w:t>
      </w:r>
      <w:r w:rsidR="003111DD">
        <w:t xml:space="preserve"> </w:t>
      </w:r>
      <w:r w:rsidR="002748AE">
        <w:t>b)</w:t>
      </w:r>
      <w:r w:rsidR="003111DD">
        <w:t xml:space="preserve"> mencionada </w:t>
      </w:r>
      <w:r w:rsidR="00630314">
        <w:t>anteriormente</w:t>
      </w:r>
      <w:r w:rsidR="003111DD">
        <w:t xml:space="preserve"> así como los parámetro</w:t>
      </w:r>
      <w:r w:rsidR="00A05FB8">
        <w:t xml:space="preserve"> del modelo GLM</w:t>
      </w:r>
      <w:r w:rsidR="00936CF3">
        <w:t xml:space="preserve"> </w:t>
      </w:r>
      <w:r w:rsidR="003111DD">
        <w:t>como</w:t>
      </w:r>
      <w:r w:rsidR="00936CF3">
        <w:t xml:space="preserve"> referencia</w:t>
      </w:r>
    </w:p>
    <w:p w14:paraId="470E88EA" w14:textId="77777777" w:rsidR="002748AE" w:rsidRDefault="002748AE" w:rsidP="002748AE">
      <w:pPr>
        <w:pStyle w:val="ListParagraph"/>
        <w:ind w:left="1068"/>
      </w:pPr>
    </w:p>
    <w:p w14:paraId="26294A62" w14:textId="71B81FA0" w:rsidR="00A05FB8" w:rsidRDefault="00630314" w:rsidP="0063031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D179B6E" wp14:editId="1689525F">
            <wp:extent cx="4037846" cy="341097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02" cy="3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494A" w14:textId="3AA2934B" w:rsidR="00936CF3" w:rsidRDefault="00936CF3" w:rsidP="00C62F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A8ACF16" wp14:editId="5DE07038">
            <wp:extent cx="3920151" cy="736288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14" cy="7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9173" w14:textId="0C8126A6" w:rsidR="00936CF3" w:rsidRDefault="00E979D9" w:rsidP="00936CF3">
      <w:pPr>
        <w:pStyle w:val="ListParagraph"/>
        <w:numPr>
          <w:ilvl w:val="0"/>
          <w:numId w:val="13"/>
        </w:numPr>
      </w:pPr>
      <w:r>
        <w:t xml:space="preserve">Se hace el cálculo de los parámetros </w:t>
      </w:r>
      <w:r w:rsidR="00095D72">
        <w:t xml:space="preserve">con </w:t>
      </w:r>
      <w:r w:rsidR="00071DFF">
        <w:t xml:space="preserve">los </w:t>
      </w:r>
      <w:proofErr w:type="spellStart"/>
      <w:r w:rsidR="00071DFF">
        <w:t>remuestreos</w:t>
      </w:r>
      <w:proofErr w:type="spellEnd"/>
    </w:p>
    <w:p w14:paraId="0C8B3168" w14:textId="42EF08EA" w:rsidR="002303DD" w:rsidRDefault="00076719" w:rsidP="00076719">
      <w:pPr>
        <w:jc w:val="center"/>
      </w:pPr>
      <w:r>
        <w:rPr>
          <w:noProof/>
        </w:rPr>
        <w:drawing>
          <wp:inline distT="0" distB="0" distL="0" distR="0" wp14:anchorId="5BCA1A8F" wp14:editId="78CE7EC5">
            <wp:extent cx="3087232" cy="10094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29" cy="10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C61B" w14:textId="5D625F34" w:rsidR="00A872A4" w:rsidRDefault="00A872A4" w:rsidP="00A872A4">
      <w:pPr>
        <w:pStyle w:val="ListParagraph"/>
        <w:numPr>
          <w:ilvl w:val="0"/>
          <w:numId w:val="13"/>
        </w:numPr>
      </w:pPr>
      <w:r>
        <w:t xml:space="preserve">Se calculan </w:t>
      </w:r>
      <w:r w:rsidR="005F7255">
        <w:t xml:space="preserve">las medias y desviación estándar </w:t>
      </w:r>
      <w:r w:rsidR="002748AE">
        <w:t xml:space="preserve">de los coeficientes para el </w:t>
      </w:r>
      <w:r w:rsidR="00B90299">
        <w:t>metodología</w:t>
      </w:r>
      <w:r w:rsidR="002748AE">
        <w:t xml:space="preserve"> a) mencionada anteriormente</w:t>
      </w:r>
      <w:r w:rsidR="00752D53">
        <w:t xml:space="preserve"> y se estima los primeros coeficientes</w:t>
      </w:r>
    </w:p>
    <w:p w14:paraId="1C023198" w14:textId="1B3544B3" w:rsidR="00C62FB9" w:rsidRDefault="00C62FB9" w:rsidP="00C62FB9">
      <w:pPr>
        <w:pStyle w:val="ListParagraph"/>
        <w:ind w:left="1068"/>
      </w:pPr>
    </w:p>
    <w:p w14:paraId="65994E82" w14:textId="00F979EF" w:rsidR="00C62FB9" w:rsidRDefault="00C62FB9" w:rsidP="00C62FB9">
      <w:pPr>
        <w:pStyle w:val="ListParagraph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691B3A93" wp14:editId="7D9B61D1">
            <wp:extent cx="4095147" cy="24580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8" cy="24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6B49" w14:textId="666BC8D4" w:rsidR="00F64418" w:rsidRDefault="00F64418" w:rsidP="00F64418">
      <w:pPr>
        <w:pStyle w:val="ListParagraph"/>
        <w:ind w:left="1068"/>
      </w:pPr>
    </w:p>
    <w:p w14:paraId="50045564" w14:textId="514CB824" w:rsidR="00F64418" w:rsidRDefault="00F64418" w:rsidP="00F64418">
      <w:pPr>
        <w:pStyle w:val="ListParagraph"/>
        <w:ind w:left="1068"/>
      </w:pPr>
    </w:p>
    <w:p w14:paraId="07411C9E" w14:textId="67F37D36" w:rsidR="00F64418" w:rsidRDefault="00F64418" w:rsidP="00F64418">
      <w:pPr>
        <w:pStyle w:val="ListParagraph"/>
        <w:ind w:left="1068"/>
      </w:pPr>
    </w:p>
    <w:p w14:paraId="03177A14" w14:textId="36B3159A" w:rsidR="00F64418" w:rsidRDefault="00F64418" w:rsidP="00F64418">
      <w:pPr>
        <w:pStyle w:val="ListParagraph"/>
        <w:ind w:left="1068"/>
      </w:pPr>
    </w:p>
    <w:p w14:paraId="0F50819A" w14:textId="1E88B475" w:rsidR="00F64418" w:rsidRDefault="00F64418" w:rsidP="00F64418">
      <w:pPr>
        <w:pStyle w:val="ListParagraph"/>
        <w:ind w:left="1068"/>
      </w:pPr>
    </w:p>
    <w:p w14:paraId="7D7FB93A" w14:textId="4071F16E" w:rsidR="00F64418" w:rsidRDefault="00F64418" w:rsidP="003A0FD9">
      <w:pPr>
        <w:pStyle w:val="ListParagraph"/>
        <w:numPr>
          <w:ilvl w:val="0"/>
          <w:numId w:val="13"/>
        </w:numPr>
        <w:jc w:val="both"/>
      </w:pPr>
      <w:r>
        <w:t xml:space="preserve">Finalmente, se calculan los </w:t>
      </w:r>
      <w:proofErr w:type="spellStart"/>
      <w:r w:rsidRPr="00F64418">
        <w:rPr>
          <w:i/>
          <w:iCs/>
        </w:rPr>
        <w:t>Boxplot</w:t>
      </w:r>
      <w:proofErr w:type="spellEnd"/>
      <w:r>
        <w:rPr>
          <w:i/>
          <w:iCs/>
        </w:rPr>
        <w:t xml:space="preserve"> </w:t>
      </w:r>
      <w:r>
        <w:t xml:space="preserve">para los coeficientes que tienen variables categóricas </w:t>
      </w:r>
      <w:r w:rsidR="003A7965">
        <w:t xml:space="preserve">(aquellas variables categóricas que tengan más de dos clases) </w:t>
      </w:r>
      <w:r>
        <w:t xml:space="preserve">así como </w:t>
      </w:r>
      <w:r w:rsidR="00397043">
        <w:t>los histogramas por cada coeficiente</w:t>
      </w:r>
      <w:r w:rsidR="00140B7C">
        <w:t xml:space="preserve"> para poder hacer más análisis.</w:t>
      </w:r>
    </w:p>
    <w:p w14:paraId="6E47E738" w14:textId="77777777" w:rsidR="003A0FD9" w:rsidRDefault="003A0FD9" w:rsidP="003A0FD9">
      <w:pPr>
        <w:pStyle w:val="ListParagraph"/>
        <w:ind w:left="1068"/>
        <w:jc w:val="both"/>
      </w:pPr>
    </w:p>
    <w:p w14:paraId="2643E77F" w14:textId="535A0B57" w:rsidR="00B74E09" w:rsidRPr="00B74E09" w:rsidRDefault="00B74E09" w:rsidP="003A0FD9">
      <w:pPr>
        <w:pStyle w:val="ListParagraph"/>
        <w:ind w:left="1068"/>
        <w:jc w:val="both"/>
      </w:pPr>
      <w:r>
        <w:t xml:space="preserve">Los </w:t>
      </w:r>
      <w:proofErr w:type="spellStart"/>
      <w:r w:rsidRPr="00F64418">
        <w:rPr>
          <w:i/>
          <w:iCs/>
        </w:rPr>
        <w:t>Boxplot</w:t>
      </w:r>
      <w:proofErr w:type="spellEnd"/>
      <w:r>
        <w:rPr>
          <w:i/>
          <w:iCs/>
        </w:rPr>
        <w:t xml:space="preserve"> </w:t>
      </w:r>
      <w:r>
        <w:t>se hacen con más de dos categorías para poder identificar mejor el efecto de la variable, ya que si tomamos u</w:t>
      </w:r>
      <w:r w:rsidR="003A0FD9">
        <w:t>na variable con dos categorías observamos un coeficiente siempre tendrá cero y por lo tanto no se podrá estudiar el efecto de ésta variable en el modelo.</w:t>
      </w:r>
    </w:p>
    <w:p w14:paraId="44261064" w14:textId="034F9384" w:rsidR="00B84C9E" w:rsidRDefault="00B84C9E" w:rsidP="00B84C9E">
      <w:pPr>
        <w:pStyle w:val="ListParagraph"/>
        <w:ind w:left="1068"/>
      </w:pPr>
    </w:p>
    <w:p w14:paraId="1EDAD17F" w14:textId="188E6CF4" w:rsidR="00B84C9E" w:rsidRDefault="00B84C9E" w:rsidP="00B84C9E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6924C69C" wp14:editId="57511106">
            <wp:extent cx="5298629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21" cy="22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0BFD" w14:textId="74115084" w:rsidR="007B37BC" w:rsidRDefault="007B37BC" w:rsidP="007B37BC"/>
    <w:p w14:paraId="574AC4F9" w14:textId="6A736962" w:rsidR="007B37BC" w:rsidRDefault="007B37BC" w:rsidP="007B37BC"/>
    <w:p w14:paraId="689EC824" w14:textId="2E70EA5E" w:rsidR="007B37BC" w:rsidRDefault="007B37BC" w:rsidP="007B37BC"/>
    <w:p w14:paraId="3CDBD118" w14:textId="57F1615B" w:rsidR="007B37BC" w:rsidRDefault="007B37BC" w:rsidP="007B37BC"/>
    <w:p w14:paraId="6230BF84" w14:textId="03301488" w:rsidR="007B37BC" w:rsidRDefault="007B37BC" w:rsidP="007B37BC"/>
    <w:p w14:paraId="66905642" w14:textId="4A4A0C4D" w:rsidR="007B37BC" w:rsidRDefault="007B37BC" w:rsidP="007B37BC"/>
    <w:p w14:paraId="37FF58CF" w14:textId="77777777" w:rsidR="007B37BC" w:rsidRPr="005B605D" w:rsidRDefault="007B37BC" w:rsidP="007B37BC">
      <w:pPr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</w:pP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 xml:space="preserve">3. INTEREPRETACIÓN DE LOS </w:t>
      </w: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i/>
          <w:iCs/>
          <w:color w:val="2F5496" w:themeColor="accent1" w:themeShade="BF"/>
          <w:sz w:val="24"/>
          <w:szCs w:val="24"/>
          <w:u w:val="none"/>
        </w:rPr>
        <w:t>OUTPUTS</w:t>
      </w:r>
      <w:r w:rsidRPr="005B605D">
        <w:rPr>
          <w:rStyle w:val="IntenseReference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24"/>
          <w:szCs w:val="24"/>
          <w:u w:val="none"/>
        </w:rPr>
        <w:t xml:space="preserve"> DE LA MACRO</w:t>
      </w:r>
    </w:p>
    <w:p w14:paraId="6DE9A8D8" w14:textId="7A8AAF0A" w:rsidR="007B37BC" w:rsidRDefault="009F71E8" w:rsidP="007B37BC">
      <w:r>
        <w:t>Ejemplo de uso e interpretación</w:t>
      </w:r>
    </w:p>
    <w:p w14:paraId="356A1C34" w14:textId="4E38DCCB" w:rsidR="009F71E8" w:rsidRDefault="00452FF2" w:rsidP="00452FF2">
      <w:pPr>
        <w:pStyle w:val="ListParagraph"/>
        <w:numPr>
          <w:ilvl w:val="0"/>
          <w:numId w:val="15"/>
        </w:numPr>
      </w:pPr>
      <w:r>
        <w:t>Modelo Lineal Múltiple</w:t>
      </w:r>
    </w:p>
    <w:p w14:paraId="767B45B3" w14:textId="611D1B8E" w:rsidR="00452FF2" w:rsidRDefault="00452FF2" w:rsidP="00452FF2">
      <w:pPr>
        <w:pStyle w:val="ListParagraph"/>
        <w:rPr>
          <w:lang w:val="en-US"/>
        </w:rPr>
      </w:pPr>
    </w:p>
    <w:p w14:paraId="34B6F778" w14:textId="57C9FC9A" w:rsidR="00933C92" w:rsidRDefault="00933C92" w:rsidP="00452F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A630D" wp14:editId="070950AE">
            <wp:extent cx="3639185" cy="149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88FE" w14:textId="5F506B70" w:rsidR="00EB73C8" w:rsidRDefault="00EB73C8" w:rsidP="00452FF2">
      <w:pPr>
        <w:pStyle w:val="ListParagraph"/>
        <w:rPr>
          <w:lang w:val="en-US"/>
        </w:rPr>
      </w:pPr>
    </w:p>
    <w:p w14:paraId="66221D8E" w14:textId="68A3CD45" w:rsidR="00EB73C8" w:rsidRDefault="00EB73C8" w:rsidP="00EB73C8">
      <w:pPr>
        <w:autoSpaceDE w:val="0"/>
        <w:autoSpaceDN w:val="0"/>
        <w:spacing w:after="0" w:line="240" w:lineRule="auto"/>
        <w:ind w:firstLine="708"/>
        <w:rPr>
          <w:rFonts w:ascii="Calibri" w:eastAsia="Calibri" w:hAnsi="Calibri" w:cs="Calibri"/>
          <w:sz w:val="22"/>
          <w:szCs w:val="22"/>
        </w:rPr>
      </w:pPr>
      <w:r w:rsidRPr="00A433FD">
        <w:rPr>
          <w:rFonts w:ascii="Calibri" w:eastAsia="Calibri" w:hAnsi="Calibri" w:cs="Calibri"/>
          <w:sz w:val="22"/>
          <w:szCs w:val="22"/>
        </w:rPr>
        <w:t xml:space="preserve">Cuando </w:t>
      </w:r>
      <w:r>
        <w:rPr>
          <w:rFonts w:ascii="Calibri" w:eastAsia="Calibri" w:hAnsi="Calibri" w:cs="Calibri"/>
          <w:sz w:val="22"/>
          <w:szCs w:val="22"/>
        </w:rPr>
        <w:t>se calcula la hay 2 outputs:</w:t>
      </w:r>
    </w:p>
    <w:p w14:paraId="6F06AC3A" w14:textId="6E0A16F1" w:rsidR="00E86A39" w:rsidRDefault="00E86A39" w:rsidP="00EB73C8">
      <w:pPr>
        <w:autoSpaceDE w:val="0"/>
        <w:autoSpaceDN w:val="0"/>
        <w:spacing w:after="0" w:line="240" w:lineRule="auto"/>
        <w:ind w:firstLine="708"/>
        <w:rPr>
          <w:rFonts w:ascii="Calibri" w:eastAsia="Calibri" w:hAnsi="Calibri" w:cs="Calibri"/>
          <w:sz w:val="22"/>
          <w:szCs w:val="22"/>
        </w:rPr>
      </w:pPr>
    </w:p>
    <w:p w14:paraId="2BE1190B" w14:textId="2DA1C4F9" w:rsidR="00F00F48" w:rsidRDefault="00E86A39" w:rsidP="00F00F48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FINAL_CI, </w:t>
      </w:r>
      <w:r w:rsidR="001563F3">
        <w:rPr>
          <w:rFonts w:ascii="Calibri" w:eastAsia="Calibri" w:hAnsi="Calibri" w:cs="Calibri"/>
          <w:sz w:val="22"/>
          <w:szCs w:val="22"/>
        </w:rPr>
        <w:t xml:space="preserve">esta base contiene </w:t>
      </w:r>
      <w:r w:rsidR="002B16F7">
        <w:rPr>
          <w:rFonts w:ascii="Calibri" w:eastAsia="Calibri" w:hAnsi="Calibri" w:cs="Calibri"/>
          <w:sz w:val="22"/>
          <w:szCs w:val="22"/>
        </w:rPr>
        <w:t>los IC</w:t>
      </w:r>
      <w:r w:rsidR="00FB46E3">
        <w:rPr>
          <w:rFonts w:ascii="Calibri" w:eastAsia="Calibri" w:hAnsi="Calibri" w:cs="Calibri"/>
          <w:sz w:val="22"/>
          <w:szCs w:val="22"/>
        </w:rPr>
        <w:t xml:space="preserve"> con las 2 metodologías</w:t>
      </w:r>
      <w:r w:rsidR="002B16F7">
        <w:rPr>
          <w:rFonts w:ascii="Calibri" w:eastAsia="Calibri" w:hAnsi="Calibri" w:cs="Calibri"/>
          <w:sz w:val="22"/>
          <w:szCs w:val="22"/>
        </w:rPr>
        <w:t xml:space="preserve"> por cada </w:t>
      </w:r>
      <w:r w:rsidR="00F00F48">
        <w:rPr>
          <w:rFonts w:ascii="Calibri" w:eastAsia="Calibri" w:hAnsi="Calibri" w:cs="Calibri"/>
          <w:sz w:val="22"/>
          <w:szCs w:val="22"/>
        </w:rPr>
        <w:t>parámetro,</w:t>
      </w:r>
      <w:r w:rsidR="002B16F7">
        <w:rPr>
          <w:rFonts w:ascii="Calibri" w:eastAsia="Calibri" w:hAnsi="Calibri" w:cs="Calibri"/>
          <w:sz w:val="22"/>
          <w:szCs w:val="22"/>
        </w:rPr>
        <w:t xml:space="preserve"> así como los parámetros estimados originalmente con </w:t>
      </w:r>
      <w:r w:rsidR="00F00F48">
        <w:rPr>
          <w:rFonts w:ascii="Calibri" w:eastAsia="Calibri" w:hAnsi="Calibri" w:cs="Calibri"/>
          <w:sz w:val="22"/>
          <w:szCs w:val="22"/>
        </w:rPr>
        <w:t>las siguientes métricas:</w:t>
      </w:r>
    </w:p>
    <w:p w14:paraId="56D8ACD4" w14:textId="77777777" w:rsidR="00F00F48" w:rsidRDefault="00F00F48" w:rsidP="00F00F48">
      <w:pPr>
        <w:pStyle w:val="ListParagraph"/>
        <w:autoSpaceDE w:val="0"/>
        <w:autoSpaceDN w:val="0"/>
        <w:spacing w:after="0" w:line="240" w:lineRule="auto"/>
        <w:ind w:left="1068"/>
        <w:rPr>
          <w:rFonts w:ascii="Calibri" w:eastAsia="Calibri" w:hAnsi="Calibri" w:cs="Calibri"/>
          <w:sz w:val="22"/>
          <w:szCs w:val="22"/>
        </w:rPr>
      </w:pPr>
    </w:p>
    <w:p w14:paraId="0A4902CC" w14:textId="02F57205" w:rsidR="00F00F48" w:rsidRDefault="0025126F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Estimado_Original</w:t>
      </w:r>
      <w:proofErr w:type="spellEnd"/>
      <w:r w:rsidR="00EB0F4A">
        <w:rPr>
          <w:rFonts w:ascii="Calibri" w:eastAsia="Calibri" w:hAnsi="Calibri" w:cs="Calibri"/>
          <w:sz w:val="22"/>
          <w:szCs w:val="22"/>
        </w:rPr>
        <w:t>, parámetro original</w:t>
      </w:r>
    </w:p>
    <w:p w14:paraId="1D23D1D5" w14:textId="4364C46C" w:rsidR="000D0850" w:rsidRDefault="000D0850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StdErr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="003E3506">
        <w:rPr>
          <w:rFonts w:ascii="Calibri" w:eastAsia="Calibri" w:hAnsi="Calibri" w:cs="Calibri"/>
          <w:sz w:val="22"/>
          <w:szCs w:val="22"/>
        </w:rPr>
        <w:t>error estándar original</w:t>
      </w:r>
      <w:r>
        <w:rPr>
          <w:rFonts w:ascii="Calibri" w:eastAsia="Calibri" w:hAnsi="Calibri" w:cs="Calibri"/>
          <w:sz w:val="22"/>
          <w:szCs w:val="22"/>
        </w:rPr>
        <w:t xml:space="preserve"> originales</w:t>
      </w:r>
    </w:p>
    <w:p w14:paraId="5E401603" w14:textId="2DDC52CC" w:rsidR="003E3506" w:rsidRDefault="003E3506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3E3506">
        <w:rPr>
          <w:rFonts w:ascii="Calibri" w:eastAsia="Calibri" w:hAnsi="Calibri" w:cs="Calibri"/>
          <w:sz w:val="22"/>
          <w:szCs w:val="22"/>
        </w:rPr>
        <w:t>LowerWaldCL</w:t>
      </w:r>
      <w:proofErr w:type="spellEnd"/>
      <w:r w:rsidRPr="003E3506"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 w:rsidRPr="003E3506">
        <w:rPr>
          <w:rFonts w:ascii="Calibri" w:eastAsia="Calibri" w:hAnsi="Calibri" w:cs="Calibri"/>
          <w:sz w:val="22"/>
          <w:szCs w:val="22"/>
        </w:rPr>
        <w:t>UpperWaldCL</w:t>
      </w:r>
      <w:proofErr w:type="spellEnd"/>
      <w:r w:rsidRPr="003E3506">
        <w:rPr>
          <w:rFonts w:ascii="Calibri" w:eastAsia="Calibri" w:hAnsi="Calibri" w:cs="Calibri"/>
          <w:sz w:val="22"/>
          <w:szCs w:val="22"/>
        </w:rPr>
        <w:t>, IC con el méto</w:t>
      </w:r>
      <w:r>
        <w:rPr>
          <w:rFonts w:ascii="Calibri" w:eastAsia="Calibri" w:hAnsi="Calibri" w:cs="Calibri"/>
          <w:sz w:val="22"/>
          <w:szCs w:val="22"/>
        </w:rPr>
        <w:t>do de Wald de la estimación original</w:t>
      </w:r>
    </w:p>
    <w:p w14:paraId="78612CCE" w14:textId="7980D442" w:rsidR="008B6E03" w:rsidRDefault="008B6E03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ChiSq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sz w:val="22"/>
          <w:szCs w:val="22"/>
        </w:rPr>
        <w:t>ProbChiSq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="000E18C8">
        <w:rPr>
          <w:rFonts w:ascii="Calibri" w:eastAsia="Calibri" w:hAnsi="Calibri" w:cs="Calibri"/>
          <w:sz w:val="22"/>
          <w:szCs w:val="22"/>
        </w:rPr>
        <w:t>los parámetros que indican significancia de las variables (</w:t>
      </w:r>
      <w:r w:rsidR="005E1BAB">
        <w:rPr>
          <w:rFonts w:ascii="Calibri" w:eastAsia="Calibri" w:hAnsi="Calibri" w:cs="Calibri"/>
          <w:sz w:val="22"/>
          <w:szCs w:val="22"/>
        </w:rPr>
        <w:t>como convenio deben ser menores a 5% para que la variable sea significativa</w:t>
      </w:r>
      <w:r w:rsidR="000E18C8">
        <w:rPr>
          <w:rFonts w:ascii="Calibri" w:eastAsia="Calibri" w:hAnsi="Calibri" w:cs="Calibri"/>
          <w:sz w:val="22"/>
          <w:szCs w:val="22"/>
        </w:rPr>
        <w:t>)</w:t>
      </w:r>
    </w:p>
    <w:p w14:paraId="5E5BD1B3" w14:textId="7317DEC5" w:rsidR="00194A53" w:rsidRDefault="00194A53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194A53">
        <w:rPr>
          <w:rFonts w:ascii="Calibri" w:eastAsia="Calibri" w:hAnsi="Calibri" w:cs="Calibri"/>
          <w:sz w:val="22"/>
          <w:szCs w:val="22"/>
        </w:rPr>
        <w:t>Mean_Re</w:t>
      </w:r>
      <w:proofErr w:type="spellEnd"/>
      <w:r w:rsidRPr="00194A53"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 w:rsidRPr="00194A53">
        <w:rPr>
          <w:rFonts w:ascii="Calibri" w:eastAsia="Calibri" w:hAnsi="Calibri" w:cs="Calibri"/>
          <w:sz w:val="22"/>
          <w:szCs w:val="22"/>
        </w:rPr>
        <w:t>Std_Re</w:t>
      </w:r>
      <w:proofErr w:type="spellEnd"/>
      <w:r w:rsidRPr="00194A53">
        <w:rPr>
          <w:rFonts w:ascii="Calibri" w:eastAsia="Calibri" w:hAnsi="Calibri" w:cs="Calibri"/>
          <w:sz w:val="22"/>
          <w:szCs w:val="22"/>
        </w:rPr>
        <w:t>, tiene</w:t>
      </w:r>
      <w:r>
        <w:rPr>
          <w:rFonts w:ascii="Calibri" w:eastAsia="Calibri" w:hAnsi="Calibri" w:cs="Calibri"/>
          <w:sz w:val="22"/>
          <w:szCs w:val="22"/>
        </w:rPr>
        <w:t xml:space="preserve">n la media y desviación estándar de los coeficientes </w:t>
      </w:r>
      <w:r w:rsidR="00094BA0">
        <w:rPr>
          <w:rFonts w:ascii="Calibri" w:eastAsia="Calibri" w:hAnsi="Calibri" w:cs="Calibri"/>
          <w:sz w:val="22"/>
          <w:szCs w:val="22"/>
        </w:rPr>
        <w:t xml:space="preserve">que se estimaron </w:t>
      </w:r>
      <w:r w:rsidR="00262C70">
        <w:rPr>
          <w:rFonts w:ascii="Calibri" w:eastAsia="Calibri" w:hAnsi="Calibri" w:cs="Calibri"/>
          <w:sz w:val="22"/>
          <w:szCs w:val="22"/>
        </w:rPr>
        <w:t xml:space="preserve">mediante las </w:t>
      </w:r>
      <w:proofErr w:type="spellStart"/>
      <w:r w:rsidR="00262C70">
        <w:rPr>
          <w:rFonts w:ascii="Calibri" w:eastAsia="Calibri" w:hAnsi="Calibri" w:cs="Calibri"/>
          <w:sz w:val="22"/>
          <w:szCs w:val="22"/>
        </w:rPr>
        <w:t>remuestras</w:t>
      </w:r>
      <w:proofErr w:type="spellEnd"/>
    </w:p>
    <w:p w14:paraId="75CA0F85" w14:textId="79B9EFEC" w:rsidR="001D347C" w:rsidRDefault="001D347C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Bias</w:t>
      </w:r>
      <w:proofErr w:type="spellEnd"/>
      <w:r>
        <w:rPr>
          <w:rFonts w:ascii="Calibri" w:eastAsia="Calibri" w:hAnsi="Calibri" w:cs="Calibri"/>
          <w:sz w:val="22"/>
          <w:szCs w:val="22"/>
        </w:rPr>
        <w:t>, es el sesgo del coeficie</w:t>
      </w:r>
      <w:r w:rsidR="00720543">
        <w:rPr>
          <w:rFonts w:ascii="Calibri" w:eastAsia="Calibri" w:hAnsi="Calibri" w:cs="Calibri"/>
          <w:sz w:val="22"/>
          <w:szCs w:val="22"/>
        </w:rPr>
        <w:t>nte que se mide de la siguiente forma</w:t>
      </w:r>
    </w:p>
    <w:p w14:paraId="6D36370A" w14:textId="77777777" w:rsidR="004B0CA2" w:rsidRDefault="004B0CA2" w:rsidP="004B0CA2">
      <w:pPr>
        <w:pStyle w:val="ListParagraph"/>
        <w:autoSpaceDE w:val="0"/>
        <w:autoSpaceDN w:val="0"/>
        <w:spacing w:after="0" w:line="240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3D5F6294" w14:textId="281CF399" w:rsidR="00720543" w:rsidRPr="00194A53" w:rsidRDefault="006A092A" w:rsidP="00720543">
      <w:pPr>
        <w:pStyle w:val="ListParagraph"/>
        <w:autoSpaceDE w:val="0"/>
        <w:autoSpaceDN w:val="0"/>
        <w:spacing w:after="0" w:line="240" w:lineRule="auto"/>
        <w:ind w:left="1440"/>
        <w:jc w:val="center"/>
        <w:rPr>
          <w:rFonts w:ascii="Calibri" w:eastAsia="Calibri" w:hAnsi="Calibri" w:cs="Calibri"/>
          <w:sz w:val="22"/>
          <w:szCs w:val="22"/>
        </w:rPr>
      </w:pPr>
      <m:oMathPara>
        <m:oMath>
          <m:r>
            <w:rPr>
              <w:rFonts w:ascii="Cambria Math" w:eastAsia="Calibri" w:hAnsi="Cambria Math" w:cs="Calibri"/>
              <w:sz w:val="22"/>
              <w:szCs w:val="22"/>
            </w:rPr>
            <m:t>Bias=Promedio de Coeficientes-Estimado Original</m:t>
          </m:r>
        </m:oMath>
      </m:oMathPara>
    </w:p>
    <w:p w14:paraId="66012F48" w14:textId="77777777" w:rsidR="004B0CA2" w:rsidRDefault="004B0CA2" w:rsidP="004B0CA2">
      <w:pPr>
        <w:pStyle w:val="ListParagraph"/>
        <w:autoSpaceDE w:val="0"/>
        <w:autoSpaceDN w:val="0"/>
        <w:spacing w:after="0" w:line="240" w:lineRule="auto"/>
        <w:ind w:left="1440"/>
        <w:rPr>
          <w:rFonts w:ascii="Calibri" w:eastAsia="Calibri" w:hAnsi="Calibri" w:cs="Calibri"/>
          <w:sz w:val="22"/>
          <w:szCs w:val="22"/>
        </w:rPr>
      </w:pPr>
    </w:p>
    <w:p w14:paraId="0A63F7BF" w14:textId="53EA7E6E" w:rsidR="005E1BAB" w:rsidRDefault="005E1BAB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E6290C">
        <w:rPr>
          <w:rFonts w:ascii="Calibri" w:eastAsia="Calibri" w:hAnsi="Calibri" w:cs="Calibri"/>
          <w:sz w:val="22"/>
          <w:szCs w:val="22"/>
        </w:rPr>
        <w:t>Int_Norm_Inf</w:t>
      </w:r>
      <w:proofErr w:type="spellEnd"/>
      <w:r w:rsidR="00E6290C" w:rsidRPr="00E6290C">
        <w:rPr>
          <w:rFonts w:ascii="Calibri" w:eastAsia="Calibri" w:hAnsi="Calibri" w:cs="Calibri"/>
          <w:sz w:val="22"/>
          <w:szCs w:val="22"/>
        </w:rPr>
        <w:t xml:space="preserve"> </w:t>
      </w:r>
      <w:r w:rsidR="00E6290C">
        <w:rPr>
          <w:rFonts w:ascii="Calibri" w:eastAsia="Calibri" w:hAnsi="Calibri" w:cs="Calibri"/>
          <w:sz w:val="22"/>
          <w:szCs w:val="22"/>
        </w:rPr>
        <w:t>y</w:t>
      </w:r>
      <w:r w:rsidR="00E6290C" w:rsidRPr="00E6290C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E6290C" w:rsidRPr="00E6290C">
        <w:rPr>
          <w:rFonts w:ascii="Calibri" w:eastAsia="Calibri" w:hAnsi="Calibri" w:cs="Calibri"/>
          <w:sz w:val="22"/>
          <w:szCs w:val="22"/>
        </w:rPr>
        <w:t>Int_Norm_Sup</w:t>
      </w:r>
      <w:proofErr w:type="spellEnd"/>
      <w:r w:rsidR="00E6290C" w:rsidRPr="00E6290C">
        <w:rPr>
          <w:rFonts w:ascii="Calibri" w:eastAsia="Calibri" w:hAnsi="Calibri" w:cs="Calibri"/>
          <w:sz w:val="22"/>
          <w:szCs w:val="22"/>
        </w:rPr>
        <w:t>, tiene los intervalos de</w:t>
      </w:r>
      <w:r w:rsidR="00E6290C">
        <w:rPr>
          <w:rFonts w:ascii="Calibri" w:eastAsia="Calibri" w:hAnsi="Calibri" w:cs="Calibri"/>
          <w:sz w:val="22"/>
          <w:szCs w:val="22"/>
        </w:rPr>
        <w:t xml:space="preserve"> confianza con la metodología a) descrita arriba</w:t>
      </w:r>
    </w:p>
    <w:p w14:paraId="6A5F2669" w14:textId="23403F93" w:rsidR="00E6290C" w:rsidRDefault="00E6290C" w:rsidP="00F00F48">
      <w:pPr>
        <w:pStyle w:val="ListParagraph"/>
        <w:numPr>
          <w:ilvl w:val="1"/>
          <w:numId w:val="15"/>
        </w:numPr>
        <w:autoSpaceDE w:val="0"/>
        <w:autoSpaceDN w:val="0"/>
        <w:spacing w:after="0" w:line="240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E6290C">
        <w:rPr>
          <w:rFonts w:ascii="Calibri" w:eastAsia="Calibri" w:hAnsi="Calibri" w:cs="Calibri"/>
          <w:sz w:val="22"/>
          <w:szCs w:val="22"/>
        </w:rPr>
        <w:t>Int_Perc_Inf</w:t>
      </w:r>
      <w:proofErr w:type="spellEnd"/>
      <w:r w:rsidRPr="00E6290C"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 w:rsidRPr="00E6290C">
        <w:rPr>
          <w:rFonts w:ascii="Calibri" w:eastAsia="Calibri" w:hAnsi="Calibri" w:cs="Calibri"/>
          <w:sz w:val="22"/>
          <w:szCs w:val="22"/>
        </w:rPr>
        <w:t>Int_Perc_Sup</w:t>
      </w:r>
      <w:proofErr w:type="spellEnd"/>
      <w:r w:rsidRPr="00E6290C">
        <w:rPr>
          <w:rFonts w:ascii="Calibri" w:eastAsia="Calibri" w:hAnsi="Calibri" w:cs="Calibri"/>
          <w:sz w:val="22"/>
          <w:szCs w:val="22"/>
        </w:rPr>
        <w:t>, tiene los inte</w:t>
      </w:r>
      <w:r>
        <w:rPr>
          <w:rFonts w:ascii="Calibri" w:eastAsia="Calibri" w:hAnsi="Calibri" w:cs="Calibri"/>
          <w:sz w:val="22"/>
          <w:szCs w:val="22"/>
        </w:rPr>
        <w:t>rvalos de confianza con la metodología b) descrita</w:t>
      </w:r>
      <w:r w:rsidR="00262C70">
        <w:rPr>
          <w:rFonts w:ascii="Calibri" w:eastAsia="Calibri" w:hAnsi="Calibri" w:cs="Calibri"/>
          <w:sz w:val="22"/>
          <w:szCs w:val="22"/>
        </w:rPr>
        <w:t xml:space="preserve"> arriba</w:t>
      </w:r>
    </w:p>
    <w:p w14:paraId="1D46F53F" w14:textId="77777777" w:rsidR="00262C70" w:rsidRDefault="00262C70" w:rsidP="00262C70">
      <w:pPr>
        <w:autoSpaceDE w:val="0"/>
        <w:autoSpaceDN w:val="0"/>
        <w:spacing w:after="0" w:line="240" w:lineRule="auto"/>
        <w:ind w:left="708"/>
        <w:rPr>
          <w:rFonts w:ascii="Calibri" w:eastAsia="Calibri" w:hAnsi="Calibri" w:cs="Calibri"/>
          <w:sz w:val="22"/>
          <w:szCs w:val="22"/>
        </w:rPr>
      </w:pPr>
    </w:p>
    <w:p w14:paraId="72D3A046" w14:textId="5D6FE706" w:rsidR="00262C70" w:rsidRPr="00262C70" w:rsidRDefault="00262C70" w:rsidP="00262C70">
      <w:pPr>
        <w:autoSpaceDE w:val="0"/>
        <w:autoSpaceDN w:val="0"/>
        <w:spacing w:after="0" w:line="240" w:lineRule="auto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puede interpretar que </w:t>
      </w:r>
      <w:r w:rsidR="00BE30B2">
        <w:rPr>
          <w:rFonts w:ascii="Calibri" w:eastAsia="Calibri" w:hAnsi="Calibri" w:cs="Calibri"/>
          <w:sz w:val="22"/>
          <w:szCs w:val="22"/>
        </w:rPr>
        <w:t>como ningún IC contiene el 0; por lo tanto, todas las variables son significativas.</w:t>
      </w:r>
    </w:p>
    <w:p w14:paraId="2B368892" w14:textId="52AFE32E" w:rsidR="00EB73C8" w:rsidRDefault="00EB73C8" w:rsidP="00452FF2">
      <w:pPr>
        <w:pStyle w:val="ListParagraph"/>
      </w:pPr>
    </w:p>
    <w:p w14:paraId="29022771" w14:textId="77777777" w:rsidR="00194A53" w:rsidRPr="00E6290C" w:rsidRDefault="00194A53" w:rsidP="00452FF2">
      <w:pPr>
        <w:pStyle w:val="ListParagraph"/>
      </w:pPr>
    </w:p>
    <w:p w14:paraId="461707D4" w14:textId="1DD8ECED" w:rsidR="001563F3" w:rsidRDefault="001563F3" w:rsidP="00452FF2">
      <w:pPr>
        <w:pStyle w:val="ListParagraph"/>
      </w:pPr>
      <w:r>
        <w:rPr>
          <w:noProof/>
        </w:rPr>
        <w:drawing>
          <wp:inline distT="0" distB="0" distL="0" distR="0" wp14:anchorId="1E7E3408" wp14:editId="69C159D5">
            <wp:extent cx="5603875" cy="982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F2FA" w14:textId="4D47211C" w:rsidR="00BE30B2" w:rsidRDefault="00BE30B2" w:rsidP="00452FF2">
      <w:pPr>
        <w:pStyle w:val="ListParagraph"/>
      </w:pPr>
    </w:p>
    <w:p w14:paraId="3CCE032B" w14:textId="465C53D9" w:rsidR="00BE30B2" w:rsidRDefault="00BE30B2" w:rsidP="00452FF2">
      <w:pPr>
        <w:pStyle w:val="ListParagraph"/>
      </w:pPr>
    </w:p>
    <w:p w14:paraId="5F0993C2" w14:textId="0D7650D9" w:rsidR="00BE30B2" w:rsidRDefault="00BE30B2" w:rsidP="00452FF2">
      <w:pPr>
        <w:pStyle w:val="ListParagraph"/>
      </w:pPr>
    </w:p>
    <w:p w14:paraId="0F08405E" w14:textId="6DF1A48A" w:rsidR="00BE30B2" w:rsidRDefault="00594782" w:rsidP="00BE30B2">
      <w:pPr>
        <w:pStyle w:val="ListParagraph"/>
        <w:numPr>
          <w:ilvl w:val="0"/>
          <w:numId w:val="16"/>
        </w:numPr>
      </w:pPr>
      <w:r>
        <w:t xml:space="preserve">FINAL, esta base tiene los coeficientes de todos los </w:t>
      </w:r>
      <w:proofErr w:type="spellStart"/>
      <w:r>
        <w:t>remuestreos</w:t>
      </w:r>
      <w:proofErr w:type="spellEnd"/>
      <w:r>
        <w:t xml:space="preserve">, </w:t>
      </w:r>
      <w:r w:rsidR="00BA1468">
        <w:t xml:space="preserve">además la variable RE_SAMPLE tiene el número </w:t>
      </w:r>
      <w:r w:rsidR="00340BF4">
        <w:t xml:space="preserve">el número de </w:t>
      </w:r>
      <w:proofErr w:type="spellStart"/>
      <w:r w:rsidR="00340BF4">
        <w:t>remuestreo</w:t>
      </w:r>
      <w:proofErr w:type="spellEnd"/>
      <w:r w:rsidR="00340BF4">
        <w:t xml:space="preserve"> al que pertenece el coeficiente</w:t>
      </w:r>
    </w:p>
    <w:p w14:paraId="10303440" w14:textId="2451414F" w:rsidR="003450FA" w:rsidRDefault="003450FA" w:rsidP="003450FA">
      <w:pPr>
        <w:pStyle w:val="ListParagraph"/>
        <w:ind w:left="1068"/>
      </w:pPr>
    </w:p>
    <w:p w14:paraId="5C43472B" w14:textId="09488180" w:rsidR="003450FA" w:rsidRDefault="003450FA" w:rsidP="003450FA">
      <w:pPr>
        <w:pStyle w:val="ListParagraph"/>
        <w:ind w:left="1068"/>
        <w:jc w:val="center"/>
      </w:pPr>
      <w:r>
        <w:rPr>
          <w:noProof/>
        </w:rPr>
        <w:drawing>
          <wp:inline distT="0" distB="0" distL="0" distR="0" wp14:anchorId="7B4C3661" wp14:editId="40A9BC6E">
            <wp:extent cx="2779413" cy="23323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06" cy="23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F569" w14:textId="4B63025D" w:rsidR="00594782" w:rsidRDefault="00594782" w:rsidP="00594782"/>
    <w:p w14:paraId="305E7564" w14:textId="407AD2BF" w:rsidR="00594782" w:rsidRDefault="00340BF4" w:rsidP="00340BF4">
      <w:pPr>
        <w:pStyle w:val="ListParagraph"/>
        <w:numPr>
          <w:ilvl w:val="0"/>
          <w:numId w:val="16"/>
        </w:numPr>
      </w:pPr>
      <w:r>
        <w:t xml:space="preserve">Finalmente contiene </w:t>
      </w:r>
      <w:r w:rsidR="001D347C">
        <w:t xml:space="preserve">un </w:t>
      </w:r>
      <w:proofErr w:type="spellStart"/>
      <w:r w:rsidR="001D347C">
        <w:t>BoxPlot</w:t>
      </w:r>
      <w:proofErr w:type="spellEnd"/>
      <w:r w:rsidR="001D347C">
        <w:t xml:space="preserve"> e Histograma</w:t>
      </w:r>
    </w:p>
    <w:p w14:paraId="42F3BA63" w14:textId="377447D1" w:rsidR="004B0CA2" w:rsidRDefault="004B0CA2" w:rsidP="004B0CA2">
      <w:pPr>
        <w:pStyle w:val="ListParagraph"/>
        <w:numPr>
          <w:ilvl w:val="1"/>
          <w:numId w:val="15"/>
        </w:numPr>
        <w:rPr>
          <w:i/>
          <w:iCs/>
        </w:rPr>
      </w:pPr>
      <w:proofErr w:type="spellStart"/>
      <w:r w:rsidRPr="004B0CA2">
        <w:rPr>
          <w:i/>
          <w:iCs/>
        </w:rPr>
        <w:t>Box</w:t>
      </w:r>
      <w:r w:rsidR="00B90299">
        <w:rPr>
          <w:i/>
          <w:iCs/>
        </w:rPr>
        <w:t>p</w:t>
      </w:r>
      <w:r w:rsidRPr="004B0CA2">
        <w:rPr>
          <w:i/>
          <w:iCs/>
        </w:rPr>
        <w:t>lot</w:t>
      </w:r>
      <w:proofErr w:type="spellEnd"/>
    </w:p>
    <w:p w14:paraId="0E6E4AE7" w14:textId="63DD63CC" w:rsidR="00680E2B" w:rsidRDefault="00680E2B" w:rsidP="00680E2B">
      <w:pPr>
        <w:pStyle w:val="ListParagraph"/>
        <w:ind w:left="1440"/>
      </w:pPr>
      <w:r>
        <w:t>Este se hace para determinar si las categorías en e</w:t>
      </w:r>
      <w:r w:rsidR="009E10FC">
        <w:t xml:space="preserve">l modelo tienen adecuada separación, en este ejemplo se usó la variable </w:t>
      </w:r>
      <w:r w:rsidR="00B74E09">
        <w:t>“</w:t>
      </w:r>
      <w:proofErr w:type="spellStart"/>
      <w:r w:rsidR="009E10FC">
        <w:t>Species</w:t>
      </w:r>
      <w:proofErr w:type="spellEnd"/>
      <w:r w:rsidR="00B74E09">
        <w:t>”</w:t>
      </w:r>
      <w:r w:rsidR="009E10FC">
        <w:t xml:space="preserve"> que tiene 3 categorías</w:t>
      </w:r>
    </w:p>
    <w:p w14:paraId="4BE4419D" w14:textId="28D26965" w:rsidR="009E10FC" w:rsidRDefault="009E10FC" w:rsidP="00680E2B">
      <w:pPr>
        <w:pStyle w:val="ListParagraph"/>
        <w:ind w:left="1440"/>
      </w:pP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y </w:t>
      </w:r>
      <w:proofErr w:type="spellStart"/>
      <w:r>
        <w:t>Virginica</w:t>
      </w:r>
      <w:proofErr w:type="spellEnd"/>
      <w:r>
        <w:t>.</w:t>
      </w:r>
    </w:p>
    <w:p w14:paraId="13546E47" w14:textId="497756D0" w:rsidR="00594782" w:rsidRDefault="00E0682E" w:rsidP="00E0682E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12F56F9" wp14:editId="302C269F">
            <wp:extent cx="2005343" cy="2005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13" cy="202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43EE" w14:textId="3A8B401D" w:rsidR="00255AA6" w:rsidRDefault="00255AA6" w:rsidP="00D902AB">
      <w:pPr>
        <w:ind w:left="1416" w:firstLine="4"/>
      </w:pPr>
      <w:r>
        <w:t xml:space="preserve">De el gráfico de </w:t>
      </w:r>
      <w:proofErr w:type="spellStart"/>
      <w:r w:rsidRPr="00255AA6">
        <w:rPr>
          <w:i/>
          <w:iCs/>
        </w:rPr>
        <w:t>Boxplot</w:t>
      </w:r>
      <w:proofErr w:type="spellEnd"/>
      <w:r>
        <w:t xml:space="preserve"> de arriba se puede observar que </w:t>
      </w:r>
      <w:r w:rsidR="00D902AB">
        <w:t xml:space="preserve">aunque existen muchos coeficientes </w:t>
      </w:r>
      <w:proofErr w:type="spellStart"/>
      <w:r w:rsidR="00D902AB">
        <w:t>outlier</w:t>
      </w:r>
      <w:proofErr w:type="spellEnd"/>
      <w:r w:rsidR="00D902AB">
        <w:t xml:space="preserve"> el rango </w:t>
      </w:r>
      <w:proofErr w:type="spellStart"/>
      <w:r w:rsidR="007D48C2">
        <w:t>intercuartil</w:t>
      </w:r>
      <w:proofErr w:type="spellEnd"/>
      <w:r w:rsidR="00D902AB">
        <w:t xml:space="preserve"> permanece </w:t>
      </w:r>
      <w:r w:rsidR="007D48C2">
        <w:t>diferente y arriba del cero; por lo tanto, las categorías hacen una buena separación</w:t>
      </w:r>
    </w:p>
    <w:p w14:paraId="0B276D22" w14:textId="2EE0DB3E" w:rsidR="00D6332B" w:rsidRDefault="00D6332B" w:rsidP="00D6332B">
      <w:pPr>
        <w:pStyle w:val="ListParagraph"/>
        <w:numPr>
          <w:ilvl w:val="1"/>
          <w:numId w:val="15"/>
        </w:numPr>
      </w:pPr>
      <w:r>
        <w:t>Histograma</w:t>
      </w:r>
    </w:p>
    <w:p w14:paraId="034794A5" w14:textId="340F877E" w:rsidR="00D6332B" w:rsidRDefault="00D6332B" w:rsidP="00D6332B">
      <w:pPr>
        <w:pStyle w:val="ListParagraph"/>
        <w:ind w:left="1440"/>
      </w:pPr>
    </w:p>
    <w:p w14:paraId="2B1D4D11" w14:textId="73C843B3" w:rsidR="00CB7B44" w:rsidRDefault="00832A37" w:rsidP="00363AB8">
      <w:pPr>
        <w:pStyle w:val="ListParagraph"/>
        <w:ind w:left="1440"/>
        <w:jc w:val="both"/>
      </w:pPr>
      <w:r>
        <w:t xml:space="preserve">El histograma se muestra para cada una de las variables, con el fin de identificar </w:t>
      </w:r>
      <w:r w:rsidR="008139A9">
        <w:t>algún sesgo en el coeficiente</w:t>
      </w:r>
      <w:r w:rsidR="00CB7B44">
        <w:t xml:space="preserve">. Se mostrarán algunos </w:t>
      </w:r>
      <w:r w:rsidR="00CF7396">
        <w:t>ejemplos de histograma.</w:t>
      </w:r>
    </w:p>
    <w:p w14:paraId="64DA0E81" w14:textId="7C09A59E" w:rsidR="001A6B0F" w:rsidRDefault="001A6B0F" w:rsidP="00363AB8">
      <w:pPr>
        <w:pStyle w:val="ListParagraph"/>
        <w:ind w:left="1440"/>
        <w:jc w:val="both"/>
      </w:pPr>
    </w:p>
    <w:p w14:paraId="19238F8B" w14:textId="75F61D7D" w:rsidR="001A6B0F" w:rsidRDefault="001A6B0F" w:rsidP="00363AB8">
      <w:pPr>
        <w:pStyle w:val="ListParagraph"/>
        <w:ind w:left="1440"/>
        <w:jc w:val="both"/>
      </w:pPr>
      <w:r>
        <w:t>El histograma de abajo es para la variable “</w:t>
      </w:r>
      <w:proofErr w:type="spellStart"/>
      <w:r>
        <w:t>PetalWidth</w:t>
      </w:r>
      <w:proofErr w:type="spellEnd"/>
      <w:r>
        <w:t>”, la línea roja identificada como “</w:t>
      </w:r>
      <w:proofErr w:type="spellStart"/>
      <w:r>
        <w:t>Kernel</w:t>
      </w:r>
      <w:proofErr w:type="spellEnd"/>
      <w:r>
        <w:t xml:space="preserve">” es la distribución </w:t>
      </w:r>
      <w:r w:rsidR="004C44F3">
        <w:t>de la muestra y la línea azul identificada como “Normal”</w:t>
      </w:r>
      <w:r w:rsidR="00A46573">
        <w:t xml:space="preserve">. </w:t>
      </w:r>
    </w:p>
    <w:p w14:paraId="7DD64D9A" w14:textId="216BFD44" w:rsidR="00A46573" w:rsidRDefault="00A46573" w:rsidP="00363AB8">
      <w:pPr>
        <w:pStyle w:val="ListParagraph"/>
        <w:ind w:left="1440"/>
        <w:jc w:val="both"/>
      </w:pPr>
    </w:p>
    <w:p w14:paraId="46DFD7F8" w14:textId="50DD531B" w:rsidR="00A46573" w:rsidRDefault="00A46573" w:rsidP="00363AB8">
      <w:pPr>
        <w:pStyle w:val="ListParagraph"/>
        <w:ind w:left="1440"/>
        <w:jc w:val="both"/>
      </w:pPr>
      <w:r>
        <w:t>Las líneas punteadas</w:t>
      </w:r>
      <w:r w:rsidR="00E215C4">
        <w:t xml:space="preserve"> de los extremos</w:t>
      </w:r>
      <w:r>
        <w:t xml:space="preserve"> son los percentiles de</w:t>
      </w:r>
      <w:r w:rsidR="00E215C4">
        <w:t>l IC y la línea de en medio es la mediana.</w:t>
      </w:r>
    </w:p>
    <w:p w14:paraId="55CA1D0E" w14:textId="45C991A7" w:rsidR="00E215C4" w:rsidRDefault="00E215C4" w:rsidP="00363AB8">
      <w:pPr>
        <w:pStyle w:val="ListParagraph"/>
        <w:ind w:left="1440"/>
        <w:jc w:val="both"/>
      </w:pPr>
    </w:p>
    <w:p w14:paraId="60E59F43" w14:textId="331F47D7" w:rsidR="00E215C4" w:rsidRDefault="00E215C4" w:rsidP="00363AB8">
      <w:pPr>
        <w:pStyle w:val="ListParagraph"/>
        <w:ind w:left="1440"/>
        <w:jc w:val="both"/>
      </w:pPr>
      <w:r>
        <w:t>Se espera que los coeficientes tengan una distribución normal</w:t>
      </w:r>
      <w:r w:rsidR="00F17399">
        <w:t xml:space="preserve"> para considerar que el coeficiente no tiene sesgo</w:t>
      </w:r>
      <w:r w:rsidR="001B1DEE">
        <w:t>, esto implica que tanto el “</w:t>
      </w:r>
      <w:proofErr w:type="spellStart"/>
      <w:r w:rsidR="001B1DEE">
        <w:t>Kernel</w:t>
      </w:r>
      <w:proofErr w:type="spellEnd"/>
      <w:r w:rsidR="001B1DEE">
        <w:t xml:space="preserve">” tenga un comportamiento similar a “Normal”, la mediana </w:t>
      </w:r>
      <w:r w:rsidR="00051D88">
        <w:t xml:space="preserve">sea igual a la media y esté </w:t>
      </w:r>
      <w:r w:rsidR="00AB2C68">
        <w:t xml:space="preserve">equidistante a </w:t>
      </w:r>
      <w:r w:rsidR="00363AB8">
        <w:t>los percentiles.</w:t>
      </w:r>
    </w:p>
    <w:p w14:paraId="53BD966B" w14:textId="2B406C40" w:rsidR="00CF7396" w:rsidRDefault="00CF7396" w:rsidP="00CB7B44">
      <w:pPr>
        <w:pStyle w:val="ListParagraph"/>
        <w:ind w:left="1440"/>
      </w:pPr>
    </w:p>
    <w:p w14:paraId="6185A3DF" w14:textId="26B94029" w:rsidR="00CF7396" w:rsidRDefault="006A5710" w:rsidP="006A5710">
      <w:pPr>
        <w:pStyle w:val="ListParagraph"/>
        <w:ind w:left="1440"/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2EF516C" wp14:editId="3F02CEB9">
            <wp:extent cx="2183642" cy="218364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1" cy="21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3EBC" w14:textId="5BD18535" w:rsidR="00363AB8" w:rsidRDefault="00016068" w:rsidP="00016068">
      <w:pPr>
        <w:ind w:left="1416"/>
      </w:pPr>
      <w:r>
        <w:lastRenderedPageBreak/>
        <w:t xml:space="preserve">A </w:t>
      </w:r>
      <w:r w:rsidR="00FE538F">
        <w:t>continuación,</w:t>
      </w:r>
      <w:r>
        <w:t xml:space="preserve"> viene el histograma de </w:t>
      </w:r>
      <w:r w:rsidR="00B849AA">
        <w:t>la variable “</w:t>
      </w:r>
      <w:proofErr w:type="spellStart"/>
      <w:r w:rsidR="00B849AA">
        <w:t>PetalLength</w:t>
      </w:r>
      <w:proofErr w:type="spellEnd"/>
      <w:r w:rsidR="00B849AA">
        <w:t xml:space="preserve">”, éste muestra un leve sesgo; sin embargo, no es significativo </w:t>
      </w:r>
      <w:r w:rsidR="00CD13DD">
        <w:t xml:space="preserve">ya que la mediana está cerca de la media y se muestra </w:t>
      </w:r>
      <w:proofErr w:type="spellStart"/>
      <w:r w:rsidR="00CD13DD">
        <w:t>equidistance</w:t>
      </w:r>
      <w:proofErr w:type="spellEnd"/>
      <w:r w:rsidR="00CD13DD">
        <w:t>.</w:t>
      </w:r>
    </w:p>
    <w:p w14:paraId="598CF2A0" w14:textId="029DD3A1" w:rsidR="00FE538F" w:rsidRPr="00EB73C8" w:rsidRDefault="00FE538F" w:rsidP="00FE538F">
      <w:pPr>
        <w:ind w:left="1416"/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BCC70EC" wp14:editId="5605FE8A">
            <wp:extent cx="1999397" cy="1999397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57" cy="20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38F" w:rsidRPr="00EB73C8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26198" w14:textId="77777777" w:rsidR="00320042" w:rsidRDefault="00320042" w:rsidP="000A26A6">
      <w:pPr>
        <w:spacing w:after="0" w:line="240" w:lineRule="auto"/>
      </w:pPr>
      <w:r>
        <w:separator/>
      </w:r>
    </w:p>
  </w:endnote>
  <w:endnote w:type="continuationSeparator" w:id="0">
    <w:p w14:paraId="42BFC59B" w14:textId="77777777" w:rsidR="00320042" w:rsidRDefault="00320042" w:rsidP="000A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020D4" w14:textId="77777777" w:rsidR="00875AB1" w:rsidRDefault="00875AB1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903957" wp14:editId="7EF4B7E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5f5642faaf6bf221628b844c" descr="{&quot;HashCode&quot;:-15280501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FCC1BF" w14:textId="1E9D6772" w:rsidR="00875AB1" w:rsidRPr="000A26A6" w:rsidRDefault="00875AB1" w:rsidP="000A26A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03957" id="_x0000_t202" coordsize="21600,21600" o:spt="202" path="m,l,21600r21600,l21600,xe">
              <v:stroke joinstyle="miter"/>
              <v:path gradientshapeok="t" o:connecttype="rect"/>
            </v:shapetype>
            <v:shape id="MSIPCM5f5642faaf6bf221628b844c" o:spid="_x0000_s1027" type="#_x0000_t202" alt="{&quot;HashCode&quot;:-152805018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69FCC1BF" w14:textId="1E9D6772" w:rsidR="00875AB1" w:rsidRPr="000A26A6" w:rsidRDefault="00875AB1" w:rsidP="000A26A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A4CB0" w14:textId="77777777" w:rsidR="00320042" w:rsidRDefault="00320042" w:rsidP="000A26A6">
      <w:pPr>
        <w:spacing w:after="0" w:line="240" w:lineRule="auto"/>
      </w:pPr>
      <w:r>
        <w:separator/>
      </w:r>
    </w:p>
  </w:footnote>
  <w:footnote w:type="continuationSeparator" w:id="0">
    <w:p w14:paraId="41017198" w14:textId="77777777" w:rsidR="00320042" w:rsidRDefault="00320042" w:rsidP="000A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C01"/>
    <w:multiLevelType w:val="hybridMultilevel"/>
    <w:tmpl w:val="0D083FC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B2E7B"/>
    <w:multiLevelType w:val="hybridMultilevel"/>
    <w:tmpl w:val="A54E4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FD8"/>
    <w:multiLevelType w:val="hybridMultilevel"/>
    <w:tmpl w:val="A6209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02894"/>
    <w:multiLevelType w:val="hybridMultilevel"/>
    <w:tmpl w:val="E174C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710"/>
    <w:multiLevelType w:val="hybridMultilevel"/>
    <w:tmpl w:val="EF4CE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A2DCC"/>
    <w:multiLevelType w:val="hybridMultilevel"/>
    <w:tmpl w:val="D4820E5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DD5C3E"/>
    <w:multiLevelType w:val="hybridMultilevel"/>
    <w:tmpl w:val="35B26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30C2D"/>
    <w:multiLevelType w:val="hybridMultilevel"/>
    <w:tmpl w:val="68587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6D25"/>
    <w:multiLevelType w:val="hybridMultilevel"/>
    <w:tmpl w:val="CC10F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3A7"/>
    <w:multiLevelType w:val="hybridMultilevel"/>
    <w:tmpl w:val="460C901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C475E"/>
    <w:multiLevelType w:val="hybridMultilevel"/>
    <w:tmpl w:val="7ECAA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B4440"/>
    <w:multiLevelType w:val="hybridMultilevel"/>
    <w:tmpl w:val="DB9C82D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43509"/>
    <w:multiLevelType w:val="hybridMultilevel"/>
    <w:tmpl w:val="460C901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4177F1"/>
    <w:multiLevelType w:val="hybridMultilevel"/>
    <w:tmpl w:val="61547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70A5C"/>
    <w:multiLevelType w:val="hybridMultilevel"/>
    <w:tmpl w:val="5142A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6345F"/>
    <w:multiLevelType w:val="hybridMultilevel"/>
    <w:tmpl w:val="BF0CE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84532">
    <w:abstractNumId w:val="10"/>
  </w:num>
  <w:num w:numId="2" w16cid:durableId="1548102014">
    <w:abstractNumId w:val="15"/>
  </w:num>
  <w:num w:numId="3" w16cid:durableId="2022662928">
    <w:abstractNumId w:val="14"/>
  </w:num>
  <w:num w:numId="4" w16cid:durableId="627011724">
    <w:abstractNumId w:val="2"/>
  </w:num>
  <w:num w:numId="5" w16cid:durableId="15003901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4495758">
    <w:abstractNumId w:val="4"/>
  </w:num>
  <w:num w:numId="7" w16cid:durableId="559513372">
    <w:abstractNumId w:val="8"/>
  </w:num>
  <w:num w:numId="8" w16cid:durableId="1496336050">
    <w:abstractNumId w:val="1"/>
  </w:num>
  <w:num w:numId="9" w16cid:durableId="327903861">
    <w:abstractNumId w:val="7"/>
  </w:num>
  <w:num w:numId="10" w16cid:durableId="1306854857">
    <w:abstractNumId w:val="12"/>
  </w:num>
  <w:num w:numId="11" w16cid:durableId="1508864676">
    <w:abstractNumId w:val="9"/>
  </w:num>
  <w:num w:numId="12" w16cid:durableId="1658992684">
    <w:abstractNumId w:val="11"/>
  </w:num>
  <w:num w:numId="13" w16cid:durableId="719135105">
    <w:abstractNumId w:val="0"/>
  </w:num>
  <w:num w:numId="14" w16cid:durableId="1172062977">
    <w:abstractNumId w:val="3"/>
  </w:num>
  <w:num w:numId="15" w16cid:durableId="1924489266">
    <w:abstractNumId w:val="6"/>
  </w:num>
  <w:num w:numId="16" w16cid:durableId="888999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00"/>
    <w:rsid w:val="000016A4"/>
    <w:rsid w:val="00006127"/>
    <w:rsid w:val="00006C53"/>
    <w:rsid w:val="000116A4"/>
    <w:rsid w:val="00016068"/>
    <w:rsid w:val="000171C8"/>
    <w:rsid w:val="00042E51"/>
    <w:rsid w:val="000434A0"/>
    <w:rsid w:val="00043E79"/>
    <w:rsid w:val="00051D88"/>
    <w:rsid w:val="00057607"/>
    <w:rsid w:val="00071DFF"/>
    <w:rsid w:val="00074071"/>
    <w:rsid w:val="0007408D"/>
    <w:rsid w:val="00076719"/>
    <w:rsid w:val="000807B4"/>
    <w:rsid w:val="00094BA0"/>
    <w:rsid w:val="00095D72"/>
    <w:rsid w:val="000A26A6"/>
    <w:rsid w:val="000A3035"/>
    <w:rsid w:val="000A4293"/>
    <w:rsid w:val="000A712E"/>
    <w:rsid w:val="000B33D6"/>
    <w:rsid w:val="000D0850"/>
    <w:rsid w:val="000D7CA6"/>
    <w:rsid w:val="000E0514"/>
    <w:rsid w:val="000E18C8"/>
    <w:rsid w:val="000F76DD"/>
    <w:rsid w:val="001020C4"/>
    <w:rsid w:val="0010466A"/>
    <w:rsid w:val="00111CA1"/>
    <w:rsid w:val="001169BF"/>
    <w:rsid w:val="00125F2B"/>
    <w:rsid w:val="00127514"/>
    <w:rsid w:val="00127C8A"/>
    <w:rsid w:val="00136860"/>
    <w:rsid w:val="00140B7C"/>
    <w:rsid w:val="001415F1"/>
    <w:rsid w:val="00146579"/>
    <w:rsid w:val="0014711F"/>
    <w:rsid w:val="001563F3"/>
    <w:rsid w:val="00162B04"/>
    <w:rsid w:val="00166B0E"/>
    <w:rsid w:val="00171BE5"/>
    <w:rsid w:val="00177A6D"/>
    <w:rsid w:val="00194A53"/>
    <w:rsid w:val="001A5131"/>
    <w:rsid w:val="001A6B0F"/>
    <w:rsid w:val="001B1DEE"/>
    <w:rsid w:val="001B2C2A"/>
    <w:rsid w:val="001C29C9"/>
    <w:rsid w:val="001C7A23"/>
    <w:rsid w:val="001D347C"/>
    <w:rsid w:val="001E6B31"/>
    <w:rsid w:val="001E7E0B"/>
    <w:rsid w:val="00201000"/>
    <w:rsid w:val="002303DD"/>
    <w:rsid w:val="00230AB6"/>
    <w:rsid w:val="0023433A"/>
    <w:rsid w:val="0025126F"/>
    <w:rsid w:val="00253856"/>
    <w:rsid w:val="00253D20"/>
    <w:rsid w:val="00255AA6"/>
    <w:rsid w:val="00260105"/>
    <w:rsid w:val="00262C70"/>
    <w:rsid w:val="002748AE"/>
    <w:rsid w:val="00280B58"/>
    <w:rsid w:val="00282F74"/>
    <w:rsid w:val="002911C3"/>
    <w:rsid w:val="002A4800"/>
    <w:rsid w:val="002B16F7"/>
    <w:rsid w:val="002B6CAE"/>
    <w:rsid w:val="002C5604"/>
    <w:rsid w:val="002C5684"/>
    <w:rsid w:val="002C590A"/>
    <w:rsid w:val="002F386C"/>
    <w:rsid w:val="00300D06"/>
    <w:rsid w:val="0031073D"/>
    <w:rsid w:val="00310C8E"/>
    <w:rsid w:val="003111DD"/>
    <w:rsid w:val="00320042"/>
    <w:rsid w:val="00330777"/>
    <w:rsid w:val="00330C31"/>
    <w:rsid w:val="00336231"/>
    <w:rsid w:val="00337E0E"/>
    <w:rsid w:val="00340BF4"/>
    <w:rsid w:val="00344338"/>
    <w:rsid w:val="003450FA"/>
    <w:rsid w:val="0035489B"/>
    <w:rsid w:val="00363A86"/>
    <w:rsid w:val="00363AB8"/>
    <w:rsid w:val="003647F3"/>
    <w:rsid w:val="00381E65"/>
    <w:rsid w:val="003921FE"/>
    <w:rsid w:val="00397043"/>
    <w:rsid w:val="003A0FD9"/>
    <w:rsid w:val="003A5836"/>
    <w:rsid w:val="003A7965"/>
    <w:rsid w:val="003B176D"/>
    <w:rsid w:val="003D5BC9"/>
    <w:rsid w:val="003E3506"/>
    <w:rsid w:val="003F0611"/>
    <w:rsid w:val="003F25B4"/>
    <w:rsid w:val="0040344E"/>
    <w:rsid w:val="00404796"/>
    <w:rsid w:val="004107F0"/>
    <w:rsid w:val="004237AB"/>
    <w:rsid w:val="0042714A"/>
    <w:rsid w:val="00444C9F"/>
    <w:rsid w:val="00447027"/>
    <w:rsid w:val="00452FF2"/>
    <w:rsid w:val="00467F64"/>
    <w:rsid w:val="00496AE7"/>
    <w:rsid w:val="004A4415"/>
    <w:rsid w:val="004A585F"/>
    <w:rsid w:val="004B0CA2"/>
    <w:rsid w:val="004B0FC5"/>
    <w:rsid w:val="004B1649"/>
    <w:rsid w:val="004B1E4F"/>
    <w:rsid w:val="004C44F3"/>
    <w:rsid w:val="004C75E3"/>
    <w:rsid w:val="004D013A"/>
    <w:rsid w:val="004E082F"/>
    <w:rsid w:val="004E6254"/>
    <w:rsid w:val="004F03EA"/>
    <w:rsid w:val="004F1371"/>
    <w:rsid w:val="00506980"/>
    <w:rsid w:val="005229AF"/>
    <w:rsid w:val="00522F79"/>
    <w:rsid w:val="00532CE5"/>
    <w:rsid w:val="0053384F"/>
    <w:rsid w:val="00535F96"/>
    <w:rsid w:val="0055766E"/>
    <w:rsid w:val="0056334A"/>
    <w:rsid w:val="00566106"/>
    <w:rsid w:val="00572EF8"/>
    <w:rsid w:val="0057661D"/>
    <w:rsid w:val="00576FB9"/>
    <w:rsid w:val="00582BA5"/>
    <w:rsid w:val="00594782"/>
    <w:rsid w:val="005A1C43"/>
    <w:rsid w:val="005B094C"/>
    <w:rsid w:val="005B62A9"/>
    <w:rsid w:val="005B6D36"/>
    <w:rsid w:val="005D2A42"/>
    <w:rsid w:val="005E0E18"/>
    <w:rsid w:val="005E1BAB"/>
    <w:rsid w:val="005F18EF"/>
    <w:rsid w:val="005F7255"/>
    <w:rsid w:val="006210B4"/>
    <w:rsid w:val="00630314"/>
    <w:rsid w:val="00632F13"/>
    <w:rsid w:val="00647171"/>
    <w:rsid w:val="0066173D"/>
    <w:rsid w:val="00680E2B"/>
    <w:rsid w:val="006A092A"/>
    <w:rsid w:val="006A5710"/>
    <w:rsid w:val="006A6BE1"/>
    <w:rsid w:val="006D70DB"/>
    <w:rsid w:val="006E18C8"/>
    <w:rsid w:val="00703A27"/>
    <w:rsid w:val="0070418F"/>
    <w:rsid w:val="00720543"/>
    <w:rsid w:val="00745E11"/>
    <w:rsid w:val="00752D53"/>
    <w:rsid w:val="007619DE"/>
    <w:rsid w:val="007652C3"/>
    <w:rsid w:val="00765C9E"/>
    <w:rsid w:val="00766C38"/>
    <w:rsid w:val="0077125B"/>
    <w:rsid w:val="00796FBD"/>
    <w:rsid w:val="007B37BC"/>
    <w:rsid w:val="007D48C2"/>
    <w:rsid w:val="007E1A35"/>
    <w:rsid w:val="007E494E"/>
    <w:rsid w:val="00803B4A"/>
    <w:rsid w:val="008139A9"/>
    <w:rsid w:val="00832A37"/>
    <w:rsid w:val="0083343A"/>
    <w:rsid w:val="00837587"/>
    <w:rsid w:val="00862A9A"/>
    <w:rsid w:val="00875AB1"/>
    <w:rsid w:val="00887088"/>
    <w:rsid w:val="008A2B5F"/>
    <w:rsid w:val="008B001D"/>
    <w:rsid w:val="008B6E03"/>
    <w:rsid w:val="008C08E8"/>
    <w:rsid w:val="008D1856"/>
    <w:rsid w:val="008D4B85"/>
    <w:rsid w:val="008E61E1"/>
    <w:rsid w:val="009056F4"/>
    <w:rsid w:val="009172AF"/>
    <w:rsid w:val="009244A5"/>
    <w:rsid w:val="00924C3E"/>
    <w:rsid w:val="00933C92"/>
    <w:rsid w:val="00936CF3"/>
    <w:rsid w:val="009478DF"/>
    <w:rsid w:val="00957268"/>
    <w:rsid w:val="0096576D"/>
    <w:rsid w:val="00966770"/>
    <w:rsid w:val="00975366"/>
    <w:rsid w:val="00975771"/>
    <w:rsid w:val="00977D1D"/>
    <w:rsid w:val="0098513C"/>
    <w:rsid w:val="00987B62"/>
    <w:rsid w:val="00994C79"/>
    <w:rsid w:val="009A45F4"/>
    <w:rsid w:val="009A4B01"/>
    <w:rsid w:val="009B0A63"/>
    <w:rsid w:val="009B5240"/>
    <w:rsid w:val="009D2A3C"/>
    <w:rsid w:val="009D2F33"/>
    <w:rsid w:val="009D4520"/>
    <w:rsid w:val="009E10FC"/>
    <w:rsid w:val="009E3EF9"/>
    <w:rsid w:val="009E406A"/>
    <w:rsid w:val="009F71E8"/>
    <w:rsid w:val="00A00594"/>
    <w:rsid w:val="00A00FD0"/>
    <w:rsid w:val="00A02BEF"/>
    <w:rsid w:val="00A05FB8"/>
    <w:rsid w:val="00A2392A"/>
    <w:rsid w:val="00A25C37"/>
    <w:rsid w:val="00A376EC"/>
    <w:rsid w:val="00A46573"/>
    <w:rsid w:val="00A46A32"/>
    <w:rsid w:val="00A5637F"/>
    <w:rsid w:val="00A80259"/>
    <w:rsid w:val="00A8044B"/>
    <w:rsid w:val="00A8159D"/>
    <w:rsid w:val="00A8317B"/>
    <w:rsid w:val="00A872A4"/>
    <w:rsid w:val="00AB2C68"/>
    <w:rsid w:val="00AB3E73"/>
    <w:rsid w:val="00AC55FF"/>
    <w:rsid w:val="00AD77DC"/>
    <w:rsid w:val="00AE609A"/>
    <w:rsid w:val="00B16084"/>
    <w:rsid w:val="00B23A48"/>
    <w:rsid w:val="00B35D8E"/>
    <w:rsid w:val="00B53824"/>
    <w:rsid w:val="00B56B7F"/>
    <w:rsid w:val="00B62C38"/>
    <w:rsid w:val="00B74E09"/>
    <w:rsid w:val="00B849AA"/>
    <w:rsid w:val="00B84C9E"/>
    <w:rsid w:val="00B90299"/>
    <w:rsid w:val="00B92BC3"/>
    <w:rsid w:val="00BA1468"/>
    <w:rsid w:val="00BA4BF9"/>
    <w:rsid w:val="00BC1C5C"/>
    <w:rsid w:val="00BD6467"/>
    <w:rsid w:val="00BE30B2"/>
    <w:rsid w:val="00BE6799"/>
    <w:rsid w:val="00BF5278"/>
    <w:rsid w:val="00C022C8"/>
    <w:rsid w:val="00C20811"/>
    <w:rsid w:val="00C25311"/>
    <w:rsid w:val="00C30D3E"/>
    <w:rsid w:val="00C42CA1"/>
    <w:rsid w:val="00C44E98"/>
    <w:rsid w:val="00C62FB9"/>
    <w:rsid w:val="00C67BA0"/>
    <w:rsid w:val="00C80BC2"/>
    <w:rsid w:val="00C83981"/>
    <w:rsid w:val="00C84E6C"/>
    <w:rsid w:val="00C938F7"/>
    <w:rsid w:val="00C940E2"/>
    <w:rsid w:val="00CA04F6"/>
    <w:rsid w:val="00CA3044"/>
    <w:rsid w:val="00CB7B44"/>
    <w:rsid w:val="00CC48F9"/>
    <w:rsid w:val="00CD12B7"/>
    <w:rsid w:val="00CD13DD"/>
    <w:rsid w:val="00CD2A2A"/>
    <w:rsid w:val="00CE02F9"/>
    <w:rsid w:val="00CE2562"/>
    <w:rsid w:val="00CE3009"/>
    <w:rsid w:val="00CE4358"/>
    <w:rsid w:val="00CF7396"/>
    <w:rsid w:val="00D0664F"/>
    <w:rsid w:val="00D250E3"/>
    <w:rsid w:val="00D37A65"/>
    <w:rsid w:val="00D42533"/>
    <w:rsid w:val="00D53F97"/>
    <w:rsid w:val="00D6332B"/>
    <w:rsid w:val="00D65457"/>
    <w:rsid w:val="00D666FD"/>
    <w:rsid w:val="00D902AB"/>
    <w:rsid w:val="00D91147"/>
    <w:rsid w:val="00D91567"/>
    <w:rsid w:val="00DC7D22"/>
    <w:rsid w:val="00DD49DA"/>
    <w:rsid w:val="00DE682B"/>
    <w:rsid w:val="00DE7EA9"/>
    <w:rsid w:val="00E03C5D"/>
    <w:rsid w:val="00E0682E"/>
    <w:rsid w:val="00E21359"/>
    <w:rsid w:val="00E215C4"/>
    <w:rsid w:val="00E36648"/>
    <w:rsid w:val="00E415CA"/>
    <w:rsid w:val="00E51176"/>
    <w:rsid w:val="00E51AEF"/>
    <w:rsid w:val="00E555A7"/>
    <w:rsid w:val="00E6290C"/>
    <w:rsid w:val="00E822F6"/>
    <w:rsid w:val="00E86A39"/>
    <w:rsid w:val="00E90C6C"/>
    <w:rsid w:val="00E937C2"/>
    <w:rsid w:val="00E94797"/>
    <w:rsid w:val="00E969BC"/>
    <w:rsid w:val="00E979D9"/>
    <w:rsid w:val="00EB0F4A"/>
    <w:rsid w:val="00EB137A"/>
    <w:rsid w:val="00EB137F"/>
    <w:rsid w:val="00EB73C8"/>
    <w:rsid w:val="00EC1048"/>
    <w:rsid w:val="00ED58E5"/>
    <w:rsid w:val="00EE4988"/>
    <w:rsid w:val="00EE5457"/>
    <w:rsid w:val="00F00F48"/>
    <w:rsid w:val="00F1453B"/>
    <w:rsid w:val="00F17399"/>
    <w:rsid w:val="00F278AB"/>
    <w:rsid w:val="00F327DE"/>
    <w:rsid w:val="00F448DB"/>
    <w:rsid w:val="00F51B61"/>
    <w:rsid w:val="00F64418"/>
    <w:rsid w:val="00F8783C"/>
    <w:rsid w:val="00FA24DA"/>
    <w:rsid w:val="00FA66B7"/>
    <w:rsid w:val="00FA7D31"/>
    <w:rsid w:val="00FB46E3"/>
    <w:rsid w:val="00FD14E4"/>
    <w:rsid w:val="00FE5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DCF3AC"/>
  <w15:chartTrackingRefBased/>
  <w15:docId w15:val="{8E34ADD5-2D08-4748-B3F8-8091DF9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00"/>
  </w:style>
  <w:style w:type="paragraph" w:styleId="Heading1">
    <w:name w:val="heading 1"/>
    <w:basedOn w:val="Normal"/>
    <w:next w:val="Normal"/>
    <w:link w:val="Heading1Char"/>
    <w:uiPriority w:val="9"/>
    <w:qFormat/>
    <w:rsid w:val="002A48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8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8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48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0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4800"/>
    <w:rPr>
      <w:b/>
      <w:bCs/>
    </w:rPr>
  </w:style>
  <w:style w:type="character" w:styleId="Emphasis">
    <w:name w:val="Emphasis"/>
    <w:basedOn w:val="DefaultParagraphFont"/>
    <w:uiPriority w:val="20"/>
    <w:qFormat/>
    <w:rsid w:val="002A4800"/>
    <w:rPr>
      <w:i/>
      <w:iCs/>
      <w:color w:val="000000" w:themeColor="text1"/>
    </w:rPr>
  </w:style>
  <w:style w:type="paragraph" w:styleId="NoSpacing">
    <w:name w:val="No Spacing"/>
    <w:uiPriority w:val="1"/>
    <w:qFormat/>
    <w:rsid w:val="002A4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8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80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48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48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48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48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48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4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8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8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4800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4800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A6"/>
  </w:style>
  <w:style w:type="paragraph" w:styleId="Footer">
    <w:name w:val="footer"/>
    <w:basedOn w:val="Normal"/>
    <w:link w:val="FooterChar"/>
    <w:uiPriority w:val="99"/>
    <w:unhideWhenUsed/>
    <w:rsid w:val="000A26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A6"/>
  </w:style>
  <w:style w:type="table" w:styleId="TableGrid">
    <w:name w:val="Table Grid"/>
    <w:basedOn w:val="TableNormal"/>
    <w:uiPriority w:val="39"/>
    <w:rsid w:val="0057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A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3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3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1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0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7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4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DC809FADB6D419F0191EF9B414C05" ma:contentTypeVersion="16" ma:contentTypeDescription="Crear nuevo documento." ma:contentTypeScope="" ma:versionID="9ecb5e27f4bd8c8df4316be9596e89e6">
  <xsd:schema xmlns:xsd="http://www.w3.org/2001/XMLSchema" xmlns:xs="http://www.w3.org/2001/XMLSchema" xmlns:p="http://schemas.microsoft.com/office/2006/metadata/properties" xmlns:ns2="ab880a3b-567d-434e-8499-a7707966776f" xmlns:ns3="580c8cc8-ee02-4e86-8940-e193eb6af0d8" targetNamespace="http://schemas.microsoft.com/office/2006/metadata/properties" ma:root="true" ma:fieldsID="f29b63b7c353b939eeab5338b3813659" ns2:_="" ns3:_="">
    <xsd:import namespace="ab880a3b-567d-434e-8499-a7707966776f"/>
    <xsd:import namespace="580c8cc8-ee02-4e86-8940-e193eb6af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80a3b-567d-434e-8499-a77079667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578d6fb-034f-4618-ad9b-ef87b0886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c8cc8-ee02-4e86-8940-e193eb6af0d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7f64da-55cf-4514-8616-e9c83b873172}" ma:internalName="TaxCatchAll" ma:showField="CatchAllData" ma:web="580c8cc8-ee02-4e86-8940-e193eb6af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0c8cc8-ee02-4e86-8940-e193eb6af0d8" xsi:nil="true"/>
    <lcf76f155ced4ddcb4097134ff3c332f xmlns="ab880a3b-567d-434e-8499-a770796677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70A4-6946-4847-86D9-976112EC2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80a3b-567d-434e-8499-a7707966776f"/>
    <ds:schemaRef ds:uri="580c8cc8-ee02-4e86-8940-e193eb6af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60191-5B13-4D3B-8C34-7C01584DF37C}">
  <ds:schemaRefs>
    <ds:schemaRef ds:uri="http://schemas.microsoft.com/office/2006/metadata/properties"/>
    <ds:schemaRef ds:uri="http://schemas.microsoft.com/office/infopath/2007/PartnerControls"/>
    <ds:schemaRef ds:uri="580c8cc8-ee02-4e86-8940-e193eb6af0d8"/>
    <ds:schemaRef ds:uri="ab880a3b-567d-434e-8499-a7707966776f"/>
  </ds:schemaRefs>
</ds:datastoreItem>
</file>

<file path=customXml/itemProps3.xml><?xml version="1.0" encoding="utf-8"?>
<ds:datastoreItem xmlns:ds="http://schemas.openxmlformats.org/officeDocument/2006/customXml" ds:itemID="{28ECE69E-5CB0-4C19-88A9-6E0553C3B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D34DC-E286-4BF2-9570-B7FEAF20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1451</Words>
  <Characters>7982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/>
      <vt:lpstr/>
      <vt:lpstr/>
      <vt:lpstr/>
      <vt:lpstr/>
      <vt:lpstr>DOCUMENTACIÓN</vt:lpstr>
      <vt:lpstr>TARIFA DE RESPONSABILIDAD CIVÍL DE AUTOVÍA</vt:lpstr>
      <vt:lpstr>Diciembre 2020</vt:lpstr>
      <vt:lpstr>/</vt:lpstr>
      <vt:lpstr>Introducción </vt:lpstr>
      <vt:lpstr>Definición de Coberturas</vt:lpstr>
      <vt:lpstr>Proceso General de la Estimación de la Cuota de Autovía</vt:lpstr>
      <vt:lpstr>1.- Procesamiento de Bases de Datos</vt:lpstr>
      <vt:lpstr>2.- Identificar coberturas</vt:lpstr>
      <vt:lpstr>3.- Preparación de Base Datos</vt:lpstr>
      <vt:lpstr>Analisis de la Información</vt:lpstr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ANAHI ARELLANO</dc:creator>
  <cp:keywords/>
  <dc:description/>
  <cp:lastModifiedBy>Adrian Sandoval Cordero</cp:lastModifiedBy>
  <cp:revision>3</cp:revision>
  <dcterms:created xsi:type="dcterms:W3CDTF">2025-06-14T04:05:00Z</dcterms:created>
  <dcterms:modified xsi:type="dcterms:W3CDTF">2025-06-14T04:06:00Z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sandra.anahi.arellano@mx.zurich.com</vt:lpwstr>
  </property>
  <property fmtid="{D5CDD505-2E9C-101B-9397-08002B2CF9AE}" pid="5" name="MSIP_Label_9108d454-5c13-4905-93be-12ec8059c842_SetDate">
    <vt:lpwstr>2020-09-10T13:54:28.0385645Z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ActionId">
    <vt:lpwstr>d66256c0-2068-43d3-a780-c7c0d63061b0</vt:lpwstr>
  </property>
  <property fmtid="{D5CDD505-2E9C-101B-9397-08002B2CF9AE}" pid="9" name="MSIP_Label_9108d454-5c13-4905-93be-12ec8059c842_Extended_MSFT_Method">
    <vt:lpwstr>Manual</vt:lpwstr>
  </property>
  <property fmtid="{D5CDD505-2E9C-101B-9397-08002B2CF9AE}" pid="10" name="Sensitivity">
    <vt:lpwstr>Internal Use Only</vt:lpwstr>
  </property>
  <property fmtid="{D5CDD505-2E9C-101B-9397-08002B2CF9AE}" pid="11" name="ContentTypeId">
    <vt:lpwstr>0x01010004CDC809FADB6D419F0191EF9B414C05</vt:lpwstr>
  </property>
</Properties>
</file>