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Se presupune că dreptul de proprietate asupra imobilului evaluat este valabil, opozabil și liber de sarcini, cu excepția situațiilor care ar putea rezulta din documentele puse la dispoziție evaluatorului și care nu pot fi verificate în mod independent în cadrul misiunii. Totodată, se consideră că informațiile privind identificarea bunului, caracteristicile sale fizice și juridice, precum și datele utilizate în evaluare sunt complete și corecte, în limitele documentației disponibile.</w:t>
        <w:br/>
        <w:br/>
        <w:t>Evaluarea a fost efectuată având la bază ipoteza că structura de rezistență, elementele constructive și instalațiile aferente sunt corespunzătoare utilizării curente și nu prezintă deficiențe ascunse care ar putea influența semnificativ valoarea de piață. Nu au fost realizate investigații tehnice distructive, expertize structurale detaliate, studii geotehnice, verificări ale terenului de fundare sau alte cercetări care depășesc cadrul obișnuit al unei inspecții de evaluare; prin urmare, orice condiții ascunse, neobservabile la data inspecției, rămân în afara responsabilității evaluatorului.</w:t>
        <w:br/>
        <w:br/>
        <w:t>Se presupune, de asemenea, că imobilul respectă cerințele urbanistice și de reglementare aplicabile la data evaluării, în măsura în care acestea influențează utilizarea curentă și transferabilitatea proprietății. Orice informație privind suprafețele de teren și construcție, categoria de folosință, precum și celelalte date numerice utilizate au fost preluate exclusiv din datele furnizate în cadrul misiunii și au fost utilizate fără modificare.</w:t>
        <w:br/>
        <w:br/>
        <w:t>Raportul de evaluare a fost întocmit exclusiv pentru scopul declarat, respectiv garantarea creditului ipotecar, în beneficiul Banca Comerciala Exemplu S.A., și nu poate fi utilizat, integral sau parțial, pentru alte scopuri decât cele pentru care a fost elaborat, fără acordul evaluatorului și fără reanalizarea contextului, a datelor de intrare și a ipotezelor avute în vedere.</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se caracterizează printr-un nivel al cererii corelat cu oferta existentă pentru proprietăți similare din zonă, iar analiza comparabilelor utilizate sugerează o piață activă, dar selectivă, în care diferențele de amplasament, suprafață și caracteristici constructive influențează semnificativ prețurile de tranzacționare. În acest context, prețul de piață este determinat în principal de interacțiunea dintre cerere și ofertă, iar lichiditatea poate fi apreciată ca fiind moderată, în sensul în care proprietățile comparabile se tranzacționează, însă selecția cumpărătorilor rămâne atentă la raportul dintre preț și caracteristicile individuale ale activului.</w:t>
        <w:br/>
        <w:br/>
        <w:t>Pe baza celor 3 comparabile utilizate în abordarea prin piață, nivelul rezultat al valorii de piață indică faptul că proprietățile din segmentul analizat se tranzacționează la valori care reflectă atât terenul, cât și construcția existentă, cu o contribuție estimată pentru teren de 27.664,00 EUR, rezultată din 39,52 EUR/mp aplicat la 700 mp. Valoarea alocată construcțiilor este de 107.603,00 EUR, iar valoarea finală reconciliată este de 135.267,00 EUR, ceea ce sugerează o piață în care componenta terenului are o pondere relevantă, dar construcția rămâne determinantă pentru nivelul total al prețului.</w:t>
        <w:br/>
        <w:br/>
        <w:t>Din perspectiva tendințelor observabile în cadrul eșantionului analizat, analiza sugerează o stabilitate relativă a pieței locale pentru proprietăți similare, fără indicii furnizate de datele disponibile care să impună o ajustare severă a valorii față de comparabilele selectate. Diferența dintre valoarea rezultată prin piață și valoarea obținută prin abordarea prin cost confirmă faptul că nivelul de piață este influențat de condițiile curente de tranzacționare, iar pentru scopul garantării creditului ipotecar concluzia de piață trebuie interpretată prudent, în limita comparabilelor avute la dispoziție.</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Constructie: Au 180 mp, Acd 220 mp, an referinta 2026.</w:t>
      </w:r>
    </w:p>
    <w:p>
      <w:r>
        <w:t>Imobilul evaluat este identificat juridic prin datele cadastrale și de carte funciară puse la dispoziție, respectiv 2xxxx (demo) și CF xxxxx Breaza (demo), iar analiza de față se întemeiază pe această identificare pentru delimitarea proprietății supuse evaluării. Scopul evaluării este garantarea unui credit ipotecar acordat de Client demonstrativ, iar valoarea de piață a fost estimată în conformitate cu SEV 102.</w:t>
        <w:br/>
        <w:br/>
        <w:t>Proprietatea are un teren intravilan cu suprafața de 700 mp. Din punct de vedere fizic, terenul reprezintă suportul construcției analizate și face obiectul alocării valorii în cadrul abordării prin piață, rezultând o valoare aferentă terenului de 27.664,00 EUR, determinată prin comparație la un nivel de 39,52 EUR/mp.</w:t>
        <w:br/>
        <w:br/>
        <w:t>Pe amplasament se află o construcție cu arie utilă de 180 mp și arie construită desfășurată de 220 mp, având an de referință 2026. În cadrul evaluării, valoarea alocată construcțiilor este de 107.603,00 EUR, elementele dimensionale fiind utilizate ca bază pentru caracterizarea fizică a imobilului și pentru corelarea cu analiza de piață.</w:t>
        <w:br/>
        <w:br/>
        <w:t>Din punct de vedere funcțional și al încadrării generale, proprietatea evaluată prezintă caracteristicile unui imobil rezidențial sau cu utilizare compatibilă cu datele constructive disponibile, însă descrierea de față se limitează strict la elementele numerice furnizate și la identificarea juridică indicată prin 2xxxx (demo) și CF xxxxx Breaza (demo).</w:t>
      </w:r>
    </w:p>
    <w:p>
      <w:pPr>
        <w:pStyle w:val="Heading1"/>
      </w:pPr>
      <w:r>
        <w:t>5. ANALIZA CELEI MAI BUNE UTILIZARI (CMBU)</w:t>
      </w:r>
    </w:p>
    <w:p>
      <w:r>
        <w:rPr>
          <w:i/>
          <w:color w:val="B06A00"/>
          <w:sz w:val="17"/>
        </w:rPr>
        <w:t>▮ NOTA DEMO — [AI] Analiza celei mai bune utilizari generata de AI.</w:t>
      </w:r>
    </w:p>
    <w:p>
      <w:r>
        <w:t>Analiza celei mai bune utilizări indică faptul că, pentru proprietatea evaluată, utilizarea care îndeplinește cumulativ criteriile de permisibilitate legală, posibilitate fizică, fezabilitate financiară și maximă productivitate este, în mod rezonabil, utilizarea rezidențială existentă. Această concluzie este susținută de caracteristicile proprietății, respectiv teren intravilan în suprafață de 700 mp, cu construcție având Arie utilă (Au) de 180 mp și Arie construită desfășurată (Acd) de 220 mp, configurate pentru exploatare curentă în regim rezidențial.</w:t>
        <w:br/>
        <w:br/>
        <w:t>Din punct de vedere fizic, amplasamentul și parametrii construiți permit continuarea utilizării actuale, fără a rezulta, pe baza datelor disponibile, necesitatea unei restructurări care să modifice radical destinația proprietății. Din punct de vedere legal, utilizarea rezidențială apare ca fiind compatibilă cu natura proprietății prezentate în evaluare, în condițiile în care datele furnizate nu indică restricții care să impună o utilizare alternativă. Prin urmare, analiza sugerează că utilizarea curentă este o opțiune realistă și coerentă cu profilul activului.</w:t>
        <w:br/>
        <w:br/>
        <w:t>Sub aspect financiar, valoarea de piață reconcilată prin abordarea prin piață este de 135267.00 EUR, în timp ce abordarea prin cost conduce la o valoare de 178735.07 EUR; diferența dintre aceste rezultate poate indica faptul că piața atribuie proprietății o valoare mai degrabă aliniată utilizării existente decât unei ipoteze de dezvoltare alternativă. Totodată, alocarea valorii relevă o componentă de 107603.00 EUR pentru construcții și 27664.00 EUR pentru teren, ceea ce sprijină concluzia că ansamblul imobiliar este valorificat coerent în forma sa actuală. În contextul scopului evaluării, respectiv garantarea creditului ipotecar, utilizarea rezidențială existentă pare a fi cea mai bună utilizare, fiind și maxim productivă în condițiile informațiilor disponibile.</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Ajustările din grila de comparație au fost aplicate pentru a aduce prețurile comparabile la nivelul caracteristicilor proprietății subiect, în acord cu logica abordării prin piață, care pornește de la prețurile proprietăților similare și le ajustează în funcție de deosebirile față de activul evaluat. În etapa de tranzacție, ajustările reflectă diferențele de piață dintre comparabile și proprietatea subiect, iar în etapa de proprietate se corectează diferențele specifice ale imobilului, precum terenul, suprafața utilă, suprafața construită desfășurată, configurația și utilitatea economică, astfel încât comparația finală să fie realizată pe o bază cât mai omogenă.</w:t>
        <w:br/>
        <w:br/>
        <w:t>Logica utilizată în selecția și ajustarea comparabilelor a urmărit identificarea celor mai apropiate tranzacții de proprietatea evaluată, cu accent pe similitudinea dintre caracteristicile relevante și pe reducerea distorsiunilor de preț prin ajustări prudente. Această abordare este compatibilă cu cerința ca evaluatorul să compare proprietăți reale și să explice raționamentul de selecție și ajustare pe baza datelor utilizate. În consecință, ajustările au rolul de a reflecta doar diferențele identificate și cuantificabile dintre comparabile și subiect, fără a altera baza de piață a analizei.</w:t>
        <w:br/>
        <w:br/>
        <w:t>Comparabilul selectat a fost cel cu ajustarea brută minimă deoarece a prezentat, dintre cele 3 comparabile analizate, cel mai redus nivel de diferență cumulată față de proprietatea subiect, ceea ce indică o proximitate mai mare în raport cu caracteristicile esențiale ale evaluării. Din punct de vedere metodologic, un comparabil cu ajustări brute mai mici este, în general, preferabil deoarece necesită mai puține corecții și reduce riscul ca valoarea estimată să fie influențată semnificativ de diferențe structurale între proprietăți. În cazul de față, această selecție a susținut obținerea unei valori finale reconciliate de 135267.00 EUR, cu alocarea valorii în 107603.00 EUR pentru construcții și 27664.00 EUR pentru teren, în concordanță cu datele furnizate.</w:t>
      </w:r>
    </w:p>
    <w:p>
      <w:pPr>
        <w:pStyle w:val="Heading1"/>
      </w:pPr>
      <w:r>
        <w:t>7. RECONCILIEREA REZULTATELOR SI CONCLUZIA VALORII</w:t>
      </w:r>
    </w:p>
    <w:p>
      <w:r>
        <w:rPr>
          <w:i/>
          <w:color w:val="B06A00"/>
          <w:sz w:val="17"/>
        </w:rPr>
        <w:t>▮ NOTA DEMO — [CALCULAT] Selectia metodei si valoarea finala sunt calculate. [AI] Textul explicativ.</w:t>
      </w:r>
    </w:p>
    <w:p>
      <w:r>
        <w:t>Abordarea prin piață a condus la o valoare de 135267.00 EUR, rezultat obținut pe baza comparabilelor disponibile, cu selectarea comparabilului index 0 din totalul de 3 comparabile analizate. Pentru teren, analiza prin comparație a indicat o valoare de 39.52 EUR/mp, ceea ce conduce la 27664.00 EUR pentru suprafața de 700 mp; diferența până la valoarea totală a fost alocată construcțiilor, respectiv 107603.00 EUR.</w:t>
        <w:br/>
        <w:br/>
        <w:t>Abordarea prin cost a condus la o valoare de 178735.07 EUR, determinată pe baza CIB = 182600.00 EUR, a unei durate economice de Vcp = 16.00 ani și a unei deprecieri fizice de 17.27%, cu rezultat intermediar CIN = 151071.07 EUR. Nivelul obținut prin cost este superior valorii rezultate prin piață, ceea ce poate indica influența condițiilor efective de tranzacționare și a preferințelor pieței asupra acestui tip de proprietate.</w:t>
        <w:br/>
        <w:br/>
        <w:t>În reconcilierea rezultatelor, s-a acordat pondere preponderentă abordării prin piață, având în vedere scopul evaluării, respectiv garantarea creditului ipotecar, precum și faptul că valoarea de piață trebuie să reflecte comportamentul participanților pe piață în condiții de tranzacționare comparabile. În consecință, valoarea finală reconciliată a proprietății este de 135267.00 EUR, aceasta reprezentând opinia evaluatorului asupra valorii de piață la data evaluării, în ipotezele și limitele prezentului raport.</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Riscul asociat garanției este apreciat ca fiind moderat, în condițiile în care proprietatea evaluată are o valoare de piață estimată la 135267.00 EUR, determinată prin abordarea prin piață, iar ponderea principală în valoare revine construcției, respectiv 107603.00 EUR, în timp ce terenului îi este alocată o valoare de 27664.00 EUR. Pentru garanția destinată creditului ipotecar, aceste elemente sugerează că bunul prezintă un nivel rezonabil de adecvare ca garanție, însă performanța sa pe durata creditului depinde de evoluția condițiilor de piață și de menținerea caracteristicilor actuale ale imobilului.</w:t>
        <w:br/>
        <w:br/>
        <w:t>Din perspectiva factorilor relevanți pentru performanța garanției pe perioada creditului, activitatea curentă și tendințele pieței relevante pot influența direct nivelul de valorificare în eventualitatea executării silite, iar cererea pentru tipul de bun și pentru localizarea acestuia este esențială pentru aprecierea lichidității. În absența unor date suplimentare privind piața locală, analiza sugerează că existența a 3 comparabile utilizate în abordarea prin piață susține o bază de analiză pentru evaluare, dar nu permite o concluzie mai fermă asupra profunzimii pieței sau a vitezei de vânzare.</w:t>
        <w:br/>
        <w:br/>
        <w:t>Cererea anterioară, curentă și viitoare pentru acest tip de proprietate, precum și posibilitatea utilizării alternative a terenului și a construcției, pot îmbunătăți sau diminua vandabilitatea garanției. De asemenea, evenimentele previzibile pe parcursul perioadei de credit — precum schimbări ale contextului economic, ale preferințelor cumpărătorilor sau ale condițiilor de utilizare — pot afecta valoarea viitoare a garanției; prin urmare, valoarea estimată trebuie privită ca fiind sensibilă la evoluțiile pieței și la starea fizică a imobilului.</w:t>
        <w:br/>
        <w:br/>
        <w:t>În ansamblu, proprietatea poate fi considerată o garanție cu lichiditate medie și vandabilitate rezonabilă, cu condiția menținerii cererii pentru astfel de bunuri în zona analizată. Gradul de adecvare ca garanție este susținut de faptul că valoarea de piață a fost determinată prin metoda comparativă, însă riscul de garanție nu poate fi exclus, întrucât realizarea valorii estimate depinde de comportamentul viitor al pieței și de condițiile concrete de valorificare la momentul eventualei executări.</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r>
        <w:rPr>
          <w:b/>
        </w:rPr>
        <w:t xml:space="preserve">Valoarea de lichidare (vanzare fortata): </w:t>
      </w:r>
      <w:r>
        <w:t xml:space="preserve">valoarea de piata (135.267 EUR) ajustata cu un factor care reflecta vanzarea intr-un termen limitat. Estimare orientativa la factor 0.85: 114.977 EUR. </w:t>
      </w:r>
      <w:r>
        <w:rPr>
          <w:i/>
        </w:rPr>
        <w:t>ATENTIE: factorul final se stabileste de evaluator in functie de lichiditatea pietei si perioada de expunere (tipic 0,80–0,90); valoarea de mai sus este doar orientativa.</w:t>
      </w:r>
    </w:p>
    <w:p>
      <w:pPr>
        <w:pStyle w:val="Heading1"/>
      </w:pPr>
      <w:r>
        <w:t>CERTIFICAREA CONFORMITATII RAPORTULUI (GEV 520)</w:t>
      </w:r>
    </w:p>
    <w:p>
      <w:r>
        <w:t>Checklist de conformitate — de verificat si bifat de evaluator inainte de transmitere (de aliniat la Anexa 1 a GEV 520 in vigoare):</w:t>
      </w:r>
    </w:p>
    <w:p>
      <w:pPr>
        <w:pStyle w:val="ListBullet"/>
      </w:pPr>
      <w:r>
        <w:t>☐ Valoarea estimata este valoarea de piata (SEV 102 / IVS 104), exprimata fara TVA.</w:t>
      </w:r>
    </w:p>
    <w:p>
      <w:pPr>
        <w:pStyle w:val="ListBullet"/>
      </w:pPr>
      <w:r>
        <w:t>☐ Data evaluarii si data raportului sunt precizate.</w:t>
      </w:r>
    </w:p>
    <w:p>
      <w:pPr>
        <w:pStyle w:val="ListBullet"/>
      </w:pPr>
      <w:r>
        <w:t>☐ Scopul evaluarii (garantarea imprumutului) este declarat in termenii de referinta.</w:t>
      </w:r>
    </w:p>
    <w:p>
      <w:pPr>
        <w:pStyle w:val="ListBullet"/>
      </w:pPr>
      <w:r>
        <w:t>☐ Proprietatea a fost identificata (cadastral / CF) si inspectata.</w:t>
      </w:r>
    </w:p>
    <w:p>
      <w:pPr>
        <w:pStyle w:val="ListBullet"/>
      </w:pPr>
      <w:r>
        <w:t>☐ Au fost utilizate minim 3 comparabile relevante.</w:t>
      </w:r>
    </w:p>
    <w:p>
      <w:pPr>
        <w:pStyle w:val="ListBullet"/>
      </w:pPr>
      <w:r>
        <w:t>☐ Ajustarile sunt justificate; ajustarile totale se incadreaza in limite rezonabile.</w:t>
      </w:r>
    </w:p>
    <w:p>
      <w:pPr>
        <w:pStyle w:val="ListBullet"/>
      </w:pPr>
      <w:r>
        <w:t>☐ Costul de inlocuire (unde se aplica) exclude profitul dezvoltatorului.</w:t>
      </w:r>
    </w:p>
    <w:p>
      <w:pPr>
        <w:pStyle w:val="ListBullet"/>
      </w:pPr>
      <w:r>
        <w:t>☐ Ipoteza de utilizare continua si ipotezele/conditiile limitative sunt precizate.</w:t>
      </w:r>
    </w:p>
    <w:p>
      <w:pPr>
        <w:pStyle w:val="ListBullet"/>
      </w:pPr>
      <w:r>
        <w:t>☐ A fost analizata cea mai buna utilizare (CMBU).</w:t>
      </w:r>
    </w:p>
    <w:p>
      <w:pPr>
        <w:pStyle w:val="ListBullet"/>
      </w:pPr>
      <w:r>
        <w:t>☐ A fost analizat riscul de garantie (lichiditate, vandabilitate, perioada de expunere).</w:t>
      </w:r>
    </w:p>
    <w:p>
      <w:pPr>
        <w:pStyle w:val="ListBullet"/>
      </w:pPr>
      <w:r>
        <w:t>☐ Valoarea de lichidare / vanzare fortata a fost estimata.</w:t>
      </w:r>
    </w:p>
    <w:p>
      <w:pPr>
        <w:pStyle w:val="ListBullet"/>
      </w:pPr>
      <w:r>
        <w:t>☐ Comparabilele provenite din oferte au fost ajustate la nivel de tranzactie.</w:t>
      </w:r>
    </w:p>
    <w:p>
      <w:pPr>
        <w:pStyle w:val="ListBullet"/>
      </w:pPr>
      <w:r>
        <w:t>☐ Sursele de date sunt mentionate si verificabile.</w:t>
      </w:r>
    </w:p>
    <w:p>
      <w:pPr>
        <w:pStyle w:val="ListBullet"/>
      </w:pPr>
      <w:r>
        <w:t>☐ Raportul se inregistreaza in BIG.</w:t>
      </w:r>
    </w:p>
    <w:p>
      <w:pPr>
        <w:pStyle w:val="ListBullet"/>
      </w:pPr>
      <w:r>
        <w:t>☐ Evaluatorul este autorizat ANEVAR si detine asigurare de raspundere profesionala.</w:t>
      </w:r>
    </w:p>
    <w:p>
      <w:pPr>
        <w:pStyle w:val="ListBullet"/>
      </w:pPr>
      <w:r>
        <w:t>☐ Declaratia de conformitate si de independenta este semnata.</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