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RAPORT DE EVALUARE</w:t>
      </w:r>
    </w:p>
    <w:p>
      <w:r>
        <w:rPr>
          <w:b/>
        </w:rPr>
        <w:t>Proprietate imobiliara: casa de locuit si teren aferent</w:t>
      </w:r>
    </w:p>
    <w:p>
      <w:r>
        <w:t>Adresa: Breaza de Sus, jud. Prahova</w:t>
      </w:r>
    </w:p>
    <w:p>
      <w:r>
        <w:t>Numar cadastral: 2xxxx (demo); CF xxxxx Breaza (demo)</w:t>
      </w:r>
    </w:p>
    <w:p>
      <w:r>
        <w:t>Client: Client demonstrativ (Persoana fizica)</w:t>
      </w:r>
    </w:p>
    <w:p>
      <w:r>
        <w:t>Proprietar: Client demonstrativ</w:t>
      </w:r>
    </w:p>
    <w:p>
      <w:r>
        <w:t>Beneficiar / Finantator: Banca Comerciala Exemplu S.A.</w:t>
      </w:r>
    </w:p>
    <w:p>
      <w:r>
        <w:t>Scopul evaluarii: Garantarea creditului ipotecar</w:t>
      </w:r>
    </w:p>
    <w:p>
      <w:r>
        <w:t>Evaluator: ing. Gabriela Fratila, membru ANEVAR, legitimatia 14288</w:t>
      </w:r>
    </w:p>
    <w:p>
      <w:r>
        <w:t>Data evaluarii: 2026-05-25; Data raportului: 2026-05-27</w:t>
      </w:r>
    </w:p>
    <w:p>
      <w:r>
        <w:rPr>
          <w:b/>
        </w:rPr>
        <w:t>VALOAREA ESTIMATA: 135.267 EUR. Valoarea nu contine TVA.</w:t>
      </w:r>
    </w:p>
    <w:p>
      <w:r>
        <w:br w:type="page"/>
      </w:r>
    </w:p>
    <w:p>
      <w:pPr>
        <w:pStyle w:val="Heading1"/>
      </w:pPr>
      <w:r>
        <w:t>SCRISOARE DE TRANSMITERE</w:t>
      </w:r>
    </w:p>
    <w:p>
      <w:r>
        <w:t>Catre: Client demonstrativ / Banca Comerciala Exemplu S.A.</w:t>
      </w:r>
    </w:p>
    <w:p>
      <w:r>
        <w:t>Va transmitem raportul de evaluare a proprietatii imobiliare situate in Breaza de Sus, jud. Prahova, intocmit in scopul: Garantarea creditului ipotecar. In urma analizelor efectuate, valoarea de piata estimata a proprietatii este de 135.267 EUR, la data evaluarii (2026-05-25). Valoarea nu contine TVA.</w:t>
      </w:r>
    </w:p>
    <w:p>
      <w:r>
        <w:t>Raportul a fost elaborat in conformitate cu Standardele de evaluare a bunurilor ANEVAR in vigoare si poate fi utilizat exclusiv in scopul mentionat.</w:t>
      </w:r>
    </w:p>
    <w:p>
      <w:r>
        <w:t>Cu deosebita consideratie, ing. Gabriela Fratila, membru ANEVAR, legitimatia 14288.</w:t>
      </w:r>
    </w:p>
    <w:p>
      <w:pPr>
        <w:pStyle w:val="Heading1"/>
      </w:pPr>
      <w:r>
        <w:t>DECLARATIE DE CONFORMITATE SI CERTIFICARE</w:t>
      </w:r>
    </w:p>
    <w:p>
      <w:pPr>
        <w:pStyle w:val="ListBullet"/>
      </w:pPr>
      <w:r>
        <w:t>Prezentul raport a fost elaborat in conformitate cu Standardele de evaluare ANEVAR (SEV) in vigoare la data raportului.</w:t>
      </w:r>
    </w:p>
    <w:p>
      <w:pPr>
        <w:pStyle w:val="ListBullet"/>
      </w:pPr>
      <w:r>
        <w:t>Faptele prezentate in raport sunt reale si corecte, dupa cunostinta evaluatorului.</w:t>
      </w:r>
    </w:p>
    <w:p>
      <w:pPr>
        <w:pStyle w:val="ListBullet"/>
      </w:pPr>
      <w:r>
        <w:t>Analizele, opiniile si concluziile sunt limitate numai de ipotezele si conditiile limitative prezentate.</w:t>
      </w:r>
    </w:p>
    <w:p>
      <w:pPr>
        <w:pStyle w:val="ListBullet"/>
      </w:pPr>
      <w:r>
        <w:t>Evaluatorul nu are niciun interes prezent sau de perspectiva in proprietatea evaluata si niciun interes personal cu privire la partile implicate.</w:t>
      </w:r>
    </w:p>
    <w:p>
      <w:pPr>
        <w:pStyle w:val="ListBullet"/>
      </w:pPr>
      <w:r>
        <w:t>Onorariul evaluatorului nu este conditionat de exprimarea unei valori predeterminate sau de marimea valorii estimate.</w:t>
      </w:r>
    </w:p>
    <w:p>
      <w:pPr>
        <w:pStyle w:val="ListBullet"/>
      </w:pPr>
      <w:r>
        <w:t>Evaluatorul este membru ANEVAR, detine competenta necesara si asigurarea de raspundere civila profesionala in vigoare.</w:t>
      </w:r>
    </w:p>
    <w:p>
      <w:pPr>
        <w:pStyle w:val="Heading1"/>
      </w:pPr>
      <w:r>
        <w:t>TERMENI DE REFERINTA AI EVALUARII</w:t>
      </w:r>
    </w:p>
    <w:p>
      <w:r>
        <w:t>Clientul evaluarii: Client demonstrativ (Persoana fizica).</w:t>
      </w:r>
    </w:p>
    <w:p>
      <w:r>
        <w:t>Beneficiarul / utilizatorul desemnat: Banca Comerciala Exemplu S.A..</w:t>
      </w:r>
    </w:p>
    <w:p>
      <w:r>
        <w:t>Scopul evaluarii: Garantarea creditului ipotecar.</w:t>
      </w:r>
    </w:p>
    <w:p>
      <w:r>
        <w:t>Tipul valorii estimate: Valoarea de piata (SEV 104).</w:t>
      </w:r>
    </w:p>
    <w:p>
      <w:r>
        <w:t>Moneda raportarii: EUR. Curs de schimb EUR/LEI: 4.9750.</w:t>
      </w:r>
    </w:p>
    <w:p>
      <w:r>
        <w:t>Data evaluarii: 2026-05-25. Data raportului: 2026-05-27. Data inspectiei: 2026-05-23. Valabilitate: 6 luni.</w:t>
      </w:r>
    </w:p>
    <w:p>
      <w:r>
        <w:t>Identificarea proprietatii: Breaza de Sus, jud. Prahova, nr. cadastral 2xxxx (demo), CF xxxxx Breaza (demo).</w:t>
      </w:r>
    </w:p>
    <w:p>
      <w:r>
        <w:t>Premise: proprietatea este evaluata in ipoteza utilizarii continue, libera de sarcini, cu exceptia celor mentionate explicit in raport.</w:t>
      </w:r>
    </w:p>
    <w:p>
      <w:pPr>
        <w:pStyle w:val="Heading1"/>
      </w:pPr>
      <w:r>
        <w:t>1. SINTEZA EVALUARII SI CERTIFICARE</w:t>
      </w:r>
    </w:p>
    <w:p>
      <w:r>
        <w:t>Client: Client demonstrativ (Persoana fizica).</w:t>
      </w:r>
    </w:p>
    <w:p>
      <w:r>
        <w:t>Proprietatea: Breaza de Sus, jud. Prahova; nr. cadastral 2xxxx (demo); CF xxxxx Breaza (demo).</w:t>
      </w:r>
    </w:p>
    <w:p>
      <w:r>
        <w:t>Scopul evaluarii: Garantarea creditului ipotecar.</w:t>
      </w:r>
    </w:p>
    <w:p>
      <w:r>
        <w:t>Tipul valorii: Valoarea de piata (SEV 104).</w:t>
      </w:r>
    </w:p>
    <w:p>
      <w:r>
        <w:t>Data evaluarii: 2026-05-25; data raportului: 2026-05-27.</w:t>
      </w:r>
    </w:p>
    <w:p>
      <w:r>
        <w:t>VALOAREA ESTIMATA: 135.267 EUR (metoda selectata: piata). Valoarea nu contine TVA.</w:t>
      </w:r>
    </w:p>
    <w:p>
      <w:pPr>
        <w:pStyle w:val="Heading1"/>
      </w:pPr>
      <w:r>
        <w:t>2. IPOTEZE GENERALE SI SPECIALE</w:t>
      </w:r>
    </w:p>
    <w:p>
      <w:r>
        <w:t>În redactarea prezentului raport s-au avut în vedere ipotezele generale și speciale uzuale aplicabile unei misiuni de evaluare pentru garantarea creditului ipotecar, întocmită în scopul determinării valorii de piață în conformitate cu SEV 104, pentru utilizare exclusivă de către Banca Comerciala Exemplu S.A.. Raportul se bazează pe informațiile și documentele puse la dispoziție de client, pe inspecția efectuată și pe analiza comparabilelor disponibile, fără efectuarea de investigații tehnice distructive sau sub acoperire.</w:t>
        <w:br/>
        <w:br/>
        <w:t>Se presupune că dreptul de proprietate asupra imobilului identificat prin 2xxxx (demo) și CF xxxxx Breaza (demo) este valabil, opozabil și liber de sarcini, cu excepția situațiilor menționate expres în raport, și că nu există litigii, interdicții, servituți ori alte sarcini nesemnnalate care ar putea afecta semnificativ valoarea. De asemenea, se presupune că imobilul este edificat în condiții corespunzătoare de stabilitate și siguranță, având o structură de rezistență adecvată, iar elementele ascunse ale construcției, fundațiilor, instalațiilor și terenului nu prezintă deficiențe care nu ar fi fost vizibile la inspecția normală. Nu au fost efectuate expertize structurale, studii geotehnice, verificări ale materialelor sau alte investigații de specialitate, astfel încât orice concluzii privind aceste aspecte au caracter de ipoteză de lucru.</w:t>
        <w:br/>
        <w:br/>
        <w:t>Se presupune, de asemenea, că datele utilizate în evaluare privind terenul intravilan de 700 mp, aria utilă de 180 mp și aria construită desfășurată de 220 mp sunt corecte și complete, iar anul de referință 2026 reflectă starea de fapt avută în vedere la estimare. Valoarea finală reconciliată de 135267,0000 EUR rezultată prin abordarea prin piață, precum și componentele analizate prin metoda costului și alocarea valorii între teren și construcții, sunt valabile numai în condițiile și limitele prezentate în raport.</w:t>
        <w:br/>
        <w:br/>
        <w:t>Prezentul raport a fost întocmit exclusiv pentru scopul declarat mai sus și nu poate fi utilizat, integral sau parțial, în alt context, pentru alt beneficiar sau pentru altă destinație, fără acordul evaluatorului. Orice utilizare în afara acestui cadru, precum și orice modificare a ipotezelor, a stării juridice ori tehnice a imobilului, poate conduce la concluzii diferite asupra valorii.</w:t>
      </w:r>
    </w:p>
    <w:p>
      <w:pPr>
        <w:pStyle w:val="Heading1"/>
      </w:pPr>
      <w:r>
        <w:t>3. PREZENTAREA DATELOR DE PIATA</w:t>
      </w:r>
    </w:p>
    <w:p>
      <w:r>
        <w:t>Piața imobiliară locală relevantă pentru proprietatea evaluată se caracterizează prin formarea prețurilor în funcție de interacțiunea dintre cerere și ofertă, iar selectarea comparabilelor utilizate indică existența unor tranzacții suficient de apropiate ca tip și caracteristici pentru a susține estimarea valorii de piață.</w:t>
        <w:br/>
        <w:br/>
        <w:t>În contextul analizat, cererea este reflectată de interesul pentru proprietăți rezidențiale cu teren intravilan și suprafețe utile similare, iar oferta este ilustrată de comparabilele disponibile pentru teren și pentru proprietăți comparabile, utilizate în abordarea prin piață. Utilizarea a 3 comparabile și selectarea comparabilului cu index 0 pentru prețul total, respectiv a comparabilului cu index 2 pentru teren, sugerează o piață funcțională, cu suficiente repere de tranzacționare pentru fundamentarea evaluării.</w:t>
        <w:br/>
        <w:br/>
        <w:t>Lichiditatea pieței poate fi apreciată ca fiind *moderată*, întrucât existența comparabilelor a permis aplicarea metodei comparațiilor directe, însă diferențele dintre rezultatul abordării prin piață și rezultatul abordării prin cost indică o piață în care prețurile negociate pot varia în funcție de caracteristicile specifice ale proprietății și de contextul local. Pentru proprietatea evaluată, alocarea valorii către teren și construcții și valoarea finală reconciliată de 135267.0000 EUR confirmă că piața relevantă este suficient de activă pentru a furniza repere credibile, dar rămâne sensibilă la particularitățile fiecărui activ.</w:t>
        <w:br/>
        <w:br/>
        <w:t>Tendința observată, pe baza comparabilelor folosite, este una de selectare atentă a proprietăților similare, cu accent pe suprafață, amplasament și tipul terenului, ceea ce indică o piață locală segmentată și dependentă de caracteristicile individuale ale bunului. În aceste condiții, valoarea de piață estimată reflectă nivelul curent de interes al pieței pentru astfel de proprietăți și este adecvată scopului de garantare a creditului ipotecar pentru beneficiarul/finanțatorul Client demonstrativ.</w:t>
      </w:r>
    </w:p>
    <w:p>
      <w:pPr>
        <w:pStyle w:val="Heading1"/>
      </w:pPr>
      <w:r>
        <w:t>4. DESCRIEREA JURIDICA SI FIZICA A PROPRIETATII</w:t>
      </w:r>
    </w:p>
    <w:p>
      <w:r>
        <w:t>Teren: 700 mp, categorie intravilan.</w:t>
      </w:r>
    </w:p>
    <w:p>
      <w:r>
        <w:t>Constructie: Au 180 mp, Acd 220 mp, an referinta 2026.</w:t>
      </w:r>
    </w:p>
    <w:p>
      <w:r>
        <w:t>Imobilul analizat este identificat în documentația cadastrală și în cartea funciară prin marcajele 2xxxx (demo) și CF xxxxx Breaza (demo), fiind evaluat în scopul garantării unui credit ipotecar acordat de Banca Comerciala Exemplu S.A.. Situația juridică avută în vedere în cadrul prezentului raport se referă la imobilul astfel individualizat, în condițiile înscrierii sale în evidențele de cadastru și publicitate imobiliară.</w:t>
        <w:br/>
        <w:br/>
        <w:t>Din punct de vedere fizic, proprietatea este amplasată pe un teren intravilan cu suprafața de 700 mp. Pe acest amplasament este edificată o construcție cu arie utilă de 180 mp și arie construită desfășurată de 220 mp, în raport cu anul de referință 2026. Regimul de înălțime nu a fost precizat în datele puse la dispoziție.</w:t>
        <w:br/>
        <w:br/>
        <w:t>În cadrul evaluării, valoarea terenului a fost estimată prin comparație la 39.5200 EUR/mp, rezultând o valoare de 27,664.0000 EUR pentru teren, iar valoarea alocată construcției este de 107,603.0000 EUR. Valoarea de piață reconciliată a proprietății este de 135,267.0000 EUR, corespunzător abordării prin piață.</w:t>
      </w:r>
    </w:p>
    <w:p>
      <w:pPr>
        <w:pStyle w:val="Heading1"/>
      </w:pPr>
      <w:r>
        <w:t>5. ANALIZA CELEI MAI BUNE UTILIZARI (CMBU)</w:t>
      </w:r>
    </w:p>
    <w:p>
      <w:r>
        <w:t>Analiza celei mai bune utilizări (CMBU) s-a realizat având în vedere criteriile consacrate de standardele de evaluare: utilizarea trebuie să fie permisă legal, posibilă fizic, fezabilă financiar și maxim productivă. În cazul proprietății evaluate, situată pe un teren intravilan de 700 mp, cu arie utilă de 180 mp și arie construită desfășurată de 220 mp, utilizarea existentă de tip rezidențial îndeplinește aceste condiții, fiind o utilizare uzuală, compatibilă cu caracteristicile amplasamentului și cu configurația constructivă a imobilului.</w:t>
        <w:br/>
        <w:br/>
        <w:t>Din punct de vedere legal, utilizarea rezidențială este compatibilă cu destinația uzuală a unui teren intravilan și nu rezultă, din datele avute la dispoziție, elemente care să indice restricții ce ar impune o altă destinație. Din punct de vedere fizic, suprafața terenului și dimensiunile construcției permit exploatarea în continuare în regim rezidențial, fără a fi identificate, pe baza datelor disponibile, limitări fizice care să susțină o schimbare de destinație. Din punct de vedere financiar, valoarea estimată prin abordarea prin piață este de 135267.0000 EUR, iar valoarea rezultată prin abordarea prin cost este de 178735.0666666666666666666667 EUR, ceea ce confirmă că proprietatea are suport economic pentru menținerea utilizării curente, în condițiile pieței analizate.</w:t>
        <w:br/>
        <w:br/>
        <w:t>Din perspectiva maximei productivități, utilizarea rezidențială existentă este susținută de faptul că valoarea de piață finală reconciliată a fost obținută pe baza tranzacțiilor comparabile selectate, iar alocarea valorii indică 27664.0000 EUR pentru teren și 107603.0000 EUR pentru construcții. În aceste condiții, și ținând seama de scopul evaluării — garantarea creditului ipotecar — cea mai bună utilizare a proprietății este menținerea utilizării rezidențiale existente, aceasta fiind utilizarea care satisface cumulativ criteriile CMBU și reflectă cel mai bine comportamentul unui participant tipic de pe piață.</w:t>
      </w:r>
    </w:p>
    <w:p>
      <w:pPr>
        <w:pStyle w:val="Heading1"/>
      </w:pPr>
      <w:r>
        <w:t>6. APLICAREA METODELOR DE CALCUL</w:t>
      </w:r>
    </w:p>
    <w:p>
      <w:r>
        <w:t>Grila de comparatie directa pe pret total (proprietate intreaga):</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Comparabil</w:t>
            </w:r>
          </w:p>
        </w:tc>
        <w:tc>
          <w:tcPr>
            <w:tcW w:type="dxa" w:w="2160"/>
          </w:tcPr>
          <w:p>
            <w:r>
              <w:t>Pret total corectat</w:t>
            </w:r>
          </w:p>
        </w:tc>
        <w:tc>
          <w:tcPr>
            <w:tcW w:type="dxa" w:w="2160"/>
          </w:tcPr>
          <w:p>
            <w:r>
              <w:t>Ajustare bruta</w:t>
            </w:r>
          </w:p>
        </w:tc>
        <w:tc>
          <w:tcPr>
            <w:tcW w:type="dxa" w:w="2160"/>
          </w:tcPr>
          <w:p>
            <w:r>
              <w:t>Selectat</w:t>
            </w:r>
          </w:p>
        </w:tc>
      </w:tr>
      <w:tr>
        <w:tc>
          <w:tcPr>
            <w:tcW w:type="dxa" w:w="2160"/>
          </w:tcPr>
          <w:p>
            <w:r>
              <w:t>1</w:t>
            </w:r>
          </w:p>
        </w:tc>
        <w:tc>
          <w:tcPr>
            <w:tcW w:type="dxa" w:w="2160"/>
          </w:tcPr>
          <w:p>
            <w:r>
              <w:t>135267.0000</w:t>
            </w:r>
          </w:p>
        </w:tc>
        <w:tc>
          <w:tcPr>
            <w:tcW w:type="dxa" w:w="2160"/>
          </w:tcPr>
          <w:p>
            <w:r>
              <w:t>0.1512814645308924485125858124</w:t>
            </w:r>
          </w:p>
        </w:tc>
        <w:tc>
          <w:tcPr>
            <w:tcW w:type="dxa" w:w="2160"/>
          </w:tcPr>
          <w:p>
            <w:r>
              <w:t>DA</w:t>
            </w:r>
          </w:p>
        </w:tc>
      </w:tr>
      <w:tr>
        <w:tc>
          <w:tcPr>
            <w:tcW w:type="dxa" w:w="2160"/>
          </w:tcPr>
          <w:p>
            <w:r>
              <w:t>2</w:t>
            </w:r>
          </w:p>
        </w:tc>
        <w:tc>
          <w:tcPr>
            <w:tcW w:type="dxa" w:w="2160"/>
          </w:tcPr>
          <w:p>
            <w:r>
              <w:t>155245.5000</w:t>
            </w:r>
          </w:p>
        </w:tc>
        <w:tc>
          <w:tcPr>
            <w:tcW w:type="dxa" w:w="2160"/>
          </w:tcPr>
          <w:p>
            <w:r>
              <w:t>0.2528198232808298117556665386</w:t>
            </w:r>
          </w:p>
        </w:tc>
        <w:tc>
          <w:tcPr>
            <w:tcW w:type="dxa" w:w="2160"/>
          </w:tcPr>
          <w:p>
            <w:r/>
          </w:p>
        </w:tc>
      </w:tr>
      <w:tr>
        <w:tc>
          <w:tcPr>
            <w:tcW w:type="dxa" w:w="2160"/>
          </w:tcPr>
          <w:p>
            <w:r>
              <w:t>3</w:t>
            </w:r>
          </w:p>
        </w:tc>
        <w:tc>
          <w:tcPr>
            <w:tcW w:type="dxa" w:w="2160"/>
          </w:tcPr>
          <w:p>
            <w:r>
              <w:t>119343.2000</w:t>
            </w:r>
          </w:p>
        </w:tc>
        <w:tc>
          <w:tcPr>
            <w:tcW w:type="dxa" w:w="2160"/>
          </w:tcPr>
          <w:p>
            <w:r>
              <w:t>0.3572385509227614490772385509</w:t>
            </w:r>
          </w:p>
        </w:tc>
        <w:tc>
          <w:tcPr>
            <w:tcW w:type="dxa" w:w="2160"/>
          </w:tcPr>
          <w:p>
            <w:r/>
          </w:p>
        </w:tc>
      </w:tr>
    </w:tbl>
    <w:p>
      <w:r>
        <w:t>Valoarea prin comparatie de piata: 135.267 EUR.</w:t>
      </w:r>
    </w:p>
    <w:p>
      <w:r>
        <w:t>Grila de comparatie pentru teren (EUR/mp):</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Comparabil teren</w:t>
            </w:r>
          </w:p>
        </w:tc>
        <w:tc>
          <w:tcPr>
            <w:tcW w:type="dxa" w:w="2160"/>
          </w:tcPr>
          <w:p>
            <w:r>
              <w:t>Pret/mp corectat</w:t>
            </w:r>
          </w:p>
        </w:tc>
        <w:tc>
          <w:tcPr>
            <w:tcW w:type="dxa" w:w="2160"/>
          </w:tcPr>
          <w:p>
            <w:r>
              <w:t>Ajustare bruta</w:t>
            </w:r>
          </w:p>
        </w:tc>
        <w:tc>
          <w:tcPr>
            <w:tcW w:type="dxa" w:w="2160"/>
          </w:tcPr>
          <w:p>
            <w:r>
              <w:t>Selectat</w:t>
            </w:r>
          </w:p>
        </w:tc>
      </w:tr>
      <w:tr>
        <w:tc>
          <w:tcPr>
            <w:tcW w:type="dxa" w:w="2160"/>
          </w:tcPr>
          <w:p>
            <w:r>
              <w:t>1 — Breaza, intravilan</w:t>
            </w:r>
          </w:p>
        </w:tc>
        <w:tc>
          <w:tcPr>
            <w:tcW w:type="dxa" w:w="2160"/>
          </w:tcPr>
          <w:p>
            <w:r>
              <w:t>45.6000</w:t>
            </w:r>
          </w:p>
        </w:tc>
        <w:tc>
          <w:tcPr>
            <w:tcW w:type="dxa" w:w="2160"/>
          </w:tcPr>
          <w:p>
            <w:r>
              <w:t>0.06</w:t>
            </w:r>
          </w:p>
        </w:tc>
        <w:tc>
          <w:tcPr>
            <w:tcW w:type="dxa" w:w="2160"/>
          </w:tcPr>
          <w:p>
            <w:r/>
          </w:p>
        </w:tc>
      </w:tr>
      <w:tr>
        <w:tc>
          <w:tcPr>
            <w:tcW w:type="dxa" w:w="2160"/>
          </w:tcPr>
          <w:p>
            <w:r>
              <w:t>2 — Breaza, zona centrala</w:t>
            </w:r>
          </w:p>
        </w:tc>
        <w:tc>
          <w:tcPr>
            <w:tcW w:type="dxa" w:w="2160"/>
          </w:tcPr>
          <w:p>
            <w:r>
              <w:t>47.0250</w:t>
            </w:r>
          </w:p>
        </w:tc>
        <w:tc>
          <w:tcPr>
            <w:tcW w:type="dxa" w:w="2160"/>
          </w:tcPr>
          <w:p>
            <w:r>
              <w:t>0.10</w:t>
            </w:r>
          </w:p>
        </w:tc>
        <w:tc>
          <w:tcPr>
            <w:tcW w:type="dxa" w:w="2160"/>
          </w:tcPr>
          <w:p>
            <w:r/>
          </w:p>
        </w:tc>
      </w:tr>
      <w:tr>
        <w:tc>
          <w:tcPr>
            <w:tcW w:type="dxa" w:w="2160"/>
          </w:tcPr>
          <w:p>
            <w:r>
              <w:t>3 — Breaza de Sus</w:t>
            </w:r>
          </w:p>
        </w:tc>
        <w:tc>
          <w:tcPr>
            <w:tcW w:type="dxa" w:w="2160"/>
          </w:tcPr>
          <w:p>
            <w:r>
              <w:t>39.5200</w:t>
            </w:r>
          </w:p>
        </w:tc>
        <w:tc>
          <w:tcPr>
            <w:tcW w:type="dxa" w:w="2160"/>
          </w:tcPr>
          <w:p>
            <w:r>
              <w:t>0.04</w:t>
            </w:r>
          </w:p>
        </w:tc>
        <w:tc>
          <w:tcPr>
            <w:tcW w:type="dxa" w:w="2160"/>
          </w:tcPr>
          <w:p>
            <w:r>
              <w:t>DA</w:t>
            </w:r>
          </w:p>
        </w:tc>
      </w:tr>
    </w:tbl>
    <w:p>
      <w:r>
        <w:t>Valoarea terenului = 39.5200 EUR/mp x 700 mp = 27.664 EUR.</w:t>
      </w:r>
    </w:p>
    <w:p>
      <w:r>
        <w:t>Tabelul costurilor segregate (abordarea prin cost):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Element</w:t>
            </w:r>
          </w:p>
        </w:tc>
        <w:tc>
          <w:tcPr>
            <w:tcW w:type="dxa" w:w="1728"/>
          </w:tcPr>
          <w:p>
            <w:r>
              <w:t>Cod</w:t>
            </w:r>
          </w:p>
        </w:tc>
        <w:tc>
          <w:tcPr>
            <w:tcW w:type="dxa" w:w="1728"/>
          </w:tcPr>
          <w:p>
            <w:r>
              <w:t>Cantitate</w:t>
            </w:r>
          </w:p>
        </w:tc>
        <w:tc>
          <w:tcPr>
            <w:tcW w:type="dxa" w:w="1728"/>
          </w:tcPr>
          <w:p>
            <w:r>
              <w:t>Cost unitar</w:t>
            </w:r>
          </w:p>
        </w:tc>
        <w:tc>
          <w:tcPr>
            <w:tcW w:type="dxa" w:w="1728"/>
          </w:tcPr>
          <w:p>
            <w:r>
              <w:t>Cost de nou</w:t>
            </w:r>
          </w:p>
        </w:tc>
      </w:tr>
      <w:tr>
        <w:tc>
          <w:tcPr>
            <w:tcW w:type="dxa" w:w="1728"/>
          </w:tcPr>
          <w:p>
            <w:r>
              <w:t>Structura beton + pereti tip sandwich, inchideri</w:t>
            </w:r>
          </w:p>
        </w:tc>
        <w:tc>
          <w:tcPr>
            <w:tcW w:type="dxa" w:w="1728"/>
          </w:tcPr>
          <w:p>
            <w:r>
              <w:t>C.1</w:t>
            </w:r>
          </w:p>
        </w:tc>
        <w:tc>
          <w:tcPr>
            <w:tcW w:type="dxa" w:w="1728"/>
          </w:tcPr>
          <w:p>
            <w:r>
              <w:t>220</w:t>
            </w:r>
          </w:p>
        </w:tc>
        <w:tc>
          <w:tcPr>
            <w:tcW w:type="dxa" w:w="1728"/>
          </w:tcPr>
          <w:p>
            <w:r>
              <w:t>470</w:t>
            </w:r>
          </w:p>
        </w:tc>
        <w:tc>
          <w:tcPr>
            <w:tcW w:type="dxa" w:w="1728"/>
          </w:tcPr>
          <w:p>
            <w:r>
              <w:t>103400</w:t>
            </w:r>
          </w:p>
        </w:tc>
      </w:tr>
      <w:tr>
        <w:tc>
          <w:tcPr>
            <w:tcW w:type="dxa" w:w="1728"/>
          </w:tcPr>
          <w:p>
            <w:r>
              <w:t>Finisaje, instalatii, incalzire centrala gaz</w:t>
            </w:r>
          </w:p>
        </w:tc>
        <w:tc>
          <w:tcPr>
            <w:tcW w:type="dxa" w:w="1728"/>
          </w:tcPr>
          <w:p>
            <w:r>
              <w:t>C.2</w:t>
            </w:r>
          </w:p>
        </w:tc>
        <w:tc>
          <w:tcPr>
            <w:tcW w:type="dxa" w:w="1728"/>
          </w:tcPr>
          <w:p>
            <w:r>
              <w:t>220</w:t>
            </w:r>
          </w:p>
        </w:tc>
        <w:tc>
          <w:tcPr>
            <w:tcW w:type="dxa" w:w="1728"/>
          </w:tcPr>
          <w:p>
            <w:r>
              <w:t>360</w:t>
            </w:r>
          </w:p>
        </w:tc>
        <w:tc>
          <w:tcPr>
            <w:tcW w:type="dxa" w:w="1728"/>
          </w:tcPr>
          <w:p>
            <w:r>
              <w:t>79200</w:t>
            </w:r>
          </w:p>
        </w:tc>
      </w:tr>
    </w:tbl>
    <w:p>
      <w:r>
        <w:t>CIB = 182.600; Vcp = 16.00 ani; depreciere fizica = 0.1726666666666666666666666667; CIN = 151.071; valoare prin cost (CIN + teren) = 178.735 EUR.</w:t>
      </w:r>
    </w:p>
    <w:p>
      <w:r>
        <w:t>Ajustările din grila de comparație au fost aplicate diferențiat, în funcție de natura elementului analizat, respectând logica de piață și principiul substituției. Ajustările de tranzacție au rolul de a aduce prețurile observate la un nivel comparabil, prin corectarea diferențelor care țin de condițiile vânzării sau ale ofertei, astfel încât indicatorul utilizat să reflecte cât mai fidel nivelul de piață relevant pentru proprietatea evaluată. Ajustările de proprietate urmăresc alinierea comparabilelor la caracteristicile efective ale subiectului, precum amplasarea, dimensiunea, configurația și dotările, deoarece proprietățile comparabile nu sunt identice, iar diferențele dintre ele trebuie reflectate explicit în procesul de comparație.</w:t>
        <w:br/>
        <w:br/>
        <w:t>În cazul metodei prin piață, comparabilele au fost ajustate succesiv până la obținerea unui nivel de comparabilitate suficient pentru reconciliere, iar comparabilul selectat a fost cel cu ajustarea brută minimă, întrucât acesta prezintă cele mai puține și mai reduse diferențe față de proprietatea subiect. Din punct de vedere metodologic, comparabilul cu cele mai mici ajustări este, în mod obișnuit, preferat deoarece necesită cele mai puține corecții și oferă cea mai bună aproximare a tranzacției relevante pentru subiect. În prezenta analiză, alegerea comparabilului de la index 0 este susținută de faptul că acesta a condus la indicația finală utilizată în reconcilierea valorii de piață, în timp ce celelalte comparabile au necesitat corecții mai mari pentru a deveni comparabile.</w:t>
        <w:br/>
        <w:br/>
        <w:t>În etapa de alocare a valorii, evaluarea terenului și a construcției s-a realizat prin separarea componentelor pentru care există suport de piață distinct. Valoarea terenului a fost estimată prin comparație la 39.5200 EUR/mp, rezultând 27,664.0000 EUR pentru 700 mp, iar diferența până la valoarea de piață a proprietății a fost atribuită construcțiilor, în sumă de 107,603.0000 EUR. Această structură este compatibilă cu practica de alocare a valorii de piață pe componente atunci când componentele au piețe proprii și contribuții distincte la valoarea totală. În consecință, ajustările aplicate au urmărit atât reflectarea corectă a diferențelor dintre comparabile și subiect, cât și obținerea unei indicații de valoare coerente pentru scopul de garantare a creditului ipotecar.</w:t>
      </w:r>
    </w:p>
    <w:p>
      <w:pPr>
        <w:pStyle w:val="Heading1"/>
      </w:pPr>
      <w:r>
        <w:t>7. RECONCILIEREA REZULTATELOR SI CONCLUZIA VALORII</w:t>
      </w:r>
    </w:p>
    <w:p>
      <w:r>
        <w:t>Abordarea prin piață a fost considerată relevantă și determinantă pentru estimarea valorii de piață în scopul garantării creditului ipotecar, întrucât reflectă comportamentul pieței pentru proprietăți comparabile și conduce direct la indicatorul de valoare solicitat conform SEV 104. În cadrul acestei abordări a rezultat o valoare de 135267.0000 EUR, pe baza comparabilului selectat cu index 0, dintr-un set de 3 comparabile, ceea ce confirmă adecvarea metodei de piață pentru proprietatea evaluată.</w:t>
        <w:br/>
        <w:br/>
        <w:t>Abordarea prin cost a furnizat o indicație complementară de valoare de 178735.0666666666666666666667 EUR, determinată pe baza costului brut de înlocuire de 182600, a unei vechimi economice de 16.00 ani și a deprecierii fizice de 0.1726666666666666666666666667, rezultând un cost net de 151071.0666666666666666666667 și o valoare a construcției de 178735.0666666666666666666667 EUR. Această metodă este utilă pentru verificare și control, însă în cazul de față are caracter secundar față de abordarea prin piață, deoarece valoarea de piață trebuie fundamentată în primul rând pe date de tranzacționare comparabile, iar nu pe costuri istorice sau estimate.</w:t>
        <w:br/>
        <w:br/>
        <w:t>În consecință, prin reconcilierea rezultatelor s-a acordat ponderea principală abordării prin piață, iar abordarea prin cost a fost utilizată ca element de susținere și verificare a plauzibilității rezultatului final. Valoarea terenului, determinată prin comparație la 39.5200 EUR/mp pentru 700 mp, este de 27664.0000 EUR, iar valoarea construcțiilor alocată este de 107603.0000 EUR, ceea ce conduce la o structură de valoare coerentă pentru proprietatea evaluată.</w:t>
        <w:br/>
        <w:br/>
        <w:t>Valoarea finală reconciliată a proprietății imobiliare evaluate este de 135267.0000 EUR. Aceasta reprezintă opinia evaluatorului privind valoarea de piață la data evaluării, pentru proprietatea identificată și în condițiile specificate, în beneficiul Banca Comerciala Exemplu S.A.</w:t>
      </w:r>
    </w:p>
    <w:p>
      <w:r>
        <w:t>Valoarea finala: 135.267 EUR. Valoarea nu contine TVA.</w:t>
      </w:r>
    </w:p>
    <w:p>
      <w:pPr>
        <w:pStyle w:val="Heading1"/>
      </w:pPr>
      <w:r>
        <w:t>ALOCAREA VALORII</w:t>
      </w:r>
    </w:p>
    <w:tbl>
      <w:tblPr>
        <w:tblStyle w:val="TableGrid"/>
        <w:tblW w:type="auto" w:w="0"/>
        <w:tblLook w:firstColumn="1" w:firstRow="1" w:lastColumn="0" w:lastRow="0" w:noHBand="0" w:noVBand="1" w:val="04A0"/>
      </w:tblPr>
      <w:tblGrid>
        <w:gridCol w:w="4320"/>
        <w:gridCol w:w="4320"/>
      </w:tblGrid>
      <w:tr>
        <w:tc>
          <w:tcPr>
            <w:tcW w:type="dxa" w:w="4320"/>
          </w:tcPr>
          <w:p>
            <w:r>
              <w:t>Componenta</w:t>
            </w:r>
          </w:p>
        </w:tc>
        <w:tc>
          <w:tcPr>
            <w:tcW w:type="dxa" w:w="4320"/>
          </w:tcPr>
          <w:p>
            <w:r>
              <w:t>Valoare (EUR)</w:t>
            </w:r>
          </w:p>
        </w:tc>
      </w:tr>
      <w:tr>
        <w:tc>
          <w:tcPr>
            <w:tcW w:type="dxa" w:w="4320"/>
          </w:tcPr>
          <w:p>
            <w:r>
              <w:t>Valoarea proprietatii (estimata)</w:t>
            </w:r>
          </w:p>
        </w:tc>
        <w:tc>
          <w:tcPr>
            <w:tcW w:type="dxa" w:w="4320"/>
          </w:tcPr>
          <w:p>
            <w:r>
              <w:t>135.267</w:t>
            </w:r>
          </w:p>
        </w:tc>
      </w:tr>
      <w:tr>
        <w:tc>
          <w:tcPr>
            <w:tcW w:type="dxa" w:w="4320"/>
          </w:tcPr>
          <w:p>
            <w:r>
              <w:t>din care: Valoarea terenului</w:t>
            </w:r>
          </w:p>
        </w:tc>
        <w:tc>
          <w:tcPr>
            <w:tcW w:type="dxa" w:w="4320"/>
          </w:tcPr>
          <w:p>
            <w:r>
              <w:t>27.664</w:t>
            </w:r>
          </w:p>
        </w:tc>
      </w:tr>
      <w:tr>
        <w:tc>
          <w:tcPr>
            <w:tcW w:type="dxa" w:w="4320"/>
          </w:tcPr>
          <w:p>
            <w:r>
              <w:t>din care: Valoarea constructiilor (alocata)</w:t>
            </w:r>
          </w:p>
        </w:tc>
        <w:tc>
          <w:tcPr>
            <w:tcW w:type="dxa" w:w="4320"/>
          </w:tcPr>
          <w:p>
            <w:r>
              <w:t>107.603</w:t>
            </w:r>
          </w:p>
        </w:tc>
      </w:tr>
    </w:tbl>
    <w:p>
      <w:r>
        <w:t>Valoarea constructiilor a fost obtinuta prin alocare: valoarea proprietatii minus valoarea terenului estimata prin comparatie directa.</w:t>
      </w:r>
    </w:p>
    <w:p>
      <w:pPr>
        <w:pStyle w:val="Heading1"/>
      </w:pPr>
      <w:r>
        <w:t>RISCUL ASOCIAT GARANTIEI (GEV 520)</w:t>
      </w:r>
    </w:p>
    <w:p>
      <w:r>
        <w:t>Riscul asociat garanției este apreciat ca fiind moderat, în condițiile în care proprietatea evaluată este destinată garantării unui credit ipotecar, iar valoarea de piață estimată de 135267 EUR reflectă nivelul probabil de realizare în condiții normale de piață. Conform GEV 520, evaluarea pentru garantarea împrumutului are ca obiect stabilirea valorii de piață, iar analiza trebuie să includă considerente privind activitatea pieței relevante și capacitatea creditorului de a-și recupera expunerea prin valorificarea garanției în caz de neplată.</w:t>
        <w:br/>
        <w:br/>
        <w:t>Din perspectiva lichidității și a activității pieței locale, proprietatea beneficiază de o bază de comparație directă, analiza prin piață fiind fundamentată pe 3 comparabile, cu un comparabil selectat pentru valoarea finală și un comparabil de teren utilizat la determinarea valorii terenului. Această structură indică existența unor repere de piață utilizabile, însă și faptul că estimarea depinde de caracteristicile specifice ale proprietății și de condițiile curente ale pieței. În consecință, vandabilitatea este apreciată ca fiind bună în condiții obișnuite de piață, dar dependentă de menținerea cererii pentru proprietăți similare din zona analizată.</w:t>
        <w:br/>
        <w:br/>
        <w:t>Gradul de adecvare al proprietății ca garanție este susținut de faptul că bunul este evaluat pentru garanția creditului ipotecar, având o structură clară de valoare a terenului și a construcției, respectiv 27664 EUR pentru teren și 107603 EUR pentru construcții, ceea ce facilitează înțelegerea componentelor de valoare și a potențialului de recuperare. Totuși, valoarea de garanție trebuie privită în contextul sensibilității la condițiile pieței, întrucât orice variație a cererii, a nivelului prețurilor sau a timpului de expunere poate influența valoarea realizabilă la vânzare forțată sau accelerată. Din acest motiv, expunerea estimată a creditorului este considerată controlabilă, dar dependentă de evoluția pieței imobiliare locale și de menținerea parametrilor care au stat la baza valorii de piață reconciliate.</w:t>
      </w:r>
    </w:p>
    <w:p>
      <w:pPr>
        <w:pStyle w:val="Heading1"/>
      </w:pPr>
      <w:r>
        <w:t>ANEXE</w:t>
      </w:r>
    </w:p>
    <w:p>
      <w:r>
        <w:t>Anexa 1 — Comparabile utilizate (surse):</w:t>
      </w:r>
    </w:p>
    <w:p>
      <w:pPr>
        <w:pStyle w:val="ListBullet"/>
      </w:pPr>
      <w:r>
        <w:t>https://www.imobiliare.ro/oferta/casa-individuala-de-vanzare-breaza-mobilata-6-camere-275474743</w:t>
      </w:r>
    </w:p>
    <w:p>
      <w:pPr>
        <w:pStyle w:val="ListBullet"/>
      </w:pPr>
      <w:r>
        <w:t>https://www.imobiliare.ro/oferta/casa-individuala-de-vanzare-breaza-gura-beliei-5-camere-275567511</w:t>
      </w:r>
    </w:p>
    <w:p>
      <w:pPr>
        <w:pStyle w:val="ListBullet"/>
      </w:pPr>
      <w:r>
        <w:t>https://www.imobiliare.ro/oferta/casa-individuala-de-vanzare-breaza-6-camere-49309493</w:t>
      </w:r>
    </w:p>
    <w:p>
      <w:r>
        <w:t>Anexa 2 — Planse fotografice ale proprietatii:</w:t>
      </w:r>
    </w:p>
    <w:p>
      <w:r>
        <w:drawing>
          <wp:inline xmlns:a="http://schemas.openxmlformats.org/drawingml/2006/main" xmlns:pic="http://schemas.openxmlformats.org/drawingml/2006/picture">
            <wp:extent cx="5029200" cy="3352800"/>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029200" cy="3352800"/>
                    </a:xfrm>
                    <a:prstGeom prst="rect"/>
                  </pic:spPr>
                </pic:pic>
              </a:graphicData>
            </a:graphic>
          </wp:inline>
        </w:drawing>
      </w:r>
    </w:p>
    <w:p>
      <w:r>
        <w:drawing>
          <wp:inline xmlns:a="http://schemas.openxmlformats.org/drawingml/2006/main" xmlns:pic="http://schemas.openxmlformats.org/drawingml/2006/picture">
            <wp:extent cx="5029200" cy="3352800"/>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029200" cy="3352800"/>
                    </a:xfrm>
                    <a:prstGeom prst="rect"/>
                  </pic:spPr>
                </pic:pic>
              </a:graphicData>
            </a:graphic>
          </wp:inline>
        </w:drawing>
      </w:r>
    </w:p>
    <w:p>
      <w:r>
        <w:t>Anexa 3 — Documente cadastrale, extras CF si acte juridice [de atasat].</w:t>
      </w:r>
    </w:p>
    <w:p/>
    <w:p>
      <w:r>
        <w:t>Intocmit,</w:t>
      </w:r>
    </w:p>
    <w:p>
      <w:r>
        <w:rPr>
          <w:b/>
        </w:rPr>
        <w:t>ing. Gabriela Fratila</w:t>
      </w:r>
    </w:p>
    <w:p>
      <w:r>
        <w:t>Evaluator autorizat ANEVAR, legitimatia 14288</w:t>
      </w:r>
    </w:p>
    <w:p>
      <w:r>
        <w:t>Data: 2026-05-27</w:t>
      </w:r>
    </w:p>
    <w:p>
      <w:r>
        <w:t>Semnatura / stampila: ______________________</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