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(echivalent ~672.953 LEI la cursul BNR 4.9750).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r>
        <w:t>Evaluatorul: [Nume evaluator autorizat ANEVAR], membru ANEVAR, legitimatia [nr. legitimatie] (SEV 101, 20.1 e).</w:t>
      </w:r>
    </w:p>
    <w:p>
      <w:r>
        <w:t>Natura si amploarea activitatilor: inspectia si analiza in limitele mandatului de evaluator autorizat, fara investigatii distructive, geotehnice sau juridice de specialitate (SEV 101, 20.1 i).</w:t>
      </w:r>
    </w:p>
    <w:p>
      <w:r>
        <w:t>Sursa informatiilor: documentele proprietatii puse la dispozitie, date de piata din oferte publice (cu caracter indicativ, verificate de evaluator) si cursul de schimb BNR (SEV 101, 20.1 j).</w:t>
      </w:r>
    </w:p>
    <w:p>
      <w:r>
        <w:t>Factori de mediu, sociali si de guvernanta (ESG): se au in vedere factorii cunoscuti, relevanti pentru valoare (ex. performanta energetica conform certificatului energetic, daca exista); nu s-au efectuat investigatii de mediu specializate (SEV 101/106, 20.1/30.6 m).</w:t>
      </w:r>
    </w:p>
    <w:p>
      <w:r>
        <w:t>Specialist: nu a fost cazul utilizarii unui specialist sau furnizor extern de servicii (SEV 106, 30.6 o).</w:t>
      </w:r>
    </w:p>
    <w:p>
      <w:r>
        <w:t>Tipul raportului si restrictii: raport scris, narativ. Raportul poate fi utilizat exclusiv in scopul declarat, de catre utilizatorul desemnat; difuzarea sau publicarea, integrala ori partiala, se face numai cu acordul scris al evaluatorului (SEV 101, 20.1 n, o).</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 xml:space="preserve">Raportul de evaluare este întocmit în baza datelor puse la dispoziție de client și a informațiilor obținute în cadrul procesului de evaluare, cu scopul exclusiv de garantare a creditului ipotecar pentru beneficiarul/finanțatorul Banca Comerciala Exemplu S.A.. Valoarea estimată este valoarea de piață în sensul SEV 102, exprimată în EUR, iar concluzia asupra valorii este valabilă numai în contextul scopului declarat și al condițiilor de utilizare ale prezentului raport. </w:t>
        <w:br/>
        <w:br/>
        <w:t xml:space="preserve">Se presupune că dreptul de proprietate asupra imobilului este valabil, legal transferabil și liber de sarcini, cu excepția eventualelor mențiuni expres consemnate în documentele analizate. De asemenea, se presupune că imobilul este utilizat și poate fi utilizat în continuare în condiții normale, că structura de rezistență și elementele constructive esențiale sunt corespunzătoare și că nu există defecte ascunse, vicii structurale ori degradări care nu pot fi observate prin inspecție vizuală obișnuită. </w:t>
        <w:br/>
        <w:br/>
        <w:t xml:space="preserve">Evaluarea a fost realizată fără efectuarea de investigații geotehnice, de sondaje distructive, de expertize tehnice ascunse sau de alte verificări specializate care ar putea evidenția condiții neapărat vizibile la data inspectării; în consecință, concluziile raportului sunt formulate sub rezerva absenței unor astfel de elemente nedetectabile prin mijloacele utilizate. Pentru terenul în suprafață de 700 mp, încadrat ca intravilan, și pentru construcția cu arie utilă de 180 mp și arie construită desfășurată de 220 mp, s-au utilizat exclusiv datele numerice furnizate și informațiile disponibile în momentul evaluării, fără a se introduce valori sau corecții care nu rezultă din acestea. </w:t>
        <w:br/>
        <w:br/>
        <w:t>Prezentul raport poate fi folosit numai de către destinatarul indicat și numai pentru scopul declarat; orice altă utilizare, reproducere parțială ori totală sau extindere a concluziilor către alte contexte de analiză se face pe riscul utilizatorului și în afara responsabilității evaluatorului. În lipsa unor instrucțiuni contrare, se consideră că toate informațiile furnizate pentru evaluare sunt complete, corecte și suficient de precise pentru întocmirea raportului.</w:t>
      </w:r>
    </w:p>
    <w:p>
      <w:pPr>
        <w:pStyle w:val="Heading1"/>
      </w:pPr>
      <w:r>
        <w:t>3. PREZENTAREA DATELOR DE PIATA</w:t>
      </w:r>
    </w:p>
    <w:p>
      <w:r>
        <w:rPr>
          <w:i/>
          <w:color w:val="B06A00"/>
          <w:sz w:val="17"/>
        </w:rPr>
        <w:t>▮ NOTA DEMO — [AI] Analiza de piata descriptiva (AI) — NU pe o baza de date de tranzactii reale.</w:t>
      </w:r>
    </w:p>
    <w:p>
      <w:r>
        <w:t>Piata imobiliara locala relevanta pentru proprietatea evaluata poate fi descrisa ca o piata cu interes de tranzactionare, in care cererea si oferta se formeaza in principal in functie de amplasament, caracteristicile constructive si gradul de comparabilitate al proprietatilor disponibile. In contextul scopului evaluarii, respectiv garantarea creditului ipotecar, analiza de piata a fost fundamentata pe comparabilele utilizate in abordarea prin piata, respectiv un numar de 3 comparabile pentru pretul total si 3 comparabile de teren pentru determinarea valorii terenului.</w:t>
        <w:br/>
        <w:br/>
        <w:t>Din datele disponibile, rezultatul din abordarea prin piata de 135267.00 EUR si utilizarea unui comparabil selectat pentru pretul total indica faptul ca proprietatile similare pot fi relativ rare sau heterogene, ceea ce sugereaza o lichiditate moderata, dependenta de gradul de apropiere fata de caracteristicile proprietatii subiect. Totodata, valoarea terenului determinata prin comparatie, de 39.52 EUR/mp, respectiv 27664.00 EUR pentru 700 mp, arata ca terenul contribuie distinct la formarea valorii si ca piata utilizeaza repere de comparatie care permit ajustari pentru diferentele relevante dintre proprietati.</w:t>
        <w:br/>
        <w:br/>
        <w:t>Structura valorii obtinute, cu 107603.00 EUR alocate constructiilor si restul aferent terenului, poate indica o piata in care proprietatile cu suprafete si caracteristici apropiate sunt analizate preponderent prin raportare la tranzactii sau oferte similare, iar diferentele de stare, configuratie si functionalitate influenteaza preturile observate. In ansamblu, analiza sugereaza o piata locala functionala, cu oferta comparabila limitata la segmentul relevant, iar tendintele pot fi apreciate prudent ca fiind conditionate de disponibilitatea unor proprietati similare si de capacitatea pietei de a absorbi active cu caracteristici apropiate.</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Constructie: Au 180 mp, Acd 220 mp, an referinta 2026.</w:t>
      </w:r>
    </w:p>
    <w:p>
      <w:r>
        <w:t>Imobilul supus evaluării este identificat în documentația cadastrala și în cartea funciară prin indicii 2xxxx (demo) și CF xxxxx Breaza (demo), iar dreptul de proprietate urmează a fi coroborat cu înscrisurile juridice aferente, în cadrul analizei specifice scopului de garantare a unui credit ipotecar. Proprietatea este evaluată în ipoteza unei situații juridice uzuale, pe baza datelor puse la dispoziție de beneficiar Client demonstrativ.</w:t>
        <w:br/>
        <w:br/>
        <w:t>Terenul aferent proprietății are o suprafață de 700 mp și este încadrat la categoria de folosință intravilan. Din punct de vedere fizic, amplasamentul terenului este tratat ca parte integrantă a ansamblului imobiliar evaluat, fără a se face alte precizări cantitative suplimentare în datele furnizate.</w:t>
        <w:br/>
        <w:br/>
        <w:t>Pe teren este edificată o construcție cu arie utilă de 180 mp și arie construită desfășurată de 220 mp, cu an de referință 2026. În lipsa unor date suplimentare privind un eventual regim de înălțime, descrierea fizică a construcției se limitează la indicatorii de suprafață disponibili, aceștia fiind utilizați ca bază pentru evaluarea de piață și pentru alocarea valorii între teren și construcții.</w:t>
        <w:br/>
        <w:br/>
        <w:t>În cadrul analizei de evaluare, valoarea terenului a fost estimată prin comparație la 39,52 EUR/mp, rezultând o valoare de 27.664,00 EUR, iar valoarea alocată construcțiilor a fost de 107.603,00 EUR. Valoarea de piață reconciliată a proprietății este de 135.267,00 EUR.</w:t>
      </w:r>
    </w:p>
    <w:p>
      <w:pPr>
        <w:pStyle w:val="Heading1"/>
      </w:pPr>
      <w:r>
        <w:t>5. ANALIZA CELEI MAI BUNE UTILIZARI (CMBU)</w:t>
      </w:r>
    </w:p>
    <w:p>
      <w:r>
        <w:rPr>
          <w:i/>
          <w:color w:val="B06A00"/>
          <w:sz w:val="17"/>
        </w:rPr>
        <w:t>▮ NOTA DEMO — [AI] Analiza celei mai bune utilizari generata de AI.</w:t>
      </w:r>
    </w:p>
    <w:p>
      <w:r>
        <w:t>Analiza celei mai bune utilizări a proprietății are în vedere utilizarea care îndeplinește cumulativ condițiile de permisibilitate legală, posibilitate fizică, fezabilitate financiară și maximum productivă, conform conceptului CMBU utilizat în evaluare. În cazul de față, proprietatea este evaluată pentru garantarea creditului ipotecar, iar tipologia și indicatorii utilizați în evaluare sugerează o proprietate construită cu destinație rezidențială, situată pe teren intravilan de 700 mp, cu arie utilă de 180 mp și arie construită desfășurată de 220 mp.</w:t>
        <w:br/>
        <w:br/>
        <w:t>Din punct de vedere legal și fizic, utilizarea rezidențială existentă apare ca fiind compatibilă cu caracteristicile bunului imobil și cu modul său curent de exploatare. Nu sunt indicate date care să sugereze restricții legale sau constrângeri fizice care să impună o schimbare de destinație, iar pentru un teren intravilan de această dimensiune utilizarea construită existentă este, în mod rezonabil, posibilă și susținută de piață. În acest context, ipoteza unei păstrări a utilizării curente rezidențiale pare cea mai plauzibilă.</w:t>
        <w:br/>
        <w:br/>
        <w:t>Din punct de vedere financiar, analiza de piață conduce la o valoare finală reconciliată de 135267.00 EUR, obținută prin abordarea prin piață, în timp ce abordarea prin cost indică o valoare de 178735.07 EUR. Diferența dintre aceste rezultate poate indica faptul că piața reflectă cu mai mult realism caracteristicile proprietății și nivelul cererii pentru astfel de imobile, iar utilizarea rezidențială existentă rămâne fezabilă financiar. Totodată, alocarea valorii rezultată din analiza de piață evidențiază o valoare a terenului de 27664.00 EUR și o valoare a construcțiilor de 107603.00 EUR, ceea ce susține faptul că îmbunătățirile existente contribuie la valoarea totală a proprietății.</w:t>
        <w:br/>
        <w:br/>
        <w:t>În consecință, pe baza datelor disponibile, cea mai bună utilizare a proprietății este, cel mai probabil, utilizarea rezidențială existentă, menținută în configurația actuală. Această concluzie este susținută de faptul că utilizarea curentă pare permisă legal, posibilă fizic, fezabilă financiar și, în condițiile pieței analizate, probabil cea mai productivă pentru proprietatea evaluată.</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Abordările și metodele aplicate respectă SEV 103 „Abordări în evaluare” și SEV 105 „Modele de evaluare” (echivalente IVS 103/IVS 105). Selecția abordării este justificată în reconcilierea de la capitolul 7.</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Sursele comparabilelor au caracter indicativ (oferte de pe portaluri publice); preturile si atributele au fost verificate si retinute de evaluator pe baza rationamentului profesional.</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 xml:space="preserve">Ajustările din grilă au fost aplicate pentru a aduce comparabilele la nivelul proprietății evaluate, astfel încât diferențele dintre acestea să reflecte exclusiv abaterea relevantă față de subiect, iar nu particularități ale fiecărei tranzacții. Logica distinctă dintre etapa de tranzacție și etapa de proprietate este aceea că prima corectează elementele ținând de condițiile în care s-a realizat vânzarea sau oferta analizată, în timp ce a doua corectează diferențele de caracteristici între comparabil și proprietatea evaluată, pentru a permite o comparație omogenă și o indicație de valoare mai credibilă. </w:t>
        <w:br/>
        <w:br/>
        <w:t xml:space="preserve">În consecință, ajustările de la etapa de tranzacție au rolul de a neutraliza influențe precum momentul pieței, condițiile de negociere și alte particularități ale vânzării, iar ajustările de la etapa de proprietate urmăresc diferențele dintre suprafață, amplasament, configurație și alte caracteristici fizice ori economice ale activului. Această structură de lucru este adecvată în abordarea prin piață, deoarece valoarea este derivată din comparația cu tranzacții relevante, iar proprietățile comparabile trebuie aduse cât mai aproape de profilul subiectului evaluat. </w:t>
        <w:br/>
        <w:br/>
        <w:t xml:space="preserve">Comparabilul selectat a fost cel cu ajustarea brută minimă deoarece, dintre cele trei comparabile analizate, acesta a prezentat cea mai redusă nevoie de corecții cumulate pentru a fi aliniat la caracteristicile proprietății evaluate. Cu alte cuvinte, diferențele față de subiect au fost cele mai mici în ansamblu, ceea ce a redus volumul ajustărilor necesare și a condus la o indicație de valoare mai stabilă și mai puțin dependentă de corecții succesive. </w:t>
        <w:br/>
        <w:br/>
        <w:t>Aceeași logică se reflectă și în analiza pe teren, unde comparația a condus la o valoare de 39.52 EUR/mp, utilizată pentru terenul de 700 mp, rezultând 27,664.00 EUR; diferența rămasă până la valoarea finală reconciliată a fost alocată construcției, respectiv 107,603.00 EUR. În acest cadru, alegerea comparabilului cu ajustarea brută minimă susține credibilitatea indicației de piață și coerența întregii reconcilieri dintre teren și construcție.</w:t>
      </w:r>
    </w:p>
    <w:p>
      <w:pPr>
        <w:pStyle w:val="Heading1"/>
      </w:pPr>
      <w:r>
        <w:t>7. RECONCILIEREA REZULTATELOR SI CONCLUZIA VALORII</w:t>
      </w:r>
    </w:p>
    <w:p>
      <w:r>
        <w:rPr>
          <w:i/>
          <w:color w:val="B06A00"/>
          <w:sz w:val="17"/>
        </w:rPr>
        <w:t>▮ NOTA DEMO — [CALCULAT] Selectia metodei si valoarea finala sunt calculate. [AI] Textul explicativ.</w:t>
      </w:r>
    </w:p>
    <w:p>
      <w:r>
        <w:t>În urma aplicării abordărilor de evaluare, analiza sugerează că abordarea prin piață este cea mai relevantă pentru scopul prezentului raport, respectiv garantarea creditului ipotecar, întrucât reflectă cel mai direct comportamentul pieței pentru o proprietate comparabilă și conduce la o indicație a valorii de 135267.00 EUR. Abordarea prin cost a condus la o valoare de 178735.07 EUR, determinată pe baza CIB=182600.00 EUR, a unei durate de viață utile de 16.00 ani și a unei deprecieri fizice de 17.27%, cu CIN=151071.07 EUR; această indicație exprimă costul depreciat al activului, dar poate suprima influența condițiilor concrete de piață observate pentru proprietatea evaluată.</w:t>
        <w:br/>
        <w:br/>
        <w:t>Compararea celor două abordări evidențiază un ecart semnificativ între indicația prin cost și cea prin piață, ceea ce poate indica faptul că valoarea rezultată din cost surprinde mai ales componenta de înlocuire a bunului, în timp ce piața reflectă mai adecvat cererea și oferta pentru proprietăți similare. În cadrul abordării prin piață au fost analizate 3 comparabile, iar comparabilul selectat a fost cel cu index 0, iar pentru teren a fost utilizat comparabilul cu index 2, rezultând o valoare de 39.52 EUR/mp, respectiv 27664.00 EUR pentru terenul de 700 mp. Diferența până la valoarea totală a proprietății a condus la o valoare alocată construcțiilor de 107603.00 EUR, ceea ce susține coerența internă a reconcilierii.</w:t>
        <w:br/>
        <w:br/>
        <w:t>Având în vedere scopul evaluării, calitatea și relevanța informațiilor de piață disponibile, precum și faptul că valoarea de piață trebuie să reflecte condițiile de tranzacționare cele mai probabile pentru proprietatea subiect, valoarea finală reconciliată este stabilită la 135267.00 EUR. Această valoare este determinată prin ponderarea preponderentă a abordării prin piață, iar abordarea prin cost este utilizată cu rol de control și verificare a plauzibilității rezultatului obținut din piață. Pentru beneficiarul/finanțatorul Banca Comerciala Exemplu S.A., valoarea indicată reprezintă opinia evaluatorului privind valoarea de piață a proprietății evaluate la anul de referință 2026.</w:t>
      </w:r>
    </w:p>
    <w:p>
      <w:r>
        <w:t>Valoarea finala: 135.267 EUR (echivalent ~672.953 LEI la cursul BNR 4.9750).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r>
        <w:rPr>
          <w:b/>
        </w:rPr>
        <w:t>VERIFICARE DE CONSISTENTA (GEV 520): valoarea constructiilor alocata (107.603 EUR) difera cu 28.77% fata de costul de inlocuire net (151.071 EUR). O diferenta de aceasta amplitudine trebuie justificata explicit (depreciere fizica/functionala/externa, supraoferta sau localizare inferioara) - altfel poate fi semnalata la verificarea bancara.</w:t>
      </w:r>
    </w:p>
    <w:p>
      <w:pPr>
        <w:pStyle w:val="Heading1"/>
      </w:pPr>
      <w:r>
        <w:t>RISCUL ASOCIAT GARANTIEI (GEV 520)</w:t>
      </w:r>
    </w:p>
    <w:p>
      <w:r>
        <w:rPr>
          <w:i/>
          <w:color w:val="B06A00"/>
          <w:sz w:val="17"/>
        </w:rPr>
        <w:t>▮ NOTA DEMO — [AI] Text standard GEV 520 generat de AI; de adaptat la caz.</w:t>
      </w:r>
    </w:p>
    <w:p>
      <w:r>
        <w:t>În evaluarea riscului asociat garanției, proprietatea analizată prezintă caracteristicile unui activ imobiliar rezidențial/investițional obișnuit, cu o suprafață a terenului de 700 mp, amplasat în intravilan, și cu o arie utilă de 180 mp și o arie construită desfășurată de 220 mp. Valoarea de piață reconciliată de 135267.00 EUR, determinată prin abordarea prin piață, indică faptul că, la data evaluării, activul este compatibil cu cerințele curente ale pieței pentru astfel de proprietăți, iar alocarea indică o pondere semnificativă a valorii aferente construcțiilor, respectiv 107603.00 EUR, față de terenul evaluat la 27664.00 EUR.</w:t>
        <w:br/>
        <w:br/>
        <w:t>Din perspectiva factorilor relevanți pentru performanța garanției pe perioada creditului, analiza trebuie corelată cu activitatea curentă și tendințele pieței, precum și cu cererea anterioară, curentă și viitoare pentru tipul de bun și pentru localizare. În lipsa unor elemente particulare care să indice o piață restrânsă sau atipică, rezultatul obținut prin comparație cu 3 comparabile sugerează că proprietatea se încadrează într-un segment în care există referințe tranzacționale utilizabile, ceea ce susține vandabilitatea. Totodată, cererea pentru alte utilizări poate influența limita de absorbție în piață, însă, în absența unor date care să indice o potențială reconversie superioară, utilitatea principală a proprietății rămâne cea actuală.</w:t>
        <w:br/>
        <w:br/>
        <w:t>Evenimentele previzibile pe durata creditului, precum modificări ale condițiilor generale de piață, ale cererii locale sau ale nivelului de înlocuire și depreciere al construcției, pot influența valoarea viitoare a garanției. Abordarea prin cost indică o depreciere fizică de 17.27% și un Vcp de 16.00 ani, elemente care pot sugera o sensibilitate moderată a valorii în timp, mai ales în ipoteza în care nu se realizează investiții de menținere. În ansamblu, garanția poate fi apreciată ca având o lichiditate și vandabilitate rezonabile, în condițiile unei piețe funcționale, iar gradul de adecvare ca garanție apare corespunzător scopului de garantare a creditului ipotecar, sub rezerva menținerii caracteristicilor actuale ale imobilului și ale contextului de piață.</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r>
        <w:rPr>
          <w:b/>
        </w:rPr>
        <w:t xml:space="preserve">Valoarea de lichidare (vanzare fortata): </w:t>
      </w:r>
      <w:r>
        <w:t xml:space="preserve">valoarea de piata (135.267 EUR) ajustata cu un factor care reflecta vanzarea intr-un termen limitat. Estimare orientativa la factor 0.85: 114.977 EUR. </w:t>
      </w:r>
      <w:r>
        <w:rPr>
          <w:i/>
        </w:rPr>
        <w:t>ATENTIE: factorul final se stabileste de evaluator in functie de lichiditatea pietei si perioada de expunere (tipic 0,80–0,90); valoarea de mai sus este doar orientativa.</w:t>
      </w:r>
    </w:p>
    <w:p>
      <w:pPr>
        <w:pStyle w:val="Heading1"/>
      </w:pPr>
      <w:r>
        <w:t>CERTIFICAREA CONFORMITATII RAPORTULUI (GEV 520)</w:t>
      </w:r>
    </w:p>
    <w:p>
      <w:r>
        <w:t>Checklist de conformitate — de verificat si bifat de evaluator inainte de transmitere (de aliniat la Anexa 1 a GEV 520 in vigoare):</w:t>
      </w:r>
    </w:p>
    <w:p>
      <w:pPr>
        <w:pStyle w:val="ListBullet"/>
      </w:pPr>
      <w:r>
        <w:t>☐ Valoarea estimata este valoarea de piata (SEV 102 / IVS 104), exprimata fara TVA.</w:t>
      </w:r>
    </w:p>
    <w:p>
      <w:pPr>
        <w:pStyle w:val="ListBullet"/>
      </w:pPr>
      <w:r>
        <w:t>☐ Data evaluarii si data raportului sunt precizate.</w:t>
      </w:r>
    </w:p>
    <w:p>
      <w:pPr>
        <w:pStyle w:val="ListBullet"/>
      </w:pPr>
      <w:r>
        <w:t>☐ Scopul evaluarii (garantarea imprumutului) este declarat in termenii de referinta.</w:t>
      </w:r>
    </w:p>
    <w:p>
      <w:pPr>
        <w:pStyle w:val="ListBullet"/>
      </w:pPr>
      <w:r>
        <w:t>☐ Proprietatea a fost identificata (cadastral / CF) si inspectata.</w:t>
      </w:r>
    </w:p>
    <w:p>
      <w:pPr>
        <w:pStyle w:val="ListBullet"/>
      </w:pPr>
      <w:r>
        <w:t>☐ Au fost utilizate minim 3 comparabile relevante.</w:t>
      </w:r>
    </w:p>
    <w:p>
      <w:pPr>
        <w:pStyle w:val="ListBullet"/>
      </w:pPr>
      <w:r>
        <w:t>☐ Ajustarile sunt justificate; ajustarile totale se incadreaza in limite rezonabile.</w:t>
      </w:r>
    </w:p>
    <w:p>
      <w:pPr>
        <w:pStyle w:val="ListBullet"/>
      </w:pPr>
      <w:r>
        <w:t>☐ Costul de inlocuire (unde se aplica) exclude profitul dezvoltatorului.</w:t>
      </w:r>
    </w:p>
    <w:p>
      <w:pPr>
        <w:pStyle w:val="ListBullet"/>
      </w:pPr>
      <w:r>
        <w:t>☐ Ipoteza de utilizare continua si ipotezele/conditiile limitative sunt precizate.</w:t>
      </w:r>
    </w:p>
    <w:p>
      <w:pPr>
        <w:pStyle w:val="ListBullet"/>
      </w:pPr>
      <w:r>
        <w:t>☐ A fost analizata cea mai buna utilizare (CMBU).</w:t>
      </w:r>
    </w:p>
    <w:p>
      <w:pPr>
        <w:pStyle w:val="ListBullet"/>
      </w:pPr>
      <w:r>
        <w:t>☐ A fost analizat riscul de garantie (lichiditate, vandabilitate, perioada de expunere).</w:t>
      </w:r>
    </w:p>
    <w:p>
      <w:pPr>
        <w:pStyle w:val="ListBullet"/>
      </w:pPr>
      <w:r>
        <w:t>☐ Valoarea de lichidare / vanzare fortata a fost estimata.</w:t>
      </w:r>
    </w:p>
    <w:p>
      <w:pPr>
        <w:pStyle w:val="ListBullet"/>
      </w:pPr>
      <w:r>
        <w:t>☐ Comparabilele provenite din oferte au fost ajustate la nivel de tranzactie.</w:t>
      </w:r>
    </w:p>
    <w:p>
      <w:pPr>
        <w:pStyle w:val="ListBullet"/>
      </w:pPr>
      <w:r>
        <w:t>☐ Sursele de date sunt mentionate si verificabile.</w:t>
      </w:r>
    </w:p>
    <w:p>
      <w:pPr>
        <w:pStyle w:val="ListBullet"/>
      </w:pPr>
      <w:r>
        <w:t>☐ Raportul se inregistreaza in BIG.</w:t>
      </w:r>
    </w:p>
    <w:p>
      <w:pPr>
        <w:pStyle w:val="ListBullet"/>
      </w:pPr>
      <w:r>
        <w:t>☐ Evaluatorul este autorizat ANEVAR si detine asigurare de raspundere profesionala.</w:t>
      </w:r>
    </w:p>
    <w:p>
      <w:pPr>
        <w:pStyle w:val="ListBullet"/>
      </w:pPr>
      <w:r>
        <w:t>☐ Declaratia de conformitate si de independenta este semnata.</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w:t>
      </w:r>
    </w:p>
    <w:p>
      <w:r>
        <w:t>[de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