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Se presupune că dreptul de proprietate asupra imobilului evaluat este valabil, legal și opozabil, iar bunul este liber de sarcini, cu excepția eventualelor înscrieri, limitări sau condiții expres menționate în documentația pusă la dispoziție. Evaluarea a fost realizată pentru garantarea creditului ipotecar, în scopul determinării valorii de piață (SEV 102), exprimată în EUR, având ca beneficiar / finanțator Banca Comerciala Exemplu S.A.</w:t>
        <w:br/>
        <w:br/>
        <w:t>Se mai presupune că imobilul are o structură de rezistență corespunzătoare, că elementele constructive sunt conforme utilizării curente și că nu există vicii ascunse, degradări structurale ori alte deficiențe care nu au putut fi identificate prin inspecția vizuală și prin informațiile disponibile. Nu au fost efectuate investigații geotehnice, sondaje distructive sau verificări tehnice ascunse; prin urmare, eventualele riscuri rezultate din astfel de investigații rămân în afara prezentului raport.</w:t>
        <w:br/>
        <w:br/>
        <w:t>Raportul a fost întocmit pe baza datelor și documentelor puse la dispoziție și se utilizează exclusiv în scopul declarat al evaluării; orice altă utilizare, totală sau parțială, fără acordul evaluatorului, poate conduce la interpretări necorespunzătoare. În elaborarea concluziilor s-au utilizat ipotezele generale și condițiile limitative uzuale în evaluare, inclusiv cele privind caracteristicile declarate ale terenului de 700 mp și ale construcției cu Aria utilă de 180 mp și aria construită desfășurată de 220 mp, în anul de referință 2026.</w:t>
        <w:br/>
        <w:br/>
        <w:t>Se menționează că valoarea concluzionată prin abordarea adoptată în raport este rezultatul analizei efectuate pe baza informațiilor disponibile, iar orice modificare a situației juridice, tehnice sau urbanistice a proprietății poate determina revizuirea concluziilor. În lipsa unor date suplimentare, evaluarea nu acoperă aspecte care exced informațiilor furnizate și nu poate fi interpretată ca o garanție absolută privind comportarea viitoare a imobilului sau a pieței.</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poate fi caracterizată, pe baza comparabilelor utilizate, ca o piață specifică segmentului rezidențial cu ofertă selectivă și tranzacții analizate prin comparare directă. În cadrul analizei prin piață au fost utilizate 3 comparabile, iar selectarea comparabilului index 0 pentru valoarea totală și a comparabilului index 2 pentru teren sugerează existența unor repere de piață suficiente pentru fundamentarea estimării, deși diferențele dintre proprietăți impun ajustări și o apreciere prudentă a nivelului de preț.</w:t>
        <w:br/>
        <w:br/>
        <w:t>Din perspectiva cererii și ofertei, analiza comparabilelor utilizate poate indica o piață activă, dar nu una omogenă, în care condițiile de amplasare, suprafață și caracteristicile constructive pot influența semnificativ prețurile observate. Pentru terenul intravilan de 700 mp, valoarea rezultată prin comparație de 39.52 EUR/mp indică un reper de piață utilizabil în evaluare, iar nivelul obținut pentru componenta terenului, respectiv 27,664.00 EUR, susține existența unei baze de preț pentru proprietăți similare din zonă.</w:t>
        <w:br/>
        <w:br/>
        <w:t>Lichiditatea poate fi apreciată ca moderată, în sensul că proprietăți de tipul celei analizate pot fi valorificate printr-un proces de expunere pe piață, însă nu rapid și uniform, fiind necesară o aliniere la caracteristicile cererii locale. Reconcilierea valorii finale la 135,267.00 EUR, în condițiile în care abordarea prin cost conduce la un nivel mai ridicat de 178,735.07 EUR, iar abordarea prin piață la 135,267.00 EUR, sugerează că piața actuală nu validează integral costul de înlocuire, ci mai degrabă un nivel de preț rezultat din comportamentul efectiv al participanților la piață.</w:t>
        <w:br/>
        <w:br/>
        <w:t>În ansamblu, tendințele observabile din comparabilele utilizate indică o piață în care valorile sunt susținute de tranzacții sau oferte comparabile, dar cu sensibilitate la caracteristicile individuale ale imobilului. Pentru scopul garantării creditului ipotecar, această structură a pieței poate fi considerată adecvată pentru estimarea valorii de piață, cu mențiunea că nivelul concluzionat reflectă mai ales prețurile observabile în segmentul relevant și mai puțin costul tehnic de realizare a proprietății.</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analizat are situația juridică identificată prin elementele de cadastru și carte funciară indicate în documentația pusă la dispoziție, respectiv 2xxxx (demo) și CF xxxxx Breaza (demo), fiind evaluat pentru garantarea unui credit ipotecar în favoarea Client demonstrativ, respectiv [Nume evaluator autorizat ANEVAR] ca beneficiar/finanțator indicat. În cadrul prezentului raport, descrierea juridică este preluată exclusiv pe baza datelor furnizate, fără a extinde informațiile asupra unor înscrieri sau sarcini care nu au fost comunicate.</w:t>
        <w:br/>
        <w:br/>
        <w:t>Din punct de vedere fizic, proprietatea este amplasată pe un teren intravilan cu suprafața de 700 mp. Terenul este aferent unei construcții cu arie utilă de 180 mp și arie construită desfășurată de 220 mp, cu an de referință 2026. Regimul de înălțime nu a fost indicat distinct în datele transmise, iar descrierea de față îl menționează numai în măsura în care va fi completat în documentația tehnică aferentă.</w:t>
        <w:br/>
        <w:br/>
        <w:t>Ansamblul proprietății este analizat ca un imobil compus din teren și construcție, valorificarea fiind realizată prin abordarea prin piață, cu alocarea valorii de 27.664,00 EUR pentru teren și 107.603,00 EUR pentru construcții, rezultând o valoare finală reconciliată de 135.267,00 EUR. Informațiile de mai sus descriu proprietatea în limitele datelor numerice furnizate și pot susține identificarea fizică și juridică a imobilului în cadrul raportului de evaluare.</w:t>
      </w:r>
    </w:p>
    <w:p>
      <w:pPr>
        <w:pStyle w:val="Heading1"/>
      </w:pPr>
      <w:r>
        <w:t>5. ANALIZA CELEI MAI BUNE UTILIZARI (CMBU)</w:t>
      </w:r>
    </w:p>
    <w:p>
      <w:r>
        <w:rPr>
          <w:i/>
          <w:color w:val="B06A00"/>
          <w:sz w:val="17"/>
        </w:rPr>
        <w:t>▮ NOTA DEMO — [AI] Analiza celei mai bune utilizari generata de AI.</w:t>
      </w:r>
    </w:p>
    <w:p>
      <w:r>
        <w:t>Analiza celei mai bune utilizări a proprietății evaluate indică, în condițiile date, că utilizarea rezidențială existentă reprezintă utilizarea care îndeplinește în mod rezonabil criteriile de analiză cerute de CMBU: este permisibilă legal, este posibilă fizic, este fezabilă financiar și poate fi considerată maximum productivă în raport cu caracteristicile imobilului și cu indicatorii valorici rezultați din evaluare.</w:t>
        <w:br/>
        <w:br/>
        <w:t>Din punct de vedere fizic, terenul are o suprafață de 700 mp, este intravilan, iar imobilul dispune de o arie utilă de 180 mp și o arie construită desfășurată de 220 mp, parametri care susțin menținerea și exploatarea utilizării actuale fără a impune, pe baza datelor disponibile, o reconfigurare care să indice o altă utilizare superioară. Din perspectivă financiară, abordarea prin piață conduce la o valoare de 135267.00 EUR, în timp ce abordarea prin cost indică o valoare de 178735.07 EUR; diferența dintre aceste rezultate sugerează că valoarea de piață a proprietății este mai bine reflectată prin utilizarea curentă și prin comportamentul pieței observat în comparabilele analizate.</w:t>
        <w:br/>
        <w:br/>
        <w:t>Analiza terenului prin comparație evidențiază o valoare de 39.52 EUR/mp, respectiv 27664.00 EUR pentru terenul de 700 mp, iar valoarea alocată construcțiilor este de 107603.00 EUR. În acest context, utilizarea rezidențială existentă pare să fie nu doar fezabilă, ci și cea care maximizează valoarea proprietății în condițiile de piață avute în vedere, fără a exista elemente numerice furnizate care să susțină o utilizare alternativă mai avantajoasă din punct de vedere economic.</w:t>
        <w:br/>
        <w:br/>
        <w:t>Pentru scopul evaluării — garantarea creditului ipotecar — și având în vedere structura imobilului, rezultatele de piață și faptul că valoarea finală reconciliată este de 135267.00 EUR, concluzia analizei CMBU este că utilizarea rezidențială existentă rămâne cea mai bună utilizare a proprietății, în accepțiunea unei utilizări legale, posibile fizic, fezabile financiar și maxim productive.</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Justificarea ajustărilor aplicate urmărește diferențele relevante dintre proprietatea evaluată și comparabilele analizate, astfel încât prețurile observate în piață să fie aduse la un nivel de comparabilitate cât mai apropiat de subiectul evaluării. În cadrul grilei, ajustările de la etapa de tranzacție versus etapa de proprietate reflectă faptul că unele diferențe țin de condițiile de piață și de natura tranzacției, iar altele de caracteristicile intrinseci ale imobilului; în consecință, corecțiile se aplică acolo unde diferența influențează prețul tranzacționat și se păstrează consecvența modului de exprimare a relației dintre comparabil și proprietatea evaluată.</w:t>
        <w:br/>
        <w:br/>
        <w:t>În mod practic, ajustările din etapa de tranzacție vizează efecte precum tipul ofertei/tranzacției și contextul de piață în care a fost realizată tranzacția, deoarece prețul disponibil este prețul comparabilului și trebuie corectat pentru a ajunge la estimarea valorii proprietății evaluate. Ajustările din etapa de proprietate vizează diferențele de localizare, dimensiune, arie utilă, configurație și alte caracteristici fizice sau funcționale care pot influența valoarea; acestea sunt tratate separat pentru a reflecta mai precis contribuția fiecărui element de comparație la prețul final corectat. Logica utilizată este una de corectare succesivă a prețului comparabilului, astfel încât rezultatul să reprezinte o indicație cât mai credibilă a valorii de piață a proprietății subiect.</w:t>
        <w:br/>
        <w:br/>
        <w:t>Comparabilul selectat are ajustarea brută minimă deoarece este, dintre cele trei comparabile analizate, cel mai apropiat de proprietatea evaluată din punctul de vedere al caracteristicilor relevante pentru formarea prețului. Tranzacțiile care necesită cele mai mici corecții au, în mod justificat, ponderea cea mai mare în alegerea valorii finale, întrucât acestea oferă cea mai bună proximitate față de subiect și cea mai redusă dependență de ipoteze de ajustare. În acest caz, selecția comparabilului cu ajustarea brută minimă susține în mod metodologic reconcilierea spre valoarea de piață de 135267.00 EUR, respectiv spre alocarea aferentă valorii construcțiilor de 107603.00 EUR, în contextul terenului evaluat prin comparație la 39.52 EUR/mp.</w:t>
      </w:r>
    </w:p>
    <w:p>
      <w:pPr>
        <w:pStyle w:val="Heading1"/>
      </w:pPr>
      <w:r>
        <w:t>7. RECONCILIEREA REZULTATELOR SI CONCLUZIA VALORII</w:t>
      </w:r>
    </w:p>
    <w:p>
      <w:r>
        <w:rPr>
          <w:i/>
          <w:color w:val="B06A00"/>
          <w:sz w:val="17"/>
        </w:rPr>
        <w:t>▮ NOTA DEMO — [CALCULAT] Selectia metodei si valoarea finala sunt calculate. [AI] Textul explicativ.</w:t>
      </w:r>
    </w:p>
    <w:p>
      <w:r>
        <w:t xml:space="preserve">Pentru proprietatea evaluată, abordarea prin piață a fost considerată cea mai relevantă pentru scopul raportului, respectiv garantarea unui credit ipotecar, întrucât reflectă prețurile observabile pentru active comparabile și conduce la o indicație directă a valorii de piață. În cadrul acestei abordări, valoarea estimată este de 135267.00 EUR, fiind selectat comparabilul de index 0 dintr-un set de 3 comparabile, iar analiza terenului a condus la o valoare de 39.52 EUR/mp, respectiv 27664.00 EUR pentru terenul de 700 mp. </w:t>
        <w:br/>
        <w:br/>
        <w:t>Abordarea prin cost oferă o indicație superioară, de 178735.07 EUR, rezultată din CIB = 182600.00 EUR, Vcp = 16.00 ani, depreciere fizică de 17.27% și CIN = 151071.07 EUR. Diferența față de abordarea prin piață poate indica faptul că costul curent de refacere a proprietății, ajustat cu deprecierea, nu surprinde integral condițiile concrete de tranzacționare ale pieței pentru un activ comparabil, motiv pentru care această abordare are un rol de control și de verificare a rezonabilității, mai degrabă decât de determinare principală a valorii finale.</w:t>
        <w:br/>
        <w:br/>
        <w:t>În procesul de reconciliere, s-a acordat pondere preponderentă abordării prin piață, întrucât aceasta este cea mai bine ancorată în comportamentul pieței pentru tipul de proprietate evaluat și în scopul declarat al evaluării. Abordarea prin cost a fost utilizată ca element de confirmare, dar a fost ponderată inferior, având în vedere diferența dintre rezultatele celor două abordări. Valoarea finală reconciliată a proprietății, exprimată în condițiile valorii de piață și pentru anul de referință 2026, este de 135267.00 EUR.</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În analiza riscului asociat garanției, proprietatea evaluată prezintă, la nivel general, un grad de adecvare satisfăcător ca garanție pentru scopul garantării creditului ipotecar, având în vedere valoarea de piață reconciliată de 135267.00 EUR, determinată prin abordarea prin piață, precum și caracteristicile fizice și funcționale declarate ale imobilului. Evaluarea acestui risc trebuie privită în corelație cu factorii relevanți pentru performanța garanției pe perioada creditului, respectiv activitatea curentă și tendințele pieței, cererea pentru tipul de bun și localizare, cererea alternativă pentru alte utilizări și impactul unor evenimente previzibile asupra valorii viitoare a proprietății.</w:t>
        <w:br/>
        <w:br/>
        <w:t>Din perspectiva activității curente și a tendințelor pieței, valoarea stabilită prin piață indică faptul că bunul se încadrează într-un segment în care există referințe de tranzacționare comparabile, fiind utilizate 3 comparabile pentru determinarea valorii finale. Acest element sugerează existența unei baze de piață pentru bunul evaluat, însă performanța garanției pe durata creditului poate fi influențată de evoluția condițiilor generale ale pieței imobiliare și de menținerea nivelului de preț observat la data evaluării. În lipsa unor date suplimentare privind dinamica locală, aprecierea rămâne prudentă: imobilul pare să beneficieze de o poziționare de piață ce permite estimarea unei valori de lichidare orientative, dar această valoare poate varia în funcție de evoluțiile pieței în perioada de creditare.</w:t>
        <w:br/>
        <w:br/>
        <w:t>În ceea ce privește cererea anterioară, curentă și viitoare, existența valorii de piață bazate pe comparabile pentru teren și construcție sugerează că există interes de piață pentru proprietăți similare ca localizare și caracteristici. Suprafața terenului de 700 mp, în intravilan, și aria utilă de 180 mp indică un bun care poate fi compatibil cu utilizări rezidențiale sau mixte, în funcție de contextul urbanistic și de cererea locală. Cererea viitoare pentru acest tip de bun va depinde de menținerea atractivității zonei și de nivelul general al lichidității pe segmentul respectiv, fără a putea fi afirmată o anumită evoluție în absența unor date de piață suplimentare.</w:t>
        <w:br/>
        <w:br/>
        <w:t>Referitor la cererea pentru alte utilizări, datele disponibile nu indică restricții sau avantaje specifice care să permită o conversie certă către alte destinații; totuși, faptul că terenul este intravilan poate susține, în principiu, o anumită flexibilitate de utilizare, dacă reglementările urbanistice o permit. Din perspectiva lichidității și vandabilității, proprietatea poate fi considerată relativ lichidă pentru un activ imobiliar de tip rezidențial/intravilan, însă lichiditatea rămâne inferioară activelor financiare și depinde de prețul de ofertă, timpul de expunere și de numărul potențialilor cumpărători. Impactul unor evenimente previzibile — precum variația cererii locale, modificarea condițiilor de finanțare sau schimbări ale cadrului urbanistic — poate influența valoarea viitoare a garanției, fără a permite însă cuantificarea exactă pe baza datelor furnizate.</w:t>
        <w:br/>
        <w:br/>
        <w:t>În ansamblu, garanția analizată prezintă un **nivel re</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