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Valoarea nu contine TVA.</w:t>
      </w:r>
    </w:p>
    <w:p>
      <w:r>
        <w:br w:type="page"/>
      </w:r>
    </w:p>
    <w:p>
      <w:pPr>
        <w:pStyle w:val="Heading1"/>
      </w:pPr>
      <w:r>
        <w:t>SCRISOARE DE TRANSMITERE</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in vigoare si poate fi utilizat exclusiv in scopul mentionat.</w:t>
      </w:r>
    </w:p>
    <w:p>
      <w:r>
        <w:t>Cu deosebita consideratie, [Nume evaluator autorizat ANEVAR], membru ANEVAR, legitimatia [nr. legitimatie].</w:t>
      </w:r>
    </w:p>
    <w:p>
      <w:pPr>
        <w:pStyle w:val="Heading1"/>
      </w:pPr>
      <w:r>
        <w:t>DECLARATIE DE CONFORMITATE SI CERTIFICARE</w:t>
      </w:r>
    </w:p>
    <w:p>
      <w:pPr>
        <w:pStyle w:val="ListBullet"/>
      </w:pPr>
      <w:r>
        <w:t>Prezentul raport a fost elaborat in conformitate cu Standardele de evaluare ANEVAR (SEV) in vigoare la data raportului.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t>Clientul evaluarii: Client demonstrativ (Persoana fizica).</w:t>
      </w:r>
    </w:p>
    <w:p>
      <w:r>
        <w:t>Beneficiarul / utilizatorul desemnat: Banca Comerciala Exemplu S.A..</w:t>
      </w:r>
    </w:p>
    <w:p>
      <w:r>
        <w:t>Scopul evaluarii: Garantarea creditului ipotecar.</w:t>
      </w:r>
    </w:p>
    <w:p>
      <w:r>
        <w:t>Tipul valorii estimate: Valoarea de piata (SEV 104).</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w:t>
      </w:r>
    </w:p>
    <w:p>
      <w:pPr>
        <w:pStyle w:val="Heading1"/>
      </w:pPr>
      <w:r>
        <w:t>1. SINTEZA EVALUARII SI CERTIFICARE</w:t>
      </w:r>
    </w:p>
    <w:p>
      <w:r>
        <w:t>Client: Client demonstrativ (Persoana fizica).</w:t>
      </w:r>
    </w:p>
    <w:p>
      <w:r>
        <w:t>Proprietatea: Breaza de Sus, jud. Prahova; nr. cadastral 2xxxx (demo); CF xxxxx Breaza (demo).</w:t>
      </w:r>
    </w:p>
    <w:p>
      <w:r>
        <w:t>Scopul evaluarii: Garantarea creditului ipotecar.</w:t>
      </w:r>
    </w:p>
    <w:p>
      <w:r>
        <w:t>Tipul valorii: Valoarea de piata (SEV 104).</w:t>
      </w:r>
    </w:p>
    <w:p>
      <w:r>
        <w:t>Data evaluarii: 2026-05-25; data raportului: 2026-05-27.</w:t>
      </w:r>
    </w:p>
    <w:p>
      <w:r>
        <w:t>VALOAREA ESTIMATA: 135.267 EUR (metoda selectata: piata). Valoarea nu contine TVA.</w:t>
      </w:r>
    </w:p>
    <w:p>
      <w:pPr>
        <w:pStyle w:val="Heading1"/>
      </w:pPr>
      <w:r>
        <w:t>2. IPOTEZE GENERALE SI SPECIALE</w:t>
      </w:r>
    </w:p>
    <w:p>
      <w:r>
        <w:t>În elaborarea prezentului raport, s-a presupus că dreptul de proprietate asupra imobilului evaluat este valabil, opozabil terților și liber de sarcini, cu excepția eventualelor mențiuni expres consemnate în documentele puse la dispoziție pentru misiunea de evaluare. De asemenea, s-a considerat că informațiile furnizate privind amplasamentul, suprafața terenului de 700 mp, categoria de intravilan, aria utilă de 180 mp și aria construită desfășurată de 220 mp sunt corecte și complete în raport cu scopul evaluării, fără a se efectua investigații independente asupra actelor de proprietate, situației juridice sau eventualelor sarcini nedeclarate.</w:t>
        <w:br/>
        <w:br/>
        <w:t>S-a mai presupus că imobilul este realizat în condiții constructive corespunzătoare, având o structură de rezistență adecvată și o stare de funcționare compatibilă cu utilizarea sa curentă, fără a fi efectuate expertize tehnice, studii de specialitate ori verificări invazive. Evaluarea nu a inclus investigații ascunse, destructiv-exploratorii sau geotehnice, astfel încât eventualele condiții ale terenului, ale fundațiilor, ale elementelor structurale ori ale instalațiilor care nu sunt vizibile sau accesibile în mod obișnuit au fost considerate în limitele informațiilor disponibile și ale ipotezelor uzuale de lucru.</w:t>
        <w:br/>
        <w:br/>
        <w:t>Raportul a fost întocmit exclusiv în scopul declarat al garantării creditului ipotecar, pentru Banca Comerciala Exemplu S.A., și nu poate fi utilizat pentru alte scopuri, inclusiv, dar fără a se limita la, tranzacționare, partaj, raportare contabilă, litigii ori alte decizii care presupun o altă bază de evaluare sau alte ipoteze. Valoarea estimată, exprimată în EUR, reprezintă valoarea de piață calculată pentru condițiile și data evaluării avute în vedere în raport, iar utilizarea concluziei valorice este limitată strict la contextul și la destinația pentru care a fost întocmit documentul.</w:t>
        <w:br/>
        <w:br/>
        <w:t>De asemenea, concluziile raportului sunt valabile în măsura în care nu intervin modificări ale situației juridice, tehnice sau economice ale imobilului și ale pieței relevante după data evaluării. Orice abatere de la aceste ipoteze, precum și orice informație suplimentară apărută ulterior, poate conduce la modificarea rezultatului evaluării și impune o analiză distinctă.</w:t>
      </w:r>
    </w:p>
    <w:p>
      <w:pPr>
        <w:pStyle w:val="Heading1"/>
      </w:pPr>
      <w:r>
        <w:t>3. PREZENTAREA DATELOR DE PIATA</w:t>
      </w:r>
    </w:p>
    <w:p>
      <w:r>
        <w:t>Piața imobiliară locală relevantă pentru proprietatea evaluată este caracterizată, la nivelul segmentului rezidențial/intravilan, de o cerere care se manifestă selectiv, cu orientare către proprietăți comparabile ca suprafață de teren și arie utilă, și de o ofertă limitată la proprietăți similare identificate în zona de interes, ceea ce impune selectarea atentă a comparabilelor utilizate în analiză. În cadrul prezentei evaluări, analiza de piață a fost fundamentată pe comparabilele disponibile și pe contextul local rezultat din acestea, în concordanță cu abordarea prin piață utilizată pentru estimarea valorii de piață.</w:t>
        <w:br/>
        <w:br/>
        <w:t>Din punct de vedere al lichidității, piața poate fi apreciată ca având o lichiditate moderată, întrucât existența unui număr restrâns de comparabile relevante indică o circulație relativ selectivă a proprietăților similare, iar formarea prețului este dependentă de caracteristicile specifice ale fiecărei proprietăți și de gradul de apropiere față de activele comparabile. În acest context, nivelul de tranzacționare și viteza de absorbție a proprietăților în piață sunt influențate de raportul cerere-ofertă și de accesibilitatea alternativelor comparabile disponibile.</w:t>
        <w:br/>
        <w:br/>
        <w:t>Tendințele observate prin comparabilele utilizate indică o piață în care prețurile se stabilesc preponderent prin comparație cu tranzacții/oferte similare, iar diferențele de amplasament, suprafață și caracteristici constructive produc variații ale nivelului de piață. Pentru terenul aferent, evaluarea prin comparație a condus la un nivel de 39.52 EUR/mp, respectiv 27,664.00 EUR pentru 700 mp, iar pentru construcție a rezultat o valoare alocată de 107,603.00 EUR, ceea ce confirmă relevanța comparabilelor selectate în reflectarea comportamentului curent al pieței locale. În ansamblu, piața relevantă pentru proprietatea evaluată susține o abordare bazată pe comparații directe, cu o valoare de piață finală reconciliată de 135,267.00 EUR.</w:t>
      </w:r>
    </w:p>
    <w:p>
      <w:pPr>
        <w:pStyle w:val="Heading1"/>
      </w:pPr>
      <w:r>
        <w:t>4. DESCRIEREA JURIDICA SI FIZICA A PROPRIETATII</w:t>
      </w:r>
    </w:p>
    <w:p>
      <w:r>
        <w:t>Teren: 700 mp, categorie intravilan.</w:t>
      </w:r>
    </w:p>
    <w:p>
      <w:r>
        <w:t>Constructie: Au 180 mp, Acd 220 mp, an referinta 2026.</w:t>
      </w:r>
    </w:p>
    <w:p>
      <w:r>
        <w:t>Imobilul evaluat este identificat în evidențele cadastrale și de carte funciară prin datele menționate în documentația de proprietate aferentă 2xxxx (demo) și CF xxxxx Breaza (demo), acestea reprezentând identificatorii juridici ai bunului imobil în sensul reglementărilor cadastrale și de publicitate imobiliară. Evaluarea a fost realizată pentru garantarea creditului ipotecar, în favoarea Băncii Comerciale Exemplu S.A., având ca standard de valoare valoarea de piață în sensul SEV 104.</w:t>
        <w:br/>
        <w:br/>
        <w:t>Din punct de vedere fizic, proprietatea este amplasată pe un teren intravilan cu suprafața de 700 mp. Terenul deservește o construcție cu arie utilă de 180 mp și arie construită desfășurată de 220 mp, având ca an de referință 2026. Regimul de înălțime al construcției nu a fost indicat în datele furnizate și, în consecință, este consemnat numai în măsura în care rezultă din documentația tehnică aferentă 2xxxx (demo) și CF xxxxx Breaza (demo).</w:t>
        <w:br/>
        <w:br/>
        <w:t>În cadrul evaluării, valoarea terenului rezultată prin comparație este de 39,52 EUR/mp, ceea ce conduce la o valoare de 27.664,00 EUR pentru teren, iar valoarea alocată construcțiilor este de 107.603,00 EUR. Valoarea finală reconciliată a proprietății este de 135.267,00 EUR, stabilită prin abordarea prin piață.</w:t>
      </w:r>
    </w:p>
    <w:p>
      <w:pPr>
        <w:pStyle w:val="Heading1"/>
      </w:pPr>
      <w:r>
        <w:t>5. ANALIZA CELEI MAI BUNE UTILIZARI (CMBU)</w:t>
      </w:r>
    </w:p>
    <w:p>
      <w:r>
        <w:t>Analiza celei mai bune utilizări a proprietății a fost realizată prin raportare la criteriile de permisibilitate legală, posibilitate fizică, fezabilitate financiară și maximă productivitate, conform conceptului de CMBU aplicabil în evaluare. În contextul evaluării pentru garantarea creditului ipotecar, utilizarea analizată trebuie să fie aceea care, din perspectiva unui participant de pe piață, maximizează valoarea proprietății în condițiile de piață și de amplasament existente.</w:t>
        <w:br/>
        <w:br/>
        <w:t>Din punct de vedere fizic, proprietatea este constituită dintr-un teren intravilan în suprafață de 700 mp, pe care este amplasată o construcție cu arie utilă de 180 mp și arie construită desfășurată de 220 mp. Aceste caracteristici indică posibilitatea utilizării în continuare a amplasamentului pentru destinația sa actuală, fără a rezulta elemente care să impună, în baza datelor disponibile, o schimbare de utilizare. În lipsa unor informații care să evidențieze restricții legale sau constrângeri fizice care ar favoriza o alternativă superioară, utilizarea rezidențială existentă rămâne compatibilă cu testele de analiză CMBU.</w:t>
        <w:br/>
        <w:br/>
        <w:t>Din punct de vedere financiar, valoarea prin abordarea prin cost este de 178735.07 EUR, iar valoarea finală reconciliată, stabilită prin abordarea prin piață, este de 135267.00 EUR. Diferența dintre valoarea prin cost și valoarea de piață reflectă comportamentul pieței pentru proprietatea analizată, însă nu oferă, prin ea însăși, un suport suficient pentru concluzia că o altă utilizare ar genera o valoare superioară celei curente; dimpotrivă, în absența unor date privind dezvoltări alternative, utilizarea existentă rezidențială este considerată fezabilă financiar și maxim productivă în raport cu informațiile disponibile.</w:t>
        <w:br/>
        <w:br/>
        <w:t>În consecință, pe baza datelor analizate, cea mai bună utilizare a proprietății este utilizarea rezidențială existentă, aceasta fiind utilizarea care îndeplinește în mod rezonabil criteriile de legalitate, posibilitate fizică, fezabilitate financiară și productivitate maximă, în condițiile pieței reflectate de valoarea de 135267.00 EUR.</w:t>
      </w:r>
    </w:p>
    <w:p>
      <w:pPr>
        <w:pStyle w:val="Heading1"/>
      </w:pPr>
      <w:r>
        <w:t>6. APLICAREA METODELOR DE CALCUL</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Justificarea ajustărilor aplicate în grila de comparații a urmărit aducerea comparabilelor la nivelul proprietății subiect, prin separarea clară a diferențelor aferente etapei de tranzacție de cele aferente caracteristicilor proprietății. În prima etapă au fost analizate diferențele de piață dintre ofertă și tranzacție, respectiv nivelul de negociere și condițiile de comercializare, deoarece acestea influențează prețul observat și trebuie uniformizate pentru a reflecta valoarea de piață. În etapa a doua au fost efectuate ajustările pentru elementele intrinseci ale proprietății, precum terenul, suprafața utilă, suprafața construită și raportul teren–construcții, astfel încât comparabilele să poată fi puse în aceeași bază de analiză cu proprietatea evaluată.</w:t>
        <w:br/>
        <w:br/>
        <w:t>Logica ajustărilor a urmărit principiul conform căruia se aplică ajustări atunci când comparabilul este superior sau inferior proprietății subiect, pentru a elimina influența diferențelor care nu reflectă direct valoarea acesteia. În cazul de față, abordarea prin piață a fost construită pe baza a 3 comparabile, iar selecția comparabilului index 0 ca reper principal s-a făcut deoarece acesta a generat ajustarea brută minimă, ceea ce indică cea mai bună similitudine globală față de proprietatea evaluată. Un comparabil cu ajustare brută minimă necesită cele mai puține corecții pentru a fi adus la nivelul subiectului, deci prezintă de regulă cea mai mare proximitate în termeni de caracteristici relevante și, implicit, cea mai bună adecvare pentru estimarea valorii de piață.</w:t>
        <w:br/>
        <w:br/>
        <w:t>În analiza separată a terenului, valoarea unitară de 39,52 EUR/mp, aplicată suprafeței de 700 mp, conduce la o valoare de 27.664,00 EUR, iar această componentă a fost obținută prin compararea cu comparabilul selectat index 2 din cele 3 comparabile de teren. Diferențierea între valoarea terenului și valoarea construcțiilor a permis alocarea coerentă a valorii finale, în condițiile în care metoda prin piață rămâne metoda principală de reconciliere, iar abordarea prin cost are rol de control al plauzibilității rezultatului. În acest context, valoarea finală reconciliată de 135.267,00 EUR reflectă rezultatul cel mai probabil al pieței pentru proprietatea evaluată, în condițiile utilizării datelor disponibile și ale ajustărilor aplicate conform diferențelor identificate între comparabile și subiect.</w:t>
      </w:r>
    </w:p>
    <w:p>
      <w:pPr>
        <w:pStyle w:val="Heading1"/>
      </w:pPr>
      <w:r>
        <w:t>7. RECONCILIEREA REZULTATELOR SI CONCLUZIA VALORII</w:t>
      </w:r>
    </w:p>
    <w:p>
      <w:r>
        <w:t>În urma aplicării abordărilor de evaluare considerate relevante pentru scopul prezentei lucrări, respectiv garantarea creditului ipotecar, au fost obținute indicații distincte ale valorii pentru proprietatea imobiliară evaluată, exprimate în moneda EUR și raportate la data evaluării. Abordarea prin piață a condus la o valoare de 135267.00 EUR, pe baza a 3 comparabile, fiind selectat comparabilul cu indicele 0 pentru stabilirea prețului total. Abordarea prin cost a condus la o valoare de 178735.07 EUR, rezultată din însumarea valorii terenului și a valorii construcțiilor depreciate, având la bază CIB = 182600.00 EUR, Vcp = 16.00 ani, depreciere fizică = 17.27% și CIN = 151071.07 EUR.</w:t>
        <w:br/>
        <w:br/>
        <w:t>Diferența dintre cele două indicații ale valorii reflectă faptul că abordarea prin cost capitalizează costul de înlocuire depreciat al activului, în timp ce abordarea prin piață surprinde mai direct comportamentul participanților de pe piață pentru proprietăți comparabile și condițiile curente de tranzacționare. În cadrul analizei separate a terenului, valoarea acestuia a fost estimată prin comparație la 39.52 EUR/mp, rezultând 27664.00 EUR pentru suprafața de 700 mp, pe baza comparabilului selectat cu indicele 2 din 3 comparabile de teren. Pentru construcție, valoarea alocată a fost de 107603.00 EUR.</w:t>
        <w:br/>
        <w:br/>
        <w:t>În etapa de reconciliere, s-a acordat pondere preponderentă abordării prin piață, întrucât aceasta oferă indicația cea mai relevantă pentru tipul de valoare urmărit, respectiv valoarea de piață (SEV 104), în contextul unui bun imobil pentru care există informații suficiente de comparabile. Abordarea prin cost a fost utilizată ca metodă de control și verificare a plauzibilității rezultatului obținut prin piață, fără a prevala în concluzia finală. Pe baza analizei comparative și a ponderării aplicate, valoarea finală reconciliată a proprietății este de 135267.00 EUR.</w:t>
      </w:r>
    </w:p>
    <w:p>
      <w:r>
        <w:t>Valoarea finala: 135.267 EUR. Valoarea nu contine TVA.</w:t>
      </w:r>
    </w:p>
    <w:p>
      <w:pPr>
        <w:pStyle w:val="Heading1"/>
      </w:pPr>
      <w:r>
        <w:t>ALOCAREA VALORII</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pPr>
        <w:pStyle w:val="Heading1"/>
      </w:pPr>
      <w:r>
        <w:t>RISCUL ASOCIAT GARANTIEI (GEV 520)</w:t>
      </w:r>
    </w:p>
    <w:p>
      <w:r>
        <w:t>Analiza riscului asociat garanției, realizată în conformitate cu GEV 520, are în vedere capacitatea proprietății de a susține în mod adecvat recuperarea creanței de către Banca Comerciala Exemplu S.A., prin raportare la valoarea de piață estimată și la comportamentul preconizabil al pieței relevante. În prezentul caz, valoarea de piață stabilită prin abordarea prin piață este de 135267.00 EUR, pe baza a 3 comparabile, ceea ce indică existența unui reper de piață relevant pentru tipul de proprietate evaluat și susține utilizarea imobilului ca garanție pentru scopul declarat.</w:t>
        <w:br/>
        <w:br/>
        <w:t>Din perspectiva lichidității și a activității pieței locale, existența comparabilelor utilizate în procesul de evaluare sugerează o piață funcțională pentru proprietăți similare, însă nivelul de lichiditate rămâne dependent de timpul de expunere necesar pentru identificarea unui cumpărător la un preț apropiat de valoarea de piață. Pentru o proprietate cu teren intravilan de 700 mp și arie utilă de 180 mp / arie construită desfășurată de 220 mp, vandabilitatea este susținută de caracteristicile uzuale ale activului, dar nu poate fi disociată de sensibilitatea inerentă a prețului la condițiile curente ale pieței imobiliare și la eventuala schimbare a cererii pentru acest tip de proprietate.</w:t>
        <w:br/>
        <w:br/>
        <w:t>Gradul de adecvare al proprietății ca garanție este apreciat ca fiind corespunzător scopului de garantare a creditului ipotecar, având în vedere că evaluarea a fost efectuată pentru determinarea valorii de piață, iar valoarea rezultată din piață este inferioară valorii obținute prin abordarea prin cost, respectiv 178735.07 EUR, ceea ce oferă un reper suplimentar de prudență în analiza riscului. În plus, alocarea valorii indică 107603.00 EUR pentru construcții și 27664.00 EUR pentru teren, ceea ce confirmă o structură valorică relativ echilibrată a proprietății și permite o apreciere separată a componentelor relevante pentru executarea garanției.</w:t>
        <w:br/>
        <w:br/>
        <w:t>În ceea ce privește expunerea estimată și sensibilitatea valorii la condițiile pieței, valoarea finală reconciliată de 135267.00 EUR trebuie interpretată ca o valoare de piață la data evaluării, susceptibilă de variații în funcție de evoluția cererii, a ofertei și a timpului de expunere necesar vânzării. În consecință, riscul asociat garanției este influențat în principal de dinamica pieței locale și de menținerea caracterului vandabil al proprietății pe durata creditului, însă, pe baza datelor disponibile, proprietatea prezintă un profil acceptabil de garantare pentru scopul declarat.</w:t>
      </w:r>
    </w:p>
    <w:p>
      <w:pPr>
        <w:pStyle w:val="Heading1"/>
      </w:pPr>
      <w:r>
        <w:t>ANEXE</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 [de atasat].</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