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RAPORT DE EVALUARE</w:t>
      </w:r>
    </w:p>
    <w:p>
      <w:r>
        <w:rPr>
          <w:b/>
        </w:rPr>
        <w:t>Proprietate imobiliara: casa de locuit si teren aferent</w:t>
      </w:r>
    </w:p>
    <w:p>
      <w:r>
        <w:t>Adresa: Str. Teilor nr. 14, Comarnic, jud. Prahova</w:t>
      </w:r>
    </w:p>
    <w:p>
      <w:r>
        <w:t>Numar cadastral: 20145; CF 20145 Comarnic</w:t>
      </w:r>
    </w:p>
    <w:p>
      <w:r>
        <w:t>Client: Andrei Popescu (Persoana fizica)</w:t>
      </w:r>
    </w:p>
    <w:p>
      <w:r>
        <w:t>Proprietar: Andrei Popescu</w:t>
      </w:r>
    </w:p>
    <w:p>
      <w:r>
        <w:t>Beneficiar / Finantator: Banca Comerciala Exemplu S.A.</w:t>
      </w:r>
    </w:p>
    <w:p>
      <w:r>
        <w:t>Scopul evaluarii: Garantarea creditului ipotecar</w:t>
      </w:r>
    </w:p>
    <w:p>
      <w:r>
        <w:t>Evaluator: ing. Gabriela Fratila, membru ANEVAR, legitimatia 14288</w:t>
      </w:r>
    </w:p>
    <w:p>
      <w:r>
        <w:t>Data evaluarii: 2026-05-20; Data raportului: 2026-05-22</w:t>
      </w:r>
    </w:p>
    <w:p>
      <w:r>
        <w:rPr>
          <w:b/>
        </w:rPr>
        <w:t>VALOAREA ESTIMATA: 135.645 EUR. Valoarea nu contine TVA.</w:t>
      </w:r>
    </w:p>
    <w:p>
      <w:r>
        <w:br w:type="page"/>
      </w:r>
    </w:p>
    <w:p>
      <w:pPr>
        <w:pStyle w:val="Heading1"/>
      </w:pPr>
      <w:r>
        <w:t>SCRISOARE DE TRANSMITERE</w:t>
      </w:r>
    </w:p>
    <w:p>
      <w:r>
        <w:t>Catre: Andrei Popescu / Banca Comerciala Exemplu S.A.</w:t>
      </w:r>
    </w:p>
    <w:p>
      <w:r>
        <w:t>Va transmitem raportul de evaluare a proprietatii imobiliare situate in Str. Teilor nr. 14, Comarnic, jud. Prahova, intocmit in scopul: Garantarea creditului ipotecar. In urma analizelor efectuate, valoarea de piata estimata a proprietatii este de 135.645 EUR, la data evaluarii (2026-05-20). Valoarea nu contine TVA.</w:t>
      </w:r>
    </w:p>
    <w:p>
      <w:r>
        <w:t>Raportul a fost elaborat in conformitate cu Standardele de evaluare a bunurilor ANEVAR in vigoare si poate fi utilizat exclusiv in scopul mentionat.</w:t>
      </w:r>
    </w:p>
    <w:p>
      <w:r>
        <w:t>Cu deosebita consideratie, ing. Gabriela Fratila, membru ANEVAR, legitimatia 14288.</w:t>
      </w:r>
    </w:p>
    <w:p>
      <w:pPr>
        <w:pStyle w:val="Heading1"/>
      </w:pPr>
      <w:r>
        <w:t>DECLARATIE DE CONFORMITATE SI CERTIFICARE</w:t>
      </w:r>
    </w:p>
    <w:p>
      <w:pPr>
        <w:pStyle w:val="ListBullet"/>
      </w:pPr>
      <w:r>
        <w:t>Prezentul raport a fost elaborat in conformitate cu Standardele de evaluare ANEVAR (SEV) in vigoare la data raportului.</w:t>
      </w:r>
    </w:p>
    <w:p>
      <w:pPr>
        <w:pStyle w:val="ListBullet"/>
      </w:pPr>
      <w:r>
        <w:t>Faptele prezentate in raport sunt reale si corecte, dupa cunostinta evaluatorului.</w:t>
      </w:r>
    </w:p>
    <w:p>
      <w:pPr>
        <w:pStyle w:val="ListBullet"/>
      </w:pPr>
      <w:r>
        <w:t>Analizele, opiniile si concluziile sunt limitate numai de ipotezele si conditiile limitative prezentate.</w:t>
      </w:r>
    </w:p>
    <w:p>
      <w:pPr>
        <w:pStyle w:val="ListBullet"/>
      </w:pPr>
      <w:r>
        <w:t>Evaluatorul nu are niciun interes prezent sau de perspectiva in proprietatea evaluata si niciun interes personal cu privire la partile implicate.</w:t>
      </w:r>
    </w:p>
    <w:p>
      <w:pPr>
        <w:pStyle w:val="ListBullet"/>
      </w:pPr>
      <w:r>
        <w:t>Onorariul evaluatorului nu este conditionat de exprimarea unei valori predeterminate sau de marimea valorii estimate.</w:t>
      </w:r>
    </w:p>
    <w:p>
      <w:pPr>
        <w:pStyle w:val="ListBullet"/>
      </w:pPr>
      <w:r>
        <w:t>Evaluatorul este membru ANEVAR, detine competenta necesara si asigurarea de raspundere civila profesionala in vigoare.</w:t>
      </w:r>
    </w:p>
    <w:p>
      <w:pPr>
        <w:pStyle w:val="Heading1"/>
      </w:pPr>
      <w:r>
        <w:t>TERMENI DE REFERINTA AI EVALUARII</w:t>
      </w:r>
    </w:p>
    <w:p>
      <w:r>
        <w:t>Clientul evaluarii: Andrei Popescu (Persoana fizica).</w:t>
      </w:r>
    </w:p>
    <w:p>
      <w:r>
        <w:t>Beneficiarul / utilizatorul desemnat: Banca Comerciala Exemplu S.A..</w:t>
      </w:r>
    </w:p>
    <w:p>
      <w:r>
        <w:t>Scopul evaluarii: Garantarea creditului ipotecar.</w:t>
      </w:r>
    </w:p>
    <w:p>
      <w:r>
        <w:t>Tipul valorii estimate: Valoarea de piata (SEV 104).</w:t>
      </w:r>
    </w:p>
    <w:p>
      <w:r>
        <w:t>Moneda raportarii: EUR. Curs de schimb EUR/LEI: 4.9750.</w:t>
      </w:r>
    </w:p>
    <w:p>
      <w:r>
        <w:t>Data evaluarii: 2026-05-20. Data raportului: 2026-05-22. Data inspectiei: 2026-05-18. Valabilitate: 6 luni de la data raportului.</w:t>
      </w:r>
    </w:p>
    <w:p>
      <w:r>
        <w:t>Identificarea proprietatii: Str. Teilor nr. 14, Comarnic, jud. Prahova, nr. cadastral 20145, CF 20145 Comarnic.</w:t>
      </w:r>
    </w:p>
    <w:p>
      <w:r>
        <w:t>Premise: proprietatea este evaluata in ipoteza utilizarii continue, libera de sarcini, cu exceptia celor mentionate explicit in raport.</w:t>
      </w:r>
    </w:p>
    <w:p>
      <w:pPr>
        <w:pStyle w:val="Heading1"/>
      </w:pPr>
      <w:r>
        <w:t>1. SINTEZA EVALUARII SI CERTIFICARE</w:t>
      </w:r>
    </w:p>
    <w:p>
      <w:r>
        <w:t>Client: Andrei Popescu (Persoana fizica).</w:t>
      </w:r>
    </w:p>
    <w:p>
      <w:r>
        <w:t>Proprietatea: Str. Teilor nr. 14, Comarnic, jud. Prahova; nr. cadastral 20145; CF 20145 Comarnic.</w:t>
      </w:r>
    </w:p>
    <w:p>
      <w:r>
        <w:t>Scopul evaluarii: Garantarea creditului ipotecar.</w:t>
      </w:r>
    </w:p>
    <w:p>
      <w:r>
        <w:t>Tipul valorii: Valoarea de piata (SEV 104).</w:t>
      </w:r>
    </w:p>
    <w:p>
      <w:r>
        <w:t>Data evaluarii: 2026-05-20; data raportului: 2026-05-22.</w:t>
      </w:r>
    </w:p>
    <w:p>
      <w:r>
        <w:t>VALOAREA ESTIMATA: 135.645 EUR (metoda selectata: piata). Valoarea nu contine TVA.</w:t>
      </w:r>
    </w:p>
    <w:p>
      <w:pPr>
        <w:pStyle w:val="Heading1"/>
      </w:pPr>
      <w:r>
        <w:t>2. IPOTEZE GENERALE SI SPECIALE</w:t>
      </w:r>
    </w:p>
    <w:p>
      <w:r>
        <w:t>Prezenta evaluare a fost întocmită în scopul garantării creditului ipotecar acordat de Banca Comerciala Exemplu S.A., având ca obiect determinarea valorii de piață a proprietății imobiliare analizate, exprimată în EUR, în conformitate cu SEV 104. Raportul se bazează pe informațiile puse la dispoziție de beneficiar și pe datele rezultate din analiza specifică misiunii de evaluare, pentru anul de referință 2026.</w:t>
        <w:br/>
        <w:br/>
        <w:t>Se presupune că dreptul de proprietate asupra imobilului este valabil, opozabil și liber de sarcini, cu excepția eventualelor situații menționate expres în raport și în documentele analizate. De asemenea, se presupune că structura de rezistență a construcției este corespunzătoare, fără vicii ascunse sau deficiențe structurale care nu au putut fi identificate prin inspectarea obișnuită. Nu au fost efectuate investigații tehnice invazive, expertize ascunse sau cercetări geotehnice, iar eventualele condiții care nu pot fi constatate vizual sunt acceptate numai în limita informațiilor disponibile la data evaluării.</w:t>
        <w:br/>
        <w:br/>
        <w:t>Evaluarea a fost realizată pe baza datelor numerice furnizate, respectiv teren 600 mp, categorie intravilan, arie utilă 128 mp și arie construită desfășurată 162 mp. Abordările de evaluare utilizate au condus la o valoare prin cost de 153471.60000 EUR, respectiv la o valoare prin piață de 135645.0000 EUR, valoarea finală reconciliată fiind stabilită prin abordarea prin piață. Valoarea terenului determinată prin comparație este de 33721.2000 EUR, iar valoarea alocată construcției este de 101923.8000 EUR.</w:t>
        <w:br/>
        <w:br/>
        <w:t>Raportul de evaluare trebuie utilizat exclusiv pentru scopul declarat în prezentul mandat și de către beneficiarul menționat, respectiv în cadrul analizei aferente garantării creditului ipotecar. Orice utilizare parțială, separată de contextul integral al raportului sau în alt scop decât cel declarat poate conduce la concluzii nefundamentate și excedează ipotezele și limitările pe baza cărora a fost elaborată prezenta lucrare.</w:t>
      </w:r>
    </w:p>
    <w:p>
      <w:pPr>
        <w:pStyle w:val="Heading1"/>
      </w:pPr>
      <w:r>
        <w:t>3. PREZENTAREA DATELOR DE PIATA</w:t>
      </w:r>
    </w:p>
    <w:p>
      <w:r>
        <w:t>Piața imobiliară locală relevantă pentru proprietatea evaluată este una specifică segmentului rezidențial cu teren intravilan și construcție individuală, în care formarea prețurilor este determinată de raportul dintre cererea efectivă și oferta disponibilă în zonă, precum și de caracteristicile concrete ale proprietăților comparabile utilizate în analiză. În contextul evaluării pentru garantarea creditului ipotecar, piața a fost analizată prin raportare la comparabilele selectate, ceea ce permite surprinderea nivelului curent al prețurilor observate pentru active similare.</w:t>
        <w:br/>
        <w:br/>
        <w:t>Din analiza datelor utilizate rezultă o piață cu lichiditate moderată, în sensul în care proprietățile comparabile pot fi identificate și utilizate pentru fundamentarea valorii prin metoda comparației, însă prețul depinde sensibil de amplasament, suprafață, configurație și caracteristicile construcției. Prezența a trei comparabile în abordarea prin piață și a unui comparabil selectat pentru teren indică existența unor repere de piață suficiente pentru estimare, fără a presupune o piață abundent tranzacționată sau perfect omogenă.</w:t>
        <w:br/>
        <w:br/>
        <w:t>Tendințele pieței sunt reflectate de nivelul valorii obținute prin abordarea prin piață, respectiv de reconcilierea finală la 135645 EUR, valoare susținută de comparabilul selectat, în timp ce abordarea prin cost conduce la un nivel superior, ceea ce sugerează că piața nu capitalizează integral costul de înlocuire al construcției. Pentru teren, nivelul de 56.2020 EUR/mp utilizat în comparație confirmă existența unui reper de piață pentru loturi similare din zonă, iar alocarea valorii către construcții evidențiază contribuția semnificativă a îmbunătățirilor la valoarea totală a proprietății.</w:t>
      </w:r>
    </w:p>
    <w:p>
      <w:pPr>
        <w:pStyle w:val="Heading1"/>
      </w:pPr>
      <w:r>
        <w:t>4. DESCRIEREA JURIDICA SI FIZICA A PROPRIETATII</w:t>
      </w:r>
    </w:p>
    <w:p>
      <w:r>
        <w:t>Teren: 600 mp, categorie intravilan.</w:t>
      </w:r>
    </w:p>
    <w:p>
      <w:r>
        <w:t>Constructie: Au 128 mp, Acd 162 mp, an referinta 2026.</w:t>
      </w:r>
    </w:p>
    <w:p>
      <w:r>
        <w:t>Imobilul evaluat este identificat cadastral și în cartea funciară prin 20145, respectiv CF 20145 Comarnic, în conformitate cu documentația cadastrală și de publicitate imobiliară aferentă proprietății. Proprietatea este evaluată pentru scopul garantării creditului ipotecar, beneficiarul/finanțator fiind Banca Comerciala Exemplu S.A..</w:t>
        <w:br/>
        <w:br/>
        <w:t>Din punct de vedere fizic, proprietatea este compusă din teren în suprafață de 600 mp, încadrat în categoria de folosință intravilan, pe care este edificată o construcție cu aria utilă de 128 mp și aria construită desfășurată de 162 mp. Anul de referință este 2026, iar regimul de înălțime nu a fost furnizat în datele disponibile.</w:t>
        <w:br/>
        <w:br/>
        <w:t>În cadrul evaluării, valoarea de piață estimată prin abordarea prin piață este de 135645.0000 EUR, iar prin abordarea prin cost valoarea rezultată este de 153471.60000 EUR. Prin comparație, terenul a fost evaluat la 56.2020 EUR/mp, rezultând o valoare a terenului de 33721.2000 EUR, iar valoarea alocată construcției este de 101923.8000 EUR.</w:t>
      </w:r>
    </w:p>
    <w:p>
      <w:pPr>
        <w:pStyle w:val="Heading1"/>
      </w:pPr>
      <w:r>
        <w:t>5. ANALIZA CELEI MAI BUNE UTILIZARI (CMBU)</w:t>
      </w:r>
    </w:p>
    <w:p>
      <w:r>
        <w:t>Analiza celei mai bune utilizări a proprietății a fost realizată prin raportare la criteriile SEV privind utilizarea rezonabilă, probabilă și legală, care este posibilă fizic, fezabilă financiar și maximum productivă. În cazul de față, având în vedere caracteristicile proprietății evaluate — teren intravilan în suprafață de 600 mp, pe care este edificată o construcție cu Arie utilă de 128 mp și Arie construită desfășurată de 162 mp — utilizarea rezidențială existentă reprezintă, în mod rezonabil, cea mai bună utilizare a imobilului.</w:t>
        <w:br/>
        <w:br/>
        <w:t>Din punct de vedere al permisibilității legale, utilizarea rezidențială este compatibilă cu natura terenului intravilan și cu destinația curentă a îmbunătățirilor existente, nefiind identificate elemente care să impună o schimbare de funcțiune. Din punct de vedere al posibilității fizice, amplasamentul și dimensiunile terenului permit menținerea și exploatarea construcției existente în condiții obișnuite de utilizare rezidențială, fără a rezulta din datele disponibile o alternativă superioară din punct de vedere fizic.</w:t>
        <w:br/>
        <w:br/>
        <w:t>Sub aspectul fezabilității financiare, abordarea prin piață conduce la o valoare finală reconciliată de 135645.0000 EUR, iar alocarea valorii indică 33721.2000 EUR pentru teren și 101923.8000 EUR pentru construcții, confirmând că imobilul generează valoare în configurația sa actuală. În raport cu abordarea prin cost, valoarea prin cost de 153471.60000 EUR este superioară valorii de piață, ceea ce susține concluzia că utilizarea existentă este susținută de piață și că, în condițiile analizate, aceasta este și maximum productivă, neexistând elemente care să indice o utilizare alternativă mai valoroasă decât utilizarea rezidențială curentă.</w:t>
      </w:r>
    </w:p>
    <w:p>
      <w:pPr>
        <w:pStyle w:val="Heading1"/>
      </w:pPr>
      <w:r>
        <w:t>6. APLICAREA METODELOR DE CALCUL</w:t>
      </w:r>
    </w:p>
    <w:p>
      <w:r>
        <w:t>Grila de comparatie directa pe pret total (proprietate intreaga):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w:t>
            </w:r>
          </w:p>
        </w:tc>
        <w:tc>
          <w:tcPr>
            <w:tcW w:type="dxa" w:w="2160"/>
          </w:tcPr>
          <w:p>
            <w:r>
              <w:t>Pret total corectat</w:t>
            </w:r>
          </w:p>
        </w:tc>
        <w:tc>
          <w:tcPr>
            <w:tcW w:type="dxa" w:w="2160"/>
          </w:tcPr>
          <w:p>
            <w:r>
              <w:t>Ajustare bruta</w:t>
            </w:r>
          </w:p>
        </w:tc>
        <w:tc>
          <w:tcPr>
            <w:tcW w:type="dxa" w:w="2160"/>
          </w:tcPr>
          <w:p>
            <w:r>
              <w:t>Selectat</w:t>
            </w:r>
          </w:p>
        </w:tc>
      </w:tr>
      <w:tr>
        <w:tc>
          <w:tcPr>
            <w:tcW w:type="dxa" w:w="2160"/>
          </w:tcPr>
          <w:p>
            <w:r>
              <w:t>1</w:t>
            </w:r>
          </w:p>
        </w:tc>
        <w:tc>
          <w:tcPr>
            <w:tcW w:type="dxa" w:w="2160"/>
          </w:tcPr>
          <w:p>
            <w:r>
              <w:t>135098.0000</w:t>
            </w:r>
          </w:p>
        </w:tc>
        <w:tc>
          <w:tcPr>
            <w:tcW w:type="dxa" w:w="2160"/>
          </w:tcPr>
          <w:p>
            <w:r>
              <w:t>0.1799467021985343104596935376</w:t>
            </w:r>
          </w:p>
        </w:tc>
        <w:tc>
          <w:tcPr>
            <w:tcW w:type="dxa" w:w="2160"/>
          </w:tcPr>
          <w:p>
            <w:r/>
          </w:p>
        </w:tc>
      </w:tr>
      <w:tr>
        <w:tc>
          <w:tcPr>
            <w:tcW w:type="dxa" w:w="2160"/>
          </w:tcPr>
          <w:p>
            <w:r>
              <w:t>2</w:t>
            </w:r>
          </w:p>
        </w:tc>
        <w:tc>
          <w:tcPr>
            <w:tcW w:type="dxa" w:w="2160"/>
          </w:tcPr>
          <w:p>
            <w:r>
              <w:t>135645.0000</w:t>
            </w:r>
          </w:p>
        </w:tc>
        <w:tc>
          <w:tcPr>
            <w:tcW w:type="dxa" w:w="2160"/>
          </w:tcPr>
          <w:p>
            <w:r>
              <w:t>0.09447739065974796145292809489</w:t>
            </w:r>
          </w:p>
        </w:tc>
        <w:tc>
          <w:tcPr>
            <w:tcW w:type="dxa" w:w="2160"/>
          </w:tcPr>
          <w:p>
            <w:r>
              <w:t>DA</w:t>
            </w:r>
          </w:p>
        </w:tc>
      </w:tr>
      <w:tr>
        <w:tc>
          <w:tcPr>
            <w:tcW w:type="dxa" w:w="2160"/>
          </w:tcPr>
          <w:p>
            <w:r>
              <w:t>3</w:t>
            </w:r>
          </w:p>
        </w:tc>
        <w:tc>
          <w:tcPr>
            <w:tcW w:type="dxa" w:w="2160"/>
          </w:tcPr>
          <w:p>
            <w:r>
              <w:t>136128.0000</w:t>
            </w:r>
          </w:p>
        </w:tc>
        <w:tc>
          <w:tcPr>
            <w:tcW w:type="dxa" w:w="2160"/>
          </w:tcPr>
          <w:p>
            <w:r>
              <w:t>0.2121146060417315478044222983</w:t>
            </w:r>
          </w:p>
        </w:tc>
        <w:tc>
          <w:tcPr>
            <w:tcW w:type="dxa" w:w="2160"/>
          </w:tcPr>
          <w:p>
            <w:r/>
          </w:p>
        </w:tc>
      </w:tr>
    </w:tbl>
    <w:p>
      <w:r>
        <w:t>Valoarea prin comparatie de piata: 135.645 EUR.</w:t>
      </w:r>
    </w:p>
    <w:p>
      <w:r>
        <w:t>Grila de comparatie pentru teren (EUR/mp):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 teren</w:t>
            </w:r>
          </w:p>
        </w:tc>
        <w:tc>
          <w:tcPr>
            <w:tcW w:type="dxa" w:w="2160"/>
          </w:tcPr>
          <w:p>
            <w:r>
              <w:t>Pret/mp corectat</w:t>
            </w:r>
          </w:p>
        </w:tc>
        <w:tc>
          <w:tcPr>
            <w:tcW w:type="dxa" w:w="2160"/>
          </w:tcPr>
          <w:p>
            <w:r>
              <w:t>Ajustare bruta</w:t>
            </w:r>
          </w:p>
        </w:tc>
        <w:tc>
          <w:tcPr>
            <w:tcW w:type="dxa" w:w="2160"/>
          </w:tcPr>
          <w:p>
            <w:r>
              <w:t>Selectat</w:t>
            </w:r>
          </w:p>
        </w:tc>
      </w:tr>
      <w:tr>
        <w:tc>
          <w:tcPr>
            <w:tcW w:type="dxa" w:w="2160"/>
          </w:tcPr>
          <w:p>
            <w:r>
              <w:t>1 — Comarnic, zona centrala</w:t>
            </w:r>
          </w:p>
        </w:tc>
        <w:tc>
          <w:tcPr>
            <w:tcW w:type="dxa" w:w="2160"/>
          </w:tcPr>
          <w:p>
            <w:r>
              <w:t>56.2020</w:t>
            </w:r>
          </w:p>
        </w:tc>
        <w:tc>
          <w:tcPr>
            <w:tcW w:type="dxa" w:w="2160"/>
          </w:tcPr>
          <w:p>
            <w:r>
              <w:t>0.08</w:t>
            </w:r>
          </w:p>
        </w:tc>
        <w:tc>
          <w:tcPr>
            <w:tcW w:type="dxa" w:w="2160"/>
          </w:tcPr>
          <w:p>
            <w:r>
              <w:t>DA</w:t>
            </w:r>
          </w:p>
        </w:tc>
      </w:tr>
      <w:tr>
        <w:tc>
          <w:tcPr>
            <w:tcW w:type="dxa" w:w="2160"/>
          </w:tcPr>
          <w:p>
            <w:r>
              <w:t>2 — Comarnic, Poiana</w:t>
            </w:r>
          </w:p>
        </w:tc>
        <w:tc>
          <w:tcPr>
            <w:tcW w:type="dxa" w:w="2160"/>
          </w:tcPr>
          <w:p>
            <w:r>
              <w:t>55.9360</w:t>
            </w:r>
          </w:p>
        </w:tc>
        <w:tc>
          <w:tcPr>
            <w:tcW w:type="dxa" w:w="2160"/>
          </w:tcPr>
          <w:p>
            <w:r>
              <w:t>0.16</w:t>
            </w:r>
          </w:p>
        </w:tc>
        <w:tc>
          <w:tcPr>
            <w:tcW w:type="dxa" w:w="2160"/>
          </w:tcPr>
          <w:p>
            <w:r/>
          </w:p>
        </w:tc>
      </w:tr>
      <w:tr>
        <w:tc>
          <w:tcPr>
            <w:tcW w:type="dxa" w:w="2160"/>
          </w:tcPr>
          <w:p>
            <w:r>
              <w:t>3 — Comarnic, Ghiosesti</w:t>
            </w:r>
          </w:p>
        </w:tc>
        <w:tc>
          <w:tcPr>
            <w:tcW w:type="dxa" w:w="2160"/>
          </w:tcPr>
          <w:p>
            <w:r>
              <w:t>50.2740</w:t>
            </w:r>
          </w:p>
        </w:tc>
        <w:tc>
          <w:tcPr>
            <w:tcW w:type="dxa" w:w="2160"/>
          </w:tcPr>
          <w:p>
            <w:r>
              <w:t>0.08</w:t>
            </w:r>
          </w:p>
        </w:tc>
        <w:tc>
          <w:tcPr>
            <w:tcW w:type="dxa" w:w="2160"/>
          </w:tcPr>
          <w:p>
            <w:r/>
          </w:p>
        </w:tc>
      </w:tr>
    </w:tbl>
    <w:p>
      <w:r>
        <w:t>Valoarea terenului = 56.2020 EUR/mp x 600 mp = 33.721 EUR.</w:t>
      </w:r>
    </w:p>
    <w:p>
      <w:r>
        <w:t>Tabelul costurilor segregate (abordarea prin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Element</w:t>
            </w:r>
          </w:p>
        </w:tc>
        <w:tc>
          <w:tcPr>
            <w:tcW w:type="dxa" w:w="1728"/>
          </w:tcPr>
          <w:p>
            <w:r>
              <w:t>Cod</w:t>
            </w:r>
          </w:p>
        </w:tc>
        <w:tc>
          <w:tcPr>
            <w:tcW w:type="dxa" w:w="1728"/>
          </w:tcPr>
          <w:p>
            <w:r>
              <w:t>Cantitate</w:t>
            </w:r>
          </w:p>
        </w:tc>
        <w:tc>
          <w:tcPr>
            <w:tcW w:type="dxa" w:w="1728"/>
          </w:tcPr>
          <w:p>
            <w:r>
              <w:t>Cost unitar</w:t>
            </w:r>
          </w:p>
        </w:tc>
        <w:tc>
          <w:tcPr>
            <w:tcW w:type="dxa" w:w="1728"/>
          </w:tcPr>
          <w:p>
            <w:r>
              <w:t>Cost de nou</w:t>
            </w:r>
          </w:p>
        </w:tc>
      </w:tr>
      <w:tr>
        <w:tc>
          <w:tcPr>
            <w:tcW w:type="dxa" w:w="1728"/>
          </w:tcPr>
          <w:p>
            <w:r>
              <w:t>Structura si inchideri (casa P+1)</w:t>
            </w:r>
          </w:p>
        </w:tc>
        <w:tc>
          <w:tcPr>
            <w:tcW w:type="dxa" w:w="1728"/>
          </w:tcPr>
          <w:p>
            <w:r>
              <w:t>C.1</w:t>
            </w:r>
          </w:p>
        </w:tc>
        <w:tc>
          <w:tcPr>
            <w:tcW w:type="dxa" w:w="1728"/>
          </w:tcPr>
          <w:p>
            <w:r>
              <w:t>162</w:t>
            </w:r>
          </w:p>
        </w:tc>
        <w:tc>
          <w:tcPr>
            <w:tcW w:type="dxa" w:w="1728"/>
          </w:tcPr>
          <w:p>
            <w:r>
              <w:t>520</w:t>
            </w:r>
          </w:p>
        </w:tc>
        <w:tc>
          <w:tcPr>
            <w:tcW w:type="dxa" w:w="1728"/>
          </w:tcPr>
          <w:p>
            <w:r>
              <w:t>84240</w:t>
            </w:r>
          </w:p>
        </w:tc>
      </w:tr>
      <w:tr>
        <w:tc>
          <w:tcPr>
            <w:tcW w:type="dxa" w:w="1728"/>
          </w:tcPr>
          <w:p>
            <w:r>
              <w:t>Finisaje si instalatii</w:t>
            </w:r>
          </w:p>
        </w:tc>
        <w:tc>
          <w:tcPr>
            <w:tcW w:type="dxa" w:w="1728"/>
          </w:tcPr>
          <w:p>
            <w:r>
              <w:t>C.2</w:t>
            </w:r>
          </w:p>
        </w:tc>
        <w:tc>
          <w:tcPr>
            <w:tcW w:type="dxa" w:w="1728"/>
          </w:tcPr>
          <w:p>
            <w:r>
              <w:t>162</w:t>
            </w:r>
          </w:p>
        </w:tc>
        <w:tc>
          <w:tcPr>
            <w:tcW w:type="dxa" w:w="1728"/>
          </w:tcPr>
          <w:p>
            <w:r>
              <w:t>360</w:t>
            </w:r>
          </w:p>
        </w:tc>
        <w:tc>
          <w:tcPr>
            <w:tcW w:type="dxa" w:w="1728"/>
          </w:tcPr>
          <w:p>
            <w:r>
              <w:t>58320</w:t>
            </w:r>
          </w:p>
        </w:tc>
      </w:tr>
    </w:tbl>
    <w:p>
      <w:r>
        <w:t>CIB = 142.560; Vcp = 15.00 ani; depreciere fizica = 0.16000; CIN = 119.750; valoare prin cost (CIN + teren) = 153.472 EUR.</w:t>
      </w:r>
    </w:p>
    <w:p>
      <w:r>
        <w:t>În etapa de ajustare a grilei de piață, corecțiile au fost aplicate pornind de la diferențele dintre proprietatea evaluată și comparabilele selectate, astfel încât prețurile tranzacțiilor comparabile să fie aduse la un nivel cât mai apropiat de caracteristicile imobilului evaluat. În concordanță cu logica analizei pe perechi de date, ajustările urmăresc reflectarea diferențelor obiective de piață și de proprietate, iar în cadrul grilei au fost tratate distinct corecțiile aferente etapei de tranzacție față de cele aferente etapei de proprietate, pentru a păstra coerența relației dintre prețul comparabilului și valoarea estimată a proprietății evaluate.</w:t>
        <w:br/>
        <w:br/>
        <w:t>Ajustările din etapa de tranzacție au rolul de a elimina influențele generate de condițiile vânzării, respectiv de particularitățile tranzacției comparabile, astfel încât comparația să se bazeze pe un preț echivalent de piață. Ulterior, ajustările din etapa de proprietate corectează diferențele de localizare, suprafață, caracteristici fizice și funcționale, precum și alte elemente relevante pentru comparabilitatea directă. Această succesiune este justificată de faptul că, în analiza prin comparație, evaluatorul pornește de la prețul tranzacției comparabile și aplică corecțiile necesare pentru a ajunge la estimarea valorii proprietății evaluate.</w:t>
        <w:br/>
        <w:br/>
        <w:t>Comparabilul selectat a fost acela cu ajustarea brută minimă, deoarece necesitatea unor corecții totale cât mai reduse indică cea mai bună similitudine față de proprietatea evaluată și, implicit, un grad mai ridicat de credibilitate în estimarea finală a valorii. În cazul de față, comparabilul de pe poziția 1 a fost ales ca rezultat al acestei selecții, întrucât a prezentat cel mai bun raport între apropierea de caracteristicile proprietății evaluate și nivelul total al ajustărilor impuse de grilă.</w:t>
      </w:r>
    </w:p>
    <w:p>
      <w:pPr>
        <w:pStyle w:val="Heading1"/>
      </w:pPr>
      <w:r>
        <w:t>7. RECONCILIEREA REZULTATELOR SI CONCLUZIA VALORII</w:t>
      </w:r>
    </w:p>
    <w:p>
      <w:r>
        <w:t xml:space="preserve">În fundamentarea concluziei asupra valorii, au fost analizate rezultatele obținute prin abordarea prin piață și prin abordarea prin cost, urmărindu-se selecția acelei indicații care reflectă cel mai bine condițiile concrete ale proprietății subiect și comportamentul probabil al pieței pentru un imobil evaluat în scopul garantării creditului ipotecar. Pentru tipul de valoare estimat, respectiv valoarea de piață, abordarea prin piață are relevanță prioritară, întrucât exprimă direct prețurile observate pentru proprietăți comparabile și reflectă cel mai fidel reacția participanților de pe piață. </w:t>
        <w:br/>
        <w:br/>
        <w:t xml:space="preserve">Abordarea prin cost a condus la o valoare totală de 153471.60000 EUR, determinată prin cumularea valorii terenului de 33721.2000 EUR cu valoarea construcțiilor de 119750.40000 EUR, obținută prin aplicarea unei deprecieri fizice de 0.16000 la un cost de înlocuire brut de 142560 EUR, pentru o viață economică de 15.00 ani. Această abordare oferă o verificare utilă a ordinului de mărime, însă rezultatul său are un caracter mai degrabă complementar în raport cu piața, întrucât depinde de estimarea costurilor și a deprecierii, nu de tranzacțiile efective. </w:t>
        <w:br/>
        <w:br/>
        <w:t xml:space="preserve">Abordarea prin piață a condus la valoarea de 135645.0000 EUR, rezultată din analiza comparabilelor de piață, cu selectarea comparabilului index 1 dintre cele 3 comparabile disponibile. Pentru teren, valoarea unitara de 56.2020 EUR/mp aplicată suprafeței de 600 mp a condus la o valoare de 33721.2000 EUR, iar valoarea alocată construcțiilor a fost de 101923.8000 EUR. În reconciliere, s-a acordat pondere determinantă abordării prin piață, întrucât aceasta este metoda cea mai adecvată pentru estimarea valorii de piață în contextul dat și cea mai apropiată de principiul substituției, corelat cu datele comparabile disponibile. </w:t>
        <w:br/>
        <w:br/>
        <w:t>În consecință, valoarea finală reconciliată a proprietății imobiliare evaluată pentru Andrei Popescu, în vederea garantării creditului ipotecar în favoarea Banca Comerciala Exemplu S.A., este de 135645.0000 EUR, valoare rezultată prin abordarea prin piață și adoptată ca valoare de concluzie a evaluării.</w:t>
      </w:r>
    </w:p>
    <w:p>
      <w:r>
        <w:t>Valoarea finala: 135.645 EUR. Valoarea nu contine TVA.</w:t>
      </w:r>
    </w:p>
    <w:p>
      <w:pPr>
        <w:pStyle w:val="Heading1"/>
      </w:pPr>
      <w:r>
        <w:t>ALOCAREA VALORII</w:t>
      </w:r>
    </w:p>
    <w:tbl>
      <w:tblPr>
        <w:tblStyle w:val="TableGrid"/>
        <w:tblW w:type="auto" w:w="0"/>
        <w:tblLook w:firstColumn="1" w:firstRow="1" w:lastColumn="0" w:lastRow="0" w:noHBand="0" w:noVBand="1" w:val="04A0"/>
      </w:tblPr>
      <w:tblGrid>
        <w:gridCol w:w="4320"/>
        <w:gridCol w:w="4320"/>
      </w:tblGrid>
      <w:tr>
        <w:tc>
          <w:tcPr>
            <w:tcW w:type="dxa" w:w="4320"/>
          </w:tcPr>
          <w:p>
            <w:r>
              <w:t>Componenta</w:t>
            </w:r>
          </w:p>
        </w:tc>
        <w:tc>
          <w:tcPr>
            <w:tcW w:type="dxa" w:w="4320"/>
          </w:tcPr>
          <w:p>
            <w:r>
              <w:t>Valoare (EUR)</w:t>
            </w:r>
          </w:p>
        </w:tc>
      </w:tr>
      <w:tr>
        <w:tc>
          <w:tcPr>
            <w:tcW w:type="dxa" w:w="4320"/>
          </w:tcPr>
          <w:p>
            <w:r>
              <w:t>Valoarea proprietatii (estimata)</w:t>
            </w:r>
          </w:p>
        </w:tc>
        <w:tc>
          <w:tcPr>
            <w:tcW w:type="dxa" w:w="4320"/>
          </w:tcPr>
          <w:p>
            <w:r>
              <w:t>135.645</w:t>
            </w:r>
          </w:p>
        </w:tc>
      </w:tr>
      <w:tr>
        <w:tc>
          <w:tcPr>
            <w:tcW w:type="dxa" w:w="4320"/>
          </w:tcPr>
          <w:p>
            <w:r>
              <w:t>din care: Valoarea terenului</w:t>
            </w:r>
          </w:p>
        </w:tc>
        <w:tc>
          <w:tcPr>
            <w:tcW w:type="dxa" w:w="4320"/>
          </w:tcPr>
          <w:p>
            <w:r>
              <w:t>33.721</w:t>
            </w:r>
          </w:p>
        </w:tc>
      </w:tr>
      <w:tr>
        <w:tc>
          <w:tcPr>
            <w:tcW w:type="dxa" w:w="4320"/>
          </w:tcPr>
          <w:p>
            <w:r>
              <w:t>din care: Valoarea constructiilor (alocata)</w:t>
            </w:r>
          </w:p>
        </w:tc>
        <w:tc>
          <w:tcPr>
            <w:tcW w:type="dxa" w:w="4320"/>
          </w:tcPr>
          <w:p>
            <w:r>
              <w:t>101.924</w:t>
            </w:r>
          </w:p>
        </w:tc>
      </w:tr>
    </w:tbl>
    <w:p>
      <w:r>
        <w:t>Valoarea constructiilor a fost obtinuta prin alocare: valoarea proprietatii minus valoarea terenului estimata prin comparatie directa.</w:t>
      </w:r>
    </w:p>
    <w:p>
      <w:pPr>
        <w:pStyle w:val="Heading1"/>
      </w:pPr>
      <w:r>
        <w:t>RISCUL ASOCIAT GARANTIEI (GEV 520)</w:t>
      </w:r>
    </w:p>
    <w:p>
      <w:r>
        <w:t>Riscul asociat garantării creditului a fost analizat în contextul scopului evaluării, respectiv garantarea creditului ipotecar, având ca bază valoarea de piață estimată la 135645.0000 EUR pentru proprietatea situată pe un teren de 600 mp și o arie utilă de 128 mp. În accepțiunea GEV 520, o astfel de evaluare urmărește în special măsura în care creditorul își poate recupera expunerea prin preluarea și valorificarea garanției, iar analiza trebuie să reflecte condițiile pieței relevante, cererea pentru tipul de proprietate și potențialul de valorificare pe termen scurt.</w:t>
        <w:br/>
        <w:br/>
        <w:t>Din perspectiva lichidității și a activității pieței locale, proprietatea prezintă o bază de analiză susținută de existența comparabilelor utilizate în abordarea prin piață, fiind selectat un comparabil relevant dintr-un set de 3 comparabile pentru estimarea valorii totale. Totodată, valoarea terenului a fost susținută prin comparație la nivelul de 56.2020 EUR/mp, rezultând 33721.2000 EUR pentru teren, ceea ce indică existența unei repere de piață pentru componenta funciară; în aceste condiții, garanția poate fi considerată vandabilă în condițiile unei expuneri obișnuite de piață, însă realizarea valorii depinde de menținerea cererii pentru proprietăți similare în zona analizată.</w:t>
        <w:br/>
        <w:br/>
        <w:t>Sub aspectul gradului de adecvare al proprietății ca garanție, imobilul este corespunzător utilizării ca garanție ipotecară, întrucât are o valoare de piață determinată printr-o abordare de piață și o structură de valoare separabilă între teren și construcții. Valoarea alocată construcțiilor este de 101923.8000 EUR, iar valoarea prin cost este de 153471.60000 EUR, aspecte care confirmă existența unui activ suficient de identificabil și evaluabil, cu o componentă de teren distinctă și o componentă construită semnificativă, relevante pentru creditor în eventualitatea executării garanției.</w:t>
        <w:br/>
        <w:br/>
        <w:t>În ceea ce privește sensibilitatea valorii la condițiile pieței, valoarea finală reconciliată de 135645.0000 EUR trebuie privită ca fiind dependentă de evoluția cererii locale, de nivelul prețurilor pentru proprietăți similare și de timpul necesar valorificării. Întrucât GEV 520 cere comentarea factorilor relevanți pentru performanța garanției pe perioada creditului, se apreciază că expunerea estimată a finanțatorului, Banca Comerciala Exemplu S.A., este rezonabil susținută de valoarea de piață rezultată, dar rămâne sensibilă la eventuale ajustări ale condițiilor pieței, la variația lichidității segmentului imobiliar analizat și la eventualele diferențe între valoarea estimată și prețul obținut efectiv la vânzarea forțată sau în condiții de expunere limitată.</w:t>
      </w:r>
    </w:p>
    <w:p>
      <w:pPr>
        <w:pStyle w:val="Heading1"/>
      </w:pPr>
      <w:r>
        <w:t>ANEXE</w:t>
      </w:r>
    </w:p>
    <w:p>
      <w:r>
        <w:t>Anexa 1 — Comparabile utilizate (surse):</w:t>
      </w:r>
    </w:p>
    <w:p>
      <w:pPr>
        <w:pStyle w:val="ListBullet"/>
      </w:pPr>
      <w:r>
        <w:t>https://www.imobiliare.ro/exemplu-1</w:t>
      </w:r>
    </w:p>
    <w:p>
      <w:pPr>
        <w:pStyle w:val="ListBullet"/>
      </w:pPr>
      <w:r>
        <w:t>https://www.storia.ro/exemplu-2</w:t>
      </w:r>
    </w:p>
    <w:p>
      <w:pPr>
        <w:pStyle w:val="ListBullet"/>
      </w:pPr>
      <w:r>
        <w:t>https://www.imobiliare.ro/exemplu-3</w:t>
      </w:r>
    </w:p>
    <w:p>
      <w:r>
        <w:t>Anexa 2 — Planse fotografice ale proprietatii:</w:t>
      </w:r>
    </w:p>
    <w:p>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3352800"/>
                    </a:xfrm>
                    <a:prstGeom prst="rect"/>
                  </pic:spPr>
                </pic:pic>
              </a:graphicData>
            </a:graphic>
          </wp:inline>
        </w:drawing>
      </w:r>
    </w:p>
    <w:p>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3352800"/>
                    </a:xfrm>
                    <a:prstGeom prst="rect"/>
                  </pic:spPr>
                </pic:pic>
              </a:graphicData>
            </a:graphic>
          </wp:inline>
        </w:drawing>
      </w:r>
    </w:p>
    <w:p>
      <w:r>
        <w:t>Anexa 3 — Documente cadastrale, extras CF si acte juridice [de atasat].</w:t>
      </w:r>
    </w:p>
    <w:p/>
    <w:p>
      <w:r>
        <w:t>Intocmit,</w:t>
      </w:r>
    </w:p>
    <w:p>
      <w:r>
        <w:rPr>
          <w:b/>
        </w:rPr>
        <w:t>ing. Gabriela Fratila</w:t>
      </w:r>
    </w:p>
    <w:p>
      <w:r>
        <w:t>Evaluator autorizat ANEVAR, legitimatia 14288</w:t>
      </w:r>
    </w:p>
    <w:p>
      <w:r>
        <w:t>Data: 2026-05-22</w:t>
      </w:r>
    </w:p>
    <w:p>
      <w:r>
        <w:t>Semnatura / stampila: 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