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RAPORT DE EVALUARE</w:t>
      </w:r>
    </w:p>
    <w:p>
      <w:r>
        <w:rPr>
          <w:b/>
        </w:rPr>
        <w:t>Proprietate imobiliara: casa de locuit si teren aferent</w:t>
      </w:r>
    </w:p>
    <w:p>
      <w:r>
        <w:t>Adresa: Str. Teilor nr. 14, Comarnic, jud. Prahova</w:t>
      </w:r>
    </w:p>
    <w:p>
      <w:r>
        <w:t>Numar cadastral: 20145; CF 20145 Comarnic</w:t>
      </w:r>
    </w:p>
    <w:p>
      <w:r>
        <w:t>Client: Andrei Popescu (Persoana fizica)</w:t>
      </w:r>
    </w:p>
    <w:p>
      <w:r>
        <w:t>Proprietar: Andrei Popescu</w:t>
      </w:r>
    </w:p>
    <w:p>
      <w:r>
        <w:t>Beneficiar / Finantator: Banca Comerciala Exemplu S.A.</w:t>
      </w:r>
    </w:p>
    <w:p>
      <w:r>
        <w:t>Scopul evaluarii: Garantarea creditului ipotecar</w:t>
      </w:r>
    </w:p>
    <w:p>
      <w:r>
        <w:t>Evaluator: ing. Gabriela Fratila, membru ANEVAR, legitimatia 14288</w:t>
      </w:r>
    </w:p>
    <w:p>
      <w:r>
        <w:t>Data evaluarii: 2026-05-20; Data raportului: 2026-05-22</w:t>
      </w:r>
    </w:p>
    <w:p>
      <w:r>
        <w:rPr>
          <w:b/>
        </w:rPr>
        <w:t>VALOAREA ESTIMATA: 135.645 EUR. Valoarea nu contine TVA.</w:t>
      </w:r>
    </w:p>
    <w:p>
      <w:r>
        <w:br w:type="page"/>
      </w:r>
    </w:p>
    <w:p>
      <w:pPr>
        <w:pStyle w:val="Heading1"/>
      </w:pPr>
      <w:r>
        <w:t>SCRISOARE DE TRANSMITERE</w:t>
      </w:r>
    </w:p>
    <w:p>
      <w:r>
        <w:t>Catre: Andrei Popescu / Banca Comerciala Exemplu S.A.</w:t>
      </w:r>
    </w:p>
    <w:p>
      <w:r>
        <w:t>Va transmitem raportul de evaluare a proprietatii imobiliare situate in Str. Teilor nr. 14, Comarnic, jud. Prahova, intocmit in scopul: Garantarea creditului ipotecar. In urma analizelor efectuate, valoarea de piata estimata a proprietatii este de 135.645 EUR, la data evaluarii (2026-05-20). Valoarea nu contine TVA.</w:t>
      </w:r>
    </w:p>
    <w:p>
      <w:r>
        <w:t>Raportul a fost elaborat in conformitate cu Standardele de evaluare a bunurilor ANEVAR in vigoare si poate fi utilizat exclusiv in scopul mentionat.</w:t>
      </w:r>
    </w:p>
    <w:p>
      <w:r>
        <w:t>Cu deosebita consideratie, ing. Gabriela Fratila, membru ANEVAR, legitimatia 14288.</w:t>
      </w:r>
    </w:p>
    <w:p>
      <w:pPr>
        <w:pStyle w:val="Heading1"/>
      </w:pPr>
      <w:r>
        <w:t>DECLARATIE DE CONFORMITATE SI CERTIFICARE</w:t>
      </w:r>
    </w:p>
    <w:p>
      <w:pPr>
        <w:pStyle w:val="ListBullet"/>
      </w:pPr>
      <w:r>
        <w:t>Prezentul raport a fost elaborat in conformitate cu Standardele de evaluare ANEVAR (SEV) in vigoare la data raportului.</w:t>
      </w:r>
    </w:p>
    <w:p>
      <w:pPr>
        <w:pStyle w:val="ListBullet"/>
      </w:pPr>
      <w:r>
        <w:t>Faptele prezentate in raport sunt reale si corecte, dupa cunostinta evaluatorului.</w:t>
      </w:r>
    </w:p>
    <w:p>
      <w:pPr>
        <w:pStyle w:val="ListBullet"/>
      </w:pPr>
      <w:r>
        <w:t>Analizele, opiniile si concluziile sunt limitate numai de ipotezele si conditiile limitative prezentate.</w:t>
      </w:r>
    </w:p>
    <w:p>
      <w:pPr>
        <w:pStyle w:val="ListBullet"/>
      </w:pPr>
      <w:r>
        <w:t>Evaluatorul nu are niciun interes prezent sau de perspectiva in proprietatea evaluata si niciun interes personal cu privire la partile implicate.</w:t>
      </w:r>
    </w:p>
    <w:p>
      <w:pPr>
        <w:pStyle w:val="ListBullet"/>
      </w:pPr>
      <w:r>
        <w:t>Onorariul evaluatorului nu este conditionat de exprimarea unei valori predeterminate sau de marimea valorii estimate.</w:t>
      </w:r>
    </w:p>
    <w:p>
      <w:pPr>
        <w:pStyle w:val="ListBullet"/>
      </w:pPr>
      <w:r>
        <w:t>Evaluatorul este membru ANEVAR, detine competenta necesara si asigurarea de raspundere civila profesionala in vigoare.</w:t>
      </w:r>
    </w:p>
    <w:p>
      <w:pPr>
        <w:pStyle w:val="Heading1"/>
      </w:pPr>
      <w:r>
        <w:t>TERMENI DE REFERINTA AI EVALUARII</w:t>
      </w:r>
    </w:p>
    <w:p>
      <w:r>
        <w:t>Clientul evaluarii: Andrei Popescu (Persoana fizica).</w:t>
      </w:r>
    </w:p>
    <w:p>
      <w:r>
        <w:t>Beneficiarul / utilizatorul desemnat: Banca Comerciala Exemplu S.A..</w:t>
      </w:r>
    </w:p>
    <w:p>
      <w:r>
        <w:t>Scopul evaluarii: Garantarea creditului ipotecar.</w:t>
      </w:r>
    </w:p>
    <w:p>
      <w:r>
        <w:t>Tipul valorii estimate: Valoarea de piata (SEV 104).</w:t>
      </w:r>
    </w:p>
    <w:p>
      <w:r>
        <w:t>Moneda raportarii: EUR. Curs de schimb EUR/LEI: 4.9750.</w:t>
      </w:r>
    </w:p>
    <w:p>
      <w:r>
        <w:t>Data evaluarii: 2026-05-20. Data raportului: 2026-05-22. Data inspectiei: 2026-05-18. Valabilitate: 6 luni de la data raportului.</w:t>
      </w:r>
    </w:p>
    <w:p>
      <w:r>
        <w:t>Identificarea proprietatii: Str. Teilor nr. 14, Comarnic, jud. Prahova, nr. cadastral 20145, CF 20145 Comarnic.</w:t>
      </w:r>
    </w:p>
    <w:p>
      <w:r>
        <w:t>Premise: proprietatea este evaluata in ipoteza utilizarii continue, libera de sarcini, cu exceptia celor mentionate explicit in raport.</w:t>
      </w:r>
    </w:p>
    <w:p>
      <w:pPr>
        <w:pStyle w:val="Heading1"/>
      </w:pPr>
      <w:r>
        <w:t>1. SINTEZA EVALUARII SI CERTIFICARE</w:t>
      </w:r>
    </w:p>
    <w:p>
      <w:r>
        <w:t>Client: Andrei Popescu (Persoana fizica).</w:t>
      </w:r>
    </w:p>
    <w:p>
      <w:r>
        <w:t>Proprietatea: Str. Teilor nr. 14, Comarnic, jud. Prahova; nr. cadastral 20145; CF 20145 Comarnic.</w:t>
      </w:r>
    </w:p>
    <w:p>
      <w:r>
        <w:t>Scopul evaluarii: Garantarea creditului ipotecar.</w:t>
      </w:r>
    </w:p>
    <w:p>
      <w:r>
        <w:t>Tipul valorii: Valoarea de piata (SEV 104).</w:t>
      </w:r>
    </w:p>
    <w:p>
      <w:r>
        <w:t>Data evaluarii: 2026-05-20; data raportului: 2026-05-22.</w:t>
      </w:r>
    </w:p>
    <w:p>
      <w:r>
        <w:t>VALOAREA ESTIMATA: 135.645 EUR (metoda selectata: piata). Valoarea nu contine TVA.</w:t>
      </w:r>
    </w:p>
    <w:p>
      <w:pPr>
        <w:pStyle w:val="Heading1"/>
      </w:pPr>
      <w:r>
        <w:t>2. IPOTEZE GENERALE SI SPECIALE</w:t>
      </w:r>
    </w:p>
    <w:p>
      <w:r>
        <w:t>Se pornește de la ipoteza că dreptul de proprietate asupra imobilului este valabil, transferabil și liber de sarcini, grefat de orice excepții menționate expres în prezentul raport, precum și de ipoteza că informațiile puse la dispoziție de Andrei Popescu sunt complete și corecte în limitele scopului evaluării. Totodată, se presupune că imobilul identificat la Str. Teilor nr. 14, Comarnic, jud. Prahova, înscris în 20145 și CF 20145 Comarnic, are o situație juridică și tehnică ce permite utilizarea sa în condiții normale, fără vicii ascunse care să influențeze semnificativ valoarea estimată. Evaluarea este întocmită în contextul garantării creditului ipotecar pentru Andrei Popescu, iar valoarea raportată este valoarea de piață, exprimată în EUR, conform SEV 104.</w:t>
        <w:br/>
        <w:br/>
        <w:t>Se mai presupune că structura de rezistență și elementele constructive ale imobilului sunt corespunzătoare destinației și stării de exploatare observabile la data evaluării, fără a exista degradări structurale sau defecte ascunse care să poată fi identificate doar prin expertize specializate. Nu au fost efectuate investigații geotehnice, tehnice sau de laborator, iar eventualele condiții ale terenului, ale fundațiilor ori ale elementelor înglobate în construcție care nu sunt vizibile la inspecția normală sunt acceptate în baza ipotezei că acestea nu produc efecte nefavorabile asupra valorii. În mod similar, suprafața terenului de 600 mp, categoria intravilan, precum și datele privind aria utilă de 128 mp și aria construită desfășurată de 162 mp au fost preluate ca date furnizate pentru scopul prezentei evaluări și nu au făcut obiectul unei verificări topo-cadastrale complete.</w:t>
        <w:br/>
        <w:br/>
        <w:t>Raportul este elaborat exclusiv pentru scopul declarat și pentru beneficiarul / finantator Andrei Popescu / Banca Comerciala Exemplu S.A., neputând fi utilizat ca bază pentru alte destinații, tranzacții sau decizii în afara celor pentru care a fost întocmit. Orice utilizare parțială, reproducere selectivă ori interpretare în alt context decât cel al garantării creditului ipotecar este interzisă fără acordul evaluatorului. Concluziile asupra valorii sunt valabile la data evaluării și în condițiile pieței aferente momentului respectiv, fără a include ipoteze privind modificări ulterioare ale cadrului legal, ale stării fizice a imobilului sau ale condițiilor de piață.</w:t>
      </w:r>
    </w:p>
    <w:p>
      <w:pPr>
        <w:pStyle w:val="Heading1"/>
      </w:pPr>
      <w:r>
        <w:t>3. PREZENTAREA DATELOR DE PIATA</w:t>
      </w:r>
    </w:p>
    <w:p>
      <w:r>
        <w:t>Piata imobiliara locala relevanta pentru imobilul evaluat este caracterizata de cerere activa pentru proprietati rezidentiale similare, sustinuta de interesul utilizatorilor finali si de achizitiile motivate de finantare ipotecara, in contextul unui numar limitat de comparabile directe disponibile. In analiza de piata au fost identificate 3 comparabile pentru valoarea intregului imobil si 3 comparabile pentru teren, ceea ce indica existenta unei baze de tranzactionare suficiente pentru fundamentarea concluziei de valoare, dar cu selectivitate ridicata a datelor utilizabile.</w:t>
        <w:br/>
        <w:br/>
        <w:t>Din perspectiva ofertei, proprietatile comparabile analizate reflecta o piata locala cu oferte eterogene, in care preturile sunt influentate de amplasament, dimensiunea terenului, suprafata utila si caracteristicile constructive. Valoarea terenului determinata prin comparatie este de 56.20 EUR/mp, respectiv 33,721.20 EUR pentru 600 mp, iar valoarea alocata constructiilor este de 101,923.80 EUR, ceea ce arata o contributie semnificativa a imbunatatirilor la formarea valorii de piata.</w:t>
        <w:br/>
        <w:br/>
        <w:t>Lichiditatea pietei este apreciata ca moderata, in sensul ca proprietatile similare se pot tranzactiona intr-un interval rezonabil de timp atunci cand pretul este corelat cu nivelul pietei, insa procesul de absorbire depinde de gradul de potrivire intre caracteristicile proprietatii si preferintele cumparatorilor. In aceste conditii, abordarea prin piata a fost considerata cea mai relevanta, iar rezultatul reconcilierii, de 135,645.00 EUR, reflecta nivelul de pret sustinut de comparabilele selectate si de conditiile curente ale pietei locale.</w:t>
      </w:r>
    </w:p>
    <w:p>
      <w:pPr>
        <w:pStyle w:val="Heading1"/>
      </w:pPr>
      <w:r>
        <w:t>4. DESCRIEREA JURIDICA SI FIZICA A PROPRIETATII</w:t>
      </w:r>
    </w:p>
    <w:p>
      <w:r>
        <w:t>Teren: 600 mp, categorie intravilan.</w:t>
      </w:r>
    </w:p>
    <w:p>
      <w:r>
        <w:t>Constructie: Au 128 mp, Acd 162 mp, an referinta 2026.</w:t>
      </w:r>
    </w:p>
    <w:p>
      <w:r>
        <w:t>Imobilul analizat este individualizat prin identificatorii cadastrali și de carte funciară indicați în documentația pusă la dispoziție, respectiv 20145 și CF 20145 Comarnic, acestea reprezentând elementele de referință ale situației juridice a proprietății. Din punct de vedere juridic, proprietatea este evaluată în vederea garantării creditului ipotecar, pentru beneficiarul / finanțator Andrei Popescu – Banca Comerciala Exemplu S.A.</w:t>
        <w:br/>
        <w:br/>
        <w:t>Din punct de vedere fizic, proprietatea este compusă dintr-un teren intravilan în suprafață de 600 mp, pe care este amplasată o construcție cu arie utilă de 128 mp și arie construită desfășurată de 162 mp. Anul de referință al evaluării este 2026, iar descrierea tehnică a imobilului a fost realizată pe baza datelor numerice furnizate, fără alte completări din surse externe.</w:t>
        <w:br/>
        <w:br/>
        <w:t>În ansamblu, proprietatea evaluată prezintă caracteristicile specifice unui imobil rezidențial individualizat cadastral și tabular, cu teren aferent inclus în intravilan și construcție destinată utilizării curente, pentru care analiza valorii de piață a fost fundamentată pe datele disponibile privind terenul și construcția. Evaluarea a fost realizată de ing. Gabriela Fratila.</w:t>
      </w:r>
    </w:p>
    <w:p>
      <w:pPr>
        <w:pStyle w:val="Heading1"/>
      </w:pPr>
      <w:r>
        <w:t>5. ANALIZA CELEI MAI BUNE UTILIZARI (CMBU)</w:t>
      </w:r>
    </w:p>
    <w:p>
      <w:r>
        <w:t>Cea mai bună utilizare a proprietății imobiliare evaluate este utilizarea rezidențială existentă, aceasta îndeplinind cumulativ criteriile de permisibilitate legală, posibilitate fizică, fezabilitate financiară și maximum productivitate, conform conceptului CMBU aplicabil în evaluare. Proprietatea este constituită dintr-un teren intravilan în suprafață de 600 mp și o construcție cu arie utilă de 128 mp și arie construită desfășurată de 162 mp, elemente care susțin utilizarea actuală ca fiind una firească și adecvată caracteristicilor sale fizice.</w:t>
        <w:br/>
        <w:br/>
        <w:t>Din punct de vedere legal și fizic, utilizarea rezidențială este compatibilă cu natura imobilului, fără a rezulta din datele disponibile indicii privind existența unor restricții care să impună o altă destinație ori să excludă utilizarea curentă. În plan economic, analizarea abordării prin cost indică o valoare prin cost de 153471.60 EUR, iar abordarea prin piață conduce la o valoare de 135645.00 EUR, ceea ce confirmă că proprietatea are o susținere valorică pe piață în configurația existentă, iar utilizarea rezidențială este fezabilă financiar.</w:t>
        <w:br/>
        <w:br/>
        <w:t>În cadrul analizei CMBU, dintre utilizările rezonabile și posibile, utilizarea actuală rezidențială este apreciată ca fiind și maximum productivă, întrucât nu există date care să susțină o alternativă de utilizare care să conducă la o valoare superioară în condițiile pieței analizate. Alocarea valorii prin metoda pieței evidențiază o valoare a terenului de 33721.20 EUR și o valoare alocată construcțiilor de 101923.80 EUR, ceea ce reflectă o structură valorică coerentă cu menținerea destinației rezidențiale existente.</w:t>
      </w:r>
    </w:p>
    <w:p>
      <w:pPr>
        <w:pStyle w:val="Heading1"/>
      </w:pPr>
      <w:r>
        <w:t>6. APLICAREA METODELOR DE CALCUL</w:t>
      </w:r>
    </w:p>
    <w:p>
      <w:r>
        <w:t>Grila de comparatie directa pe pret total (proprietate intreaga):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Comparabil</w:t>
            </w:r>
          </w:p>
        </w:tc>
        <w:tc>
          <w:tcPr>
            <w:tcW w:type="dxa" w:w="2160"/>
          </w:tcPr>
          <w:p>
            <w:r>
              <w:t>Pret total corectat</w:t>
            </w:r>
          </w:p>
        </w:tc>
        <w:tc>
          <w:tcPr>
            <w:tcW w:type="dxa" w:w="2160"/>
          </w:tcPr>
          <w:p>
            <w:r>
              <w:t>Ajustare bruta</w:t>
            </w:r>
          </w:p>
        </w:tc>
        <w:tc>
          <w:tcPr>
            <w:tcW w:type="dxa" w:w="2160"/>
          </w:tcPr>
          <w:p>
            <w:r>
              <w:t>Selectat</w:t>
            </w:r>
          </w:p>
        </w:tc>
      </w:tr>
      <w:tr>
        <w:tc>
          <w:tcPr>
            <w:tcW w:type="dxa" w:w="2160"/>
          </w:tcPr>
          <w:p>
            <w:r>
              <w:t>1</w:t>
            </w:r>
          </w:p>
        </w:tc>
        <w:tc>
          <w:tcPr>
            <w:tcW w:type="dxa" w:w="2160"/>
          </w:tcPr>
          <w:p>
            <w:r>
              <w:t>135098.00</w:t>
            </w:r>
          </w:p>
        </w:tc>
        <w:tc>
          <w:tcPr>
            <w:tcW w:type="dxa" w:w="2160"/>
          </w:tcPr>
          <w:p>
            <w:r>
              <w:t>17.99%</w:t>
            </w:r>
          </w:p>
        </w:tc>
        <w:tc>
          <w:tcPr>
            <w:tcW w:type="dxa" w:w="2160"/>
          </w:tcPr>
          <w:p>
            <w:r/>
          </w:p>
        </w:tc>
      </w:tr>
      <w:tr>
        <w:tc>
          <w:tcPr>
            <w:tcW w:type="dxa" w:w="2160"/>
          </w:tcPr>
          <w:p>
            <w:r>
              <w:t>2</w:t>
            </w:r>
          </w:p>
        </w:tc>
        <w:tc>
          <w:tcPr>
            <w:tcW w:type="dxa" w:w="2160"/>
          </w:tcPr>
          <w:p>
            <w:r>
              <w:t>135645.00</w:t>
            </w:r>
          </w:p>
        </w:tc>
        <w:tc>
          <w:tcPr>
            <w:tcW w:type="dxa" w:w="2160"/>
          </w:tcPr>
          <w:p>
            <w:r>
              <w:t>9.45%</w:t>
            </w:r>
          </w:p>
        </w:tc>
        <w:tc>
          <w:tcPr>
            <w:tcW w:type="dxa" w:w="2160"/>
          </w:tcPr>
          <w:p>
            <w:r>
              <w:t>DA</w:t>
            </w:r>
          </w:p>
        </w:tc>
      </w:tr>
      <w:tr>
        <w:tc>
          <w:tcPr>
            <w:tcW w:type="dxa" w:w="2160"/>
          </w:tcPr>
          <w:p>
            <w:r>
              <w:t>3</w:t>
            </w:r>
          </w:p>
        </w:tc>
        <w:tc>
          <w:tcPr>
            <w:tcW w:type="dxa" w:w="2160"/>
          </w:tcPr>
          <w:p>
            <w:r>
              <w:t>136128.00</w:t>
            </w:r>
          </w:p>
        </w:tc>
        <w:tc>
          <w:tcPr>
            <w:tcW w:type="dxa" w:w="2160"/>
          </w:tcPr>
          <w:p>
            <w:r>
              <w:t>21.21%</w:t>
            </w:r>
          </w:p>
        </w:tc>
        <w:tc>
          <w:tcPr>
            <w:tcW w:type="dxa" w:w="2160"/>
          </w:tcPr>
          <w:p>
            <w:r/>
          </w:p>
        </w:tc>
      </w:tr>
    </w:tbl>
    <w:p>
      <w:r>
        <w:t>Valoarea prin comparatie de piata: 135.645 EUR.</w:t>
      </w:r>
    </w:p>
    <w:p>
      <w:r>
        <w:t>Grila de comparatie pentru teren (EUR/mp):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Comparabil teren</w:t>
            </w:r>
          </w:p>
        </w:tc>
        <w:tc>
          <w:tcPr>
            <w:tcW w:type="dxa" w:w="2160"/>
          </w:tcPr>
          <w:p>
            <w:r>
              <w:t>Pret/mp corectat</w:t>
            </w:r>
          </w:p>
        </w:tc>
        <w:tc>
          <w:tcPr>
            <w:tcW w:type="dxa" w:w="2160"/>
          </w:tcPr>
          <w:p>
            <w:r>
              <w:t>Ajustare bruta</w:t>
            </w:r>
          </w:p>
        </w:tc>
        <w:tc>
          <w:tcPr>
            <w:tcW w:type="dxa" w:w="2160"/>
          </w:tcPr>
          <w:p>
            <w:r>
              <w:t>Selectat</w:t>
            </w:r>
          </w:p>
        </w:tc>
      </w:tr>
      <w:tr>
        <w:tc>
          <w:tcPr>
            <w:tcW w:type="dxa" w:w="2160"/>
          </w:tcPr>
          <w:p>
            <w:r>
              <w:t>1 — Comarnic, zona centrala</w:t>
            </w:r>
          </w:p>
        </w:tc>
        <w:tc>
          <w:tcPr>
            <w:tcW w:type="dxa" w:w="2160"/>
          </w:tcPr>
          <w:p>
            <w:r>
              <w:t>56.20</w:t>
            </w:r>
          </w:p>
        </w:tc>
        <w:tc>
          <w:tcPr>
            <w:tcW w:type="dxa" w:w="2160"/>
          </w:tcPr>
          <w:p>
            <w:r>
              <w:t>8.00%</w:t>
            </w:r>
          </w:p>
        </w:tc>
        <w:tc>
          <w:tcPr>
            <w:tcW w:type="dxa" w:w="2160"/>
          </w:tcPr>
          <w:p>
            <w:r>
              <w:t>DA</w:t>
            </w:r>
          </w:p>
        </w:tc>
      </w:tr>
      <w:tr>
        <w:tc>
          <w:tcPr>
            <w:tcW w:type="dxa" w:w="2160"/>
          </w:tcPr>
          <w:p>
            <w:r>
              <w:t>2 — Comarnic, Poiana</w:t>
            </w:r>
          </w:p>
        </w:tc>
        <w:tc>
          <w:tcPr>
            <w:tcW w:type="dxa" w:w="2160"/>
          </w:tcPr>
          <w:p>
            <w:r>
              <w:t>55.94</w:t>
            </w:r>
          </w:p>
        </w:tc>
        <w:tc>
          <w:tcPr>
            <w:tcW w:type="dxa" w:w="2160"/>
          </w:tcPr>
          <w:p>
            <w:r>
              <w:t>16.00%</w:t>
            </w:r>
          </w:p>
        </w:tc>
        <w:tc>
          <w:tcPr>
            <w:tcW w:type="dxa" w:w="2160"/>
          </w:tcPr>
          <w:p>
            <w:r/>
          </w:p>
        </w:tc>
      </w:tr>
      <w:tr>
        <w:tc>
          <w:tcPr>
            <w:tcW w:type="dxa" w:w="2160"/>
          </w:tcPr>
          <w:p>
            <w:r>
              <w:t>3 — Comarnic, Ghiosesti</w:t>
            </w:r>
          </w:p>
        </w:tc>
        <w:tc>
          <w:tcPr>
            <w:tcW w:type="dxa" w:w="2160"/>
          </w:tcPr>
          <w:p>
            <w:r>
              <w:t>50.27</w:t>
            </w:r>
          </w:p>
        </w:tc>
        <w:tc>
          <w:tcPr>
            <w:tcW w:type="dxa" w:w="2160"/>
          </w:tcPr>
          <w:p>
            <w:r>
              <w:t>8.00%</w:t>
            </w:r>
          </w:p>
        </w:tc>
        <w:tc>
          <w:tcPr>
            <w:tcW w:type="dxa" w:w="2160"/>
          </w:tcPr>
          <w:p>
            <w:r/>
          </w:p>
        </w:tc>
      </w:tr>
    </w:tbl>
    <w:p>
      <w:r>
        <w:t>Valoarea terenului = 56.20 EUR/mp x 600 mp = 33.721 EUR.</w:t>
      </w:r>
    </w:p>
    <w:p>
      <w:r>
        <w:t>Tabelul costurilor segregate (abordarea prin cost):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Element</w:t>
            </w:r>
          </w:p>
        </w:tc>
        <w:tc>
          <w:tcPr>
            <w:tcW w:type="dxa" w:w="1728"/>
          </w:tcPr>
          <w:p>
            <w:r>
              <w:t>Cod</w:t>
            </w:r>
          </w:p>
        </w:tc>
        <w:tc>
          <w:tcPr>
            <w:tcW w:type="dxa" w:w="1728"/>
          </w:tcPr>
          <w:p>
            <w:r>
              <w:t>Cantitate</w:t>
            </w:r>
          </w:p>
        </w:tc>
        <w:tc>
          <w:tcPr>
            <w:tcW w:type="dxa" w:w="1728"/>
          </w:tcPr>
          <w:p>
            <w:r>
              <w:t>Cost unitar</w:t>
            </w:r>
          </w:p>
        </w:tc>
        <w:tc>
          <w:tcPr>
            <w:tcW w:type="dxa" w:w="1728"/>
          </w:tcPr>
          <w:p>
            <w:r>
              <w:t>Cost de nou</w:t>
            </w:r>
          </w:p>
        </w:tc>
      </w:tr>
      <w:tr>
        <w:tc>
          <w:tcPr>
            <w:tcW w:type="dxa" w:w="1728"/>
          </w:tcPr>
          <w:p>
            <w:r>
              <w:t>Structura si inchideri (casa P+1)</w:t>
            </w:r>
          </w:p>
        </w:tc>
        <w:tc>
          <w:tcPr>
            <w:tcW w:type="dxa" w:w="1728"/>
          </w:tcPr>
          <w:p>
            <w:r>
              <w:t>C.1</w:t>
            </w:r>
          </w:p>
        </w:tc>
        <w:tc>
          <w:tcPr>
            <w:tcW w:type="dxa" w:w="1728"/>
          </w:tcPr>
          <w:p>
            <w:r>
              <w:t>162.00</w:t>
            </w:r>
          </w:p>
        </w:tc>
        <w:tc>
          <w:tcPr>
            <w:tcW w:type="dxa" w:w="1728"/>
          </w:tcPr>
          <w:p>
            <w:r>
              <w:t>520.00</w:t>
            </w:r>
          </w:p>
        </w:tc>
        <w:tc>
          <w:tcPr>
            <w:tcW w:type="dxa" w:w="1728"/>
          </w:tcPr>
          <w:p>
            <w:r>
              <w:t>84.240</w:t>
            </w:r>
          </w:p>
        </w:tc>
      </w:tr>
      <w:tr>
        <w:tc>
          <w:tcPr>
            <w:tcW w:type="dxa" w:w="1728"/>
          </w:tcPr>
          <w:p>
            <w:r>
              <w:t>Finisaje si instalatii</w:t>
            </w:r>
          </w:p>
        </w:tc>
        <w:tc>
          <w:tcPr>
            <w:tcW w:type="dxa" w:w="1728"/>
          </w:tcPr>
          <w:p>
            <w:r>
              <w:t>C.2</w:t>
            </w:r>
          </w:p>
        </w:tc>
        <w:tc>
          <w:tcPr>
            <w:tcW w:type="dxa" w:w="1728"/>
          </w:tcPr>
          <w:p>
            <w:r>
              <w:t>162.00</w:t>
            </w:r>
          </w:p>
        </w:tc>
        <w:tc>
          <w:tcPr>
            <w:tcW w:type="dxa" w:w="1728"/>
          </w:tcPr>
          <w:p>
            <w:r>
              <w:t>360.00</w:t>
            </w:r>
          </w:p>
        </w:tc>
        <w:tc>
          <w:tcPr>
            <w:tcW w:type="dxa" w:w="1728"/>
          </w:tcPr>
          <w:p>
            <w:r>
              <w:t>58.320</w:t>
            </w:r>
          </w:p>
        </w:tc>
      </w:tr>
    </w:tbl>
    <w:p>
      <w:r>
        <w:t>CIB = 142.560; Vcp = 15.00 ani; depreciere fizica = 16.00%; CIN = 119.750; valoare prin cost (CIN + teren) = 153.472 EUR.</w:t>
      </w:r>
    </w:p>
    <w:p>
      <w:r>
        <w:t>Ajustările din grila de comparație au fost aplicate pentru a reflecta diferențele dintre fiecare comparabil și proprietatea subiect, în concordanță cu principiul substituției și cu cerința ca prețurile proprietăților comparabile să fie corectate în funcție de deosebirile existente între acestea și proprietatea evaluată. În etapa de tranzacție s-au avut în vedere diferențele de piață și de condiții ale ofertei/vânzării, astfel încât prețurile de tranzacție să poată fi aduse la un nivel comparabil cu cel al proprietății subiect. În etapa de proprietate au fost analizate caracteristicile intrinseci ale activului, precum amplasamentul, terenul de 600 mp, categoria de intravilan, suprafața utilă de 128 mp și aria construită desfășurată de 162 mp, pentru a surprinde diferențele de utilitate și atractivitate investițională față de comparabile.</w:t>
        <w:br/>
        <w:br/>
        <w:t>Logica aplicării ajustărilor urmărește separarea efectelor specifice pieței de efectele specifice proprietății, astfel încât comparația să fie realizată pe baze omogene și să conducă la o estimare credibilă a valorii de piață. În acest context, comparabilul selectat cu index 1 a fost considerat cel mai relevant deoarece a necesitat cea mai redusă ajustare brută în cadrul setului de 3 comparabile analizate, indicând cel mai înalt grad de similaritate globală față de proprietatea subiect. O ajustare brută minimă înseamnă, în mod metodologic, că diferențele identificate între comparabil și subiect sunt mai mici decât în cazul celorlalte alternative, ceea ce reduce gradul de corecție necesar pentru alinierea la caracteristicile proprietății evaluate.</w:t>
        <w:br/>
        <w:br/>
        <w:t>Valoarea terenului determinată prin comparație, de 56.20 EUR/mp, respectiv 33,721.20 EUR pentru 600 mp, a fost utilizată ca reper pentru separarea valorii terenului de valoarea construcțiilor, rezultând o valoare alocată construcțiilor de 101,923.80 EUR. Această structurare este compatibilă cu abordarea prin piață și susține reconcilierea finală la valoarea de 135,645.00 EUR, în condițiile scopului de garantare a creditului ipotecar și ale tipului de valoare de piață solicitat.</w:t>
      </w:r>
    </w:p>
    <w:p>
      <w:pPr>
        <w:pStyle w:val="Heading1"/>
      </w:pPr>
      <w:r>
        <w:t>7. RECONCILIEREA REZULTATELOR SI CONCLUZIA VALORII</w:t>
      </w:r>
    </w:p>
    <w:p>
      <w:r>
        <w:t>Abordarea prin piață a fost considerată relevantă pentru estimarea valorii de piață în scopul garantării creditului ipotecar, întrucât reflectă comportamentul participanților la piață și conduce la o indicație directă de valoare pentru bunul evaluat, pe baza comparației cu active similare. În cadrul acestei abordări a fost selectat comparabilul index 1 dintr-un total de 3 comparabile, rezultând o valoare de 135645.00 EUR. Pentru teren, evaluarea prin comparație a condus la o valoare unitară de 56.20 EUR/mp, ceea ce, aplicat la suprafața de 600 mp, generează o valoare de 33721.20 EUR, iar diferența până la valoarea totală a fost alocată construcției, respectiv 101923.80 EUR.</w:t>
        <w:br/>
        <w:br/>
        <w:t>Abordarea prin cost a furnizat o indicație de 153471.60 EUR, determinată pe baza unui cost brut de înlocuire de 142560.00 EUR, a unei durate de viață economică de 15.00 ani și a unei deprecieri fizice de 16.00%, care au condus la un cost net de înlocuire de 119750.40 EUR. Această abordare evidențiază valoarea de înlocuire depreciată a proprietății, însă, în contextul scopului evaluării, are un caracter de control și de verificare a plauzibilității rezultatului obținut prin piață.</w:t>
        <w:br/>
        <w:br/>
        <w:t>În procesul de reconciliere, valoarea rezultată din abordarea prin piață a fost reținută ca fiind cea mai adecvată, întrucât este susținută de date de tranzacționare/comparație și este direct ancorată în condițiile curente ale pieței pentru proprietăți similare. Ponderearea superioară acordată acestei metode este justificată de relevanța ei pentru tipul valorii solicitat și de faptul că, în cadrul acestui raport, ea oferă cea mai bună reflectare a prețului probabil de piață.</w:t>
        <w:br/>
        <w:br/>
        <w:t>În consecință, valoarea finală reconciliată a proprietății imobiliare evaluate, exprimată în condițiile date și pentru anul de referință 2026, este de 135645.00 EUR. Aceasta reprezintă opinia evaluatorului privind valoarea de piață a proprietății, în scopul garantării creditului ipotecar, pentru beneficiarul/finanțatorul Banca Comerciala Exemplu S.A..</w:t>
      </w:r>
    </w:p>
    <w:p>
      <w:r>
        <w:t>Valoarea finala: 135.645 EUR. Valoarea nu contine TVA.</w:t>
      </w:r>
    </w:p>
    <w:p>
      <w:pPr>
        <w:pStyle w:val="Heading1"/>
      </w:pPr>
      <w:r>
        <w:t>ALOCAREA VALORII</w:t>
      </w:r>
    </w:p>
    <w:tbl>
      <w:tblPr>
        <w:tblStyle w:val="TableGrid"/>
        <w:tblW w:type="auto" w:w="0"/>
        <w:tblLook w:firstColumn="1" w:firstRow="1" w:lastColumn="0" w:lastRow="0" w:noHBand="0" w:noVBand="1" w:val="04A0"/>
      </w:tblPr>
      <w:tblGrid>
        <w:gridCol w:w="4320"/>
        <w:gridCol w:w="4320"/>
      </w:tblGrid>
      <w:tr>
        <w:tc>
          <w:tcPr>
            <w:tcW w:type="dxa" w:w="4320"/>
          </w:tcPr>
          <w:p>
            <w:r>
              <w:t>Componenta</w:t>
            </w:r>
          </w:p>
        </w:tc>
        <w:tc>
          <w:tcPr>
            <w:tcW w:type="dxa" w:w="4320"/>
          </w:tcPr>
          <w:p>
            <w:r>
              <w:t>Valoare (EUR)</w:t>
            </w:r>
          </w:p>
        </w:tc>
      </w:tr>
      <w:tr>
        <w:tc>
          <w:tcPr>
            <w:tcW w:type="dxa" w:w="4320"/>
          </w:tcPr>
          <w:p>
            <w:r>
              <w:t>Valoarea proprietatii (estimata)</w:t>
            </w:r>
          </w:p>
        </w:tc>
        <w:tc>
          <w:tcPr>
            <w:tcW w:type="dxa" w:w="4320"/>
          </w:tcPr>
          <w:p>
            <w:r>
              <w:t>135.645</w:t>
            </w:r>
          </w:p>
        </w:tc>
      </w:tr>
      <w:tr>
        <w:tc>
          <w:tcPr>
            <w:tcW w:type="dxa" w:w="4320"/>
          </w:tcPr>
          <w:p>
            <w:r>
              <w:t>din care: Valoarea terenului</w:t>
            </w:r>
          </w:p>
        </w:tc>
        <w:tc>
          <w:tcPr>
            <w:tcW w:type="dxa" w:w="4320"/>
          </w:tcPr>
          <w:p>
            <w:r>
              <w:t>33.721</w:t>
            </w:r>
          </w:p>
        </w:tc>
      </w:tr>
      <w:tr>
        <w:tc>
          <w:tcPr>
            <w:tcW w:type="dxa" w:w="4320"/>
          </w:tcPr>
          <w:p>
            <w:r>
              <w:t>din care: Valoarea constructiilor (alocata)</w:t>
            </w:r>
          </w:p>
        </w:tc>
        <w:tc>
          <w:tcPr>
            <w:tcW w:type="dxa" w:w="4320"/>
          </w:tcPr>
          <w:p>
            <w:r>
              <w:t>101.924</w:t>
            </w:r>
          </w:p>
        </w:tc>
      </w:tr>
    </w:tbl>
    <w:p>
      <w:r>
        <w:t>Valoarea constructiilor a fost obtinuta prin alocare: valoarea proprietatii minus valoarea terenului estimata prin comparatie directa.</w:t>
      </w:r>
    </w:p>
    <w:p>
      <w:pPr>
        <w:pStyle w:val="Heading1"/>
      </w:pPr>
      <w:r>
        <w:t>RISCUL ASOCIAT GARANTIEI (GEV 520)</w:t>
      </w:r>
    </w:p>
    <w:p>
      <w:r>
        <w:t>Riscul asociat garantiei este apreciat ca fiind rezonabil, în raport cu scopul evaluării pentru garantarea creditului ipotecar, având în vedere că valoarea estimată reflectă valoarea de piață stabilită prin analiza comparabilelor, iar proprietatea are caracteristici uzuale pentru segmentul rezidențial/intravilan din piața locală. Conform GEV 520, analiza pentru garantare trebuie să țină seama de lichiditatea și activitatea pieței relevante, de cererea curentă și potențială pentru tipul de proprietate și de capacitatea acesteia de a fi valorificată în ipoteza unei executări silite.</w:t>
        <w:br/>
        <w:br/>
        <w:t>Din perspectiva adecvării ca garanție, proprietatea prezintă o structură funcțională care susține utilizarea ei ca activ de garanție, prin suprafața terenului de 600 mp, categoria de intravilan, respectiv prin Aria utilă de 128 mp și Aria construită desfășurată de 162 mp. Valoarea finală reconciliată de 135645.00 EUR, determinată prin abordarea prin piață, indică un nivel de piață susținut de un set de 3 comparabile, ceea ce oferă un suport suficient pentru estimarea valorii în contextul analizat. În același timp, valorile rezultate prin abordarea prin cost, respectiv 153471.60 EUR, confirmă existența unui suport economic al proprietății, însă pentru scopul garantării primează nivelul de piață rezultat prin comparare.</w:t>
        <w:br/>
        <w:br/>
        <w:t>În ceea ce privește vandabilitatea, proprietatea poate fi considerată relativ lichidă în măsura în care se încadrează într-un segment obișnuit al pieței imobiliare locale, însă realizarea valorii depinde de condițiile concrete ale pieței la momentul valorificării, inclusiv de ritmul tranzacțiilor și de nivelul cererii pentru proprietăți similare. Evaluarea terenului la 56.20 EUR/mp, cu o valoare aferentă de 33721.20 EUR, arată că o parte distinctă din valoarea garanției este susținută de componenta funciară, ceea ce reduce parțial expunerea la riscul de depreciere specifică construcției.</w:t>
        <w:br/>
        <w:br/>
        <w:t>Expunerea estimată a creditorului trebuie raportată la valoarea de piață de 135645.00 EUR, în condițiile în care valoarea garanției poate varia odată cu evoluția cererii, a lichidității locale și a percepției cumpărătorilor asupra proprietăților similare. Sensibilitatea valorii la condițiile pieței este moderată, întrucât proprietatea are o utilizare clară, o evaluare fundamentată pe comparabile și o structură valorică alocată între teren și construcție de 33721.20 EUR și, respectiv, 101923.80 EUR; totuși, eventualele ajustări ale prețurilor de piață pot afecta direct capacitatea de recuperare a băncii creditoare, Banca Comerciala Exemplu S.A., în scenariul unei valorificări forțate.</w:t>
      </w:r>
    </w:p>
    <w:p>
      <w:pPr>
        <w:pStyle w:val="Heading1"/>
      </w:pPr>
      <w:r>
        <w:t>ANEXE</w:t>
      </w:r>
    </w:p>
    <w:p>
      <w:r>
        <w:t>Anexa 1 — Comparabile utilizate (surse):</w:t>
      </w:r>
    </w:p>
    <w:p>
      <w:pPr>
        <w:pStyle w:val="ListBullet"/>
      </w:pPr>
      <w:r>
        <w:t>https://www.imobiliare.ro/exemplu-1</w:t>
      </w:r>
    </w:p>
    <w:p>
      <w:pPr>
        <w:pStyle w:val="ListBullet"/>
      </w:pPr>
      <w:r>
        <w:t>https://www.storia.ro/exemplu-2</w:t>
      </w:r>
    </w:p>
    <w:p>
      <w:pPr>
        <w:pStyle w:val="ListBullet"/>
      </w:pPr>
      <w:r>
        <w:t>https://www.imobiliare.ro/exemplu-3</w:t>
      </w:r>
    </w:p>
    <w:p>
      <w:r>
        <w:t>Anexa 2 — Planse fotografice ale proprietatii:</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352800"/>
                    </a:xfrm>
                    <a:prstGeom prst="rect"/>
                  </pic:spPr>
                </pic:pic>
              </a:graphicData>
            </a:graphic>
          </wp:inline>
        </w:drawing>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352800"/>
                    </a:xfrm>
                    <a:prstGeom prst="rect"/>
                  </pic:spPr>
                </pic:pic>
              </a:graphicData>
            </a:graphic>
          </wp:inline>
        </w:drawing>
      </w:r>
    </w:p>
    <w:p>
      <w:r>
        <w:t>Anexa 3 — Documente cadastrale, extras CF si acte juridice [de atasat].</w:t>
      </w:r>
    </w:p>
    <w:p/>
    <w:p>
      <w:r>
        <w:t>Intocmit,</w:t>
      </w:r>
    </w:p>
    <w:p>
      <w:r>
        <w:rPr>
          <w:b/>
        </w:rPr>
        <w:t>ing. Gabriela Fratila</w:t>
      </w:r>
    </w:p>
    <w:p>
      <w:r>
        <w:t>Evaluator autorizat ANEVAR, legitimatia 14288</w:t>
      </w:r>
    </w:p>
    <w:p>
      <w:r>
        <w:t>Data: 2026-05-22</w:t>
      </w:r>
    </w:p>
    <w:p>
      <w:r>
        <w:t>Semnatura / stampila: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