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Dreptul evaluat: drept de proprietate deplină (SEV 230).</w:t>
      </w:r>
    </w:p>
    <w:p>
      <w:r>
        <w:t>Sarcini / grevari (extras CF): nu au fost declarate; de verificat în extrasul de carte funciară actualizat (relevant pentru garantare).</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Ipotezele generale care au stat la baza prezentei evaluări sunt cele uzuale pentru un demers de evaluare întocmit în scopul garantării creditului ipotecar: se presupune că dreptul de proprietate este valabil, opozabil și liber de sarcini, cu excepția eventualelor mențiuni expres evidențiate în documentația pusă la dispoziție; informațiile utilizate sunt considerate corecte și complete în limitele date; iar valoarea estimată este o valoare de piață determinată conform SEV 102, în EUR.</w:t>
        <w:br/>
        <w:br/>
        <w:t>Se mai presupune că imobilul identificat prin Breaza de Sus, jud. Prahova, 2xxxx (demo) și CF xxxxx Breaza (demo) are o situație juridică și tehnică compatibilă cu utilizarea analizată, că structura de rezistență și elementele constructive sunt în stare corespunzătoare utilizării normale, fără a fi necesare investigații distructive sau ascunse, iar eventualele neconformități care nu au putut fi constatate la data inspecției nu au fost cuantificate distinct. Suprafața terenului de 700 mp, categoria intravilan, precum și suprafețele de 180 mp arie utilă și 220 mp arie construită desfășurată au fost preluate ca date de intrare pentru analiză, fără verificări tehnice suplimentare care să depășească cadrul misiunii.</w:t>
        <w:br/>
        <w:br/>
        <w:t>Evaluarea a fost elaborată exclusiv pentru scopul declarat și pentru beneficiarul/finanțatorul Banca Comerciala Exemplu S.A.; raportul nu poate fi utilizat pentru alte destinații, în alte contexte de piață sau de garantare, fără acordul evaluatorului și fără o eventuală actualizare a ipotezelor. Concluzia de valoare de 135267.00 EUR reflectă condițiile de piață și ipotezele aplicate la data evaluării, fiind susținută preponderent de abordarea prin piață, iar alocarea valorii între teren și construcții a fost realizată numai în scopul prezentării analizei și nu constituie o expertiză tehnică a componentelor imobilului.</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se caracterizează printr-un nivel de cerere care poate fi susținut pentru active comparabile, însă tranzacționarea rămâne dependentă de potrivirea dintre amplasament, suprafață, caracteristicile constructive și nivelul de preț solicitat. În evaluare au fost utilizate 3 comparabile de piață pentru abordarea prin comparații, ceea ce sugerează existența unor repere suficiente pentru fundamentarea analizei, fără a indica însă o piață foarte profundă sau foarte largă.</w:t>
        <w:br/>
        <w:br/>
        <w:t>Din perspectiva ofertei, nivelul de preț rezultat din comparații arată că proprietățile similare pot fi prezentate pe piață la valori diferite, în funcție de particularitățile fiecărui activ. Pentru teren, analiza comparativă a indicat un nivel de 39.52 EUR/mp, aplicat la suprafața de 700 mp, rezultând o valoare de 27664.00 EUR; această relație poate indica un interes de piață pentru terenuri intravilane similare, dar și o sensibilitate semnificativă la condițiile specifice fiecărei proprietăți.</w:t>
        <w:br/>
        <w:br/>
        <w:t>Lichiditatea poate fi apreciată ca fiind moderată, în sensul că există suficiente repere pentru estimarea valorii de piață, însă realizarea tranzacției depinde de atractivitatea individuală a activului și de condițiile curente ale pieței locale. Valoarea finală reconciliată de 135267.00 EUR, obținută prin abordarea prin piață, susține concluzia că prețul de piață este determinat preponderent de comparabilele disponibile, iar alocarea valorii către construcții, în cuantum de 107603.00 EUR, confirmă ponderea principală a componentei construite în formarea valorii totale.</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Acces: drum public asfaltat.</w:t>
      </w:r>
    </w:p>
    <w:p>
      <w:r>
        <w:t>Utilitati: apă curentă, energie electrică, gaze naturale, canalizare.</w:t>
      </w:r>
    </w:p>
    <w:p>
      <w:r>
        <w:t>Regim urbanistic / restrictii (certificat urbanism): teren intravilan; POT max. 35%, CUT max. 0,9 (de confirmat prin Certificat de Urbanism).</w:t>
      </w:r>
    </w:p>
    <w:p>
      <w:r>
        <w:t>Constructie: Au 180 mp, Acd 220 mp, an referinta 2026.</w:t>
      </w:r>
    </w:p>
    <w:p>
      <w:r>
        <w:t>Inspectia proprietatii: data inspecției 2026-05-23.</w:t>
      </w:r>
    </w:p>
    <w:p>
      <w:r>
        <w:t>Imobilul evaluat este identificat din punct de vedere cadastral și funciar prin 2xxxx (demo) și CF xxxxx Breaza (demo), conform evidențelor puse la dispoziție, în beneficiul Client demonstrativ și al finanțatorului Banca Comerciala Exemplu S.A. Proprietatea este analizată ca imobil compus din teren și construcție, în vederea garantării creditului ipotecar, iar prezentul capitol descrie elementele juridice și fizice relevante pentru evaluare.</w:t>
        <w:br/>
        <w:br/>
        <w:t>Terenul aferent proprietății are o suprafață de 700 mp și este încadrat în categoria de folosință intravilan. Din punct de vedere fizic, terenul reprezintă suportul amplasării construcției și este luat în considerare în forma și mărimea indicate în datele furnizate, fără alte elemente de parcelare sau servitute menționate expres în documentația disponibilă.</w:t>
        <w:br/>
        <w:br/>
        <w:t>Construcția existentă pe teren are o arie utilă de 180 mp și o arie construită desfășurată de 220 mp, cu an de referință 2026. Regimul de înălțime nu a fost precizat distinct în datele furnizate, motiv pentru care descrierea fizică se limitează la suprafețele indicate și la anul de referință disponibil; în ansamblu, imobilul se prezintă ca proprietate construită, compusă din teren intravilan și construcția aferentă, astfel cum rezultă din informațiile comunicate pentru evaluare.</w:t>
      </w:r>
    </w:p>
    <w:p>
      <w:pPr>
        <w:pStyle w:val="Heading1"/>
      </w:pPr>
      <w:r>
        <w:t>5. ANALIZA CELEI MAI BUNE UTILIZARI (CMBU)</w:t>
      </w:r>
    </w:p>
    <w:p>
      <w:r>
        <w:rPr>
          <w:i/>
          <w:color w:val="B06A00"/>
          <w:sz w:val="17"/>
        </w:rPr>
        <w:t>▮ NOTA DEMO — [AI] Analiza celei mai bune utilizari generata de AI.</w:t>
      </w:r>
    </w:p>
    <w:p>
      <w:r>
        <w:t>Analiza celei mai bune utilizări a proprietății având ca scop garantarea creditului ipotecar indică, în condițiile date, menținerea utilizării rezidențiale existente ca fiind cea mai probabilă și relevantă opțiune de analiză. Pentru un teren intravilan de 700 mp, cu o construcție existentă având Au = 180 mp și Acd = 220 mp, utilizarea curentă poate fi considerată, în mod prudent, permisă legal și posibilă fizic, în absența unor informații contrare privind restricții urbanistice sau servituți care ar limita această destinație.</w:t>
        <w:br/>
        <w:br/>
        <w:t>Din punct de vedere al fezabilității financiare, datele de piață susțin utilizarea existentă. Valoarea reconciliată prin abordarea prin piață este de 135267.00 EUR, iar alocarea valorii indică 107603.00 EUR pentru construcții și 27664.00 EUR pentru teren, ceea ce arată că proprietatea generează valoare în configurația actuală. În plus, abordarea prin cost conduce la o valoare de 178735.07 EUR, superioară valorii de piață, ceea ce sugerează că piața nu capitalizează integral costul de înlocuire al îmbunătățirilor, aspect frecvent întâlnit la proprietățile rezidențiale.</w:t>
        <w:br/>
        <w:br/>
        <w:t>Sub aspectul maximului productiv, analiza sugerează că utilizarea rezidențială existentă este cea mai potrivită, întrucât nu există date care să susțină, în mod justificat, o alternativă de utilizare care să conducă la o valoare superioară în contextul pieței analizate. Având în vedere rezultatele abordării prin piață, numărul redus de comparabile relevante și ponderea valorii construcțiilor în structura valorii totale, concluzia prudentă este că menținerea funcțiunii rezidențiale actuale reprezintă cea mai bună utilizare a proprietății în sensul criteriilor de permisibilitate legală, posibilitate fizică, fezabilitate financiară și productivitate maximă.</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Ajustările din grila de piață au fost aplicate pentru a aduce proprietățile comparabile la un nivel de comparabilitate cât mai apropiat de proprietatea evaluată, în condițiile în care comparația pornește de la prețul tranzacției/oferta comparabilei și nu de la valoarea proprietății subiect. În această logică, diferențele dintre comparabile și subiect privind caracteristicile relevante sunt reflectate prin corecții, astfel încât prețurile comparabile să poată fi utilizate ca bază de estimare a valorii de piață.</w:t>
        <w:br/>
        <w:br/>
        <w:t>Separarea ajustărilor în etapă de tranzacție și etapă de proprietate urmărește să distingă corecțiile determinate de condițiile tranzacției de cele generate de particularitățile fizice și economice ale imobilului. Ajustările de tranzacție vizează elemente care țin de contextul vânzării, respectiv de modul de formare a prețului, în timp ce ajustările de proprietate urmăresc diferențele de localizare, teren, suprafețe și alte caracteristici ale activului comparat față de proprietatea evaluată. Această structură este coerentă cu grila de comparație utilizată în evaluare, în care corecțiile sunt aplicate pentru fiecare element relevant, iar rezultatul corectat exprimă mai fidel poziția comparabilei față de subiect.</w:t>
        <w:br/>
        <w:br/>
        <w:t>Comparabilul selectat are ajustarea brută minimă deoarece prezintă, în ansamblu, cel mai apropiat profil față de proprietatea evaluată, ceea ce reduce volumul corecțiilor necesare pentru alinierea la subiect. În consecință, el oferă cea mai ridicată relevanță în cadrul analizei comparative, întrucât tranzacțiile care necesită cele mai mici corecții au, în mod logic, ponderea cea mai mare în fundamentarea valorii finale. Această selecție este susținută și de faptul că reconcilierea prin piață a condus la valoarea de 135267.00 EUR, utilizând comparabilul cu poziția cea mai apropiată în grila de ajustări.</w:t>
        <w:br/>
        <w:br/>
        <w:t>În cazul de față, analiza terenului și alocarea valorii pe componente au fost separate de estimarea valorii totale tocmai pentru a menține coerența logicii comparative. Valoarea terenului, estimată prin comparație la 39.52 EUR/mp, conduce la 27664.00 EUR pentru terenul de 700 mp, iar diferența până la valoarea totală reconciliată a fost alocată construcțiilor la nivelul de 107603.00 EUR. Această abordare permite ca ajustările să reflecte distinct contribuția fiecărei componente la valoarea de piață, fără a dubla efectele acelorași diferențe în cadrul analizei comparative.</w:t>
      </w:r>
    </w:p>
    <w:p>
      <w:pPr>
        <w:pStyle w:val="Heading1"/>
      </w:pPr>
      <w:r>
        <w:t>7. RECONCILIEREA REZULTATELOR SI CONCLUZIA VALORII</w:t>
      </w:r>
    </w:p>
    <w:p>
      <w:r>
        <w:rPr>
          <w:i/>
          <w:color w:val="B06A00"/>
          <w:sz w:val="17"/>
        </w:rPr>
        <w:t>▮ NOTA DEMO — [CALCULAT] Selectia metodei si valoarea finala sunt calculate. [AI] Textul explicativ.</w:t>
      </w:r>
    </w:p>
    <w:p>
      <w:r>
        <w:t>În urma aplicării abordărilor de evaluare adecvate scopului de garantare a creditului ipotecar, analiza a condus la o valoare de piață reconciliată de 135267.00 EUR, exprimată în moneda de raportare și raportată la anul de referință 2026. Pentru acest tip de valoare, selectarea și ponderarea abordărilor se bazează pe relevanța lor pentru natura activului și pe credibilitatea informațiilor de piață disponibile, iar reconcilierea reprezintă alegerea valorii considerate celei mai potrivite situației concrete dintre rezultatele obținute prin metodele aplicate.</w:t>
        <w:br/>
        <w:br/>
        <w:t>Abordarea prin piață a furnizat rezultatul final utilizat la reconciliere, prin analiza unui număr de 3 comparabile, fiind selectat comparabilul index 0 pentru estimarea prețului total. În cadrul componentei funciare, terenul a fost evaluat prin comparație la 39.52 EUR/mp, rezultând 27664.00 EUR pentru suprafața de 700 mp, iar valoarea alocată construcției a fost de 107603.00 EUR. Această structurare sugerează o bună separare a valorii terenului de cea a construcției și susține utilizarea metodei de piață ca referință principală pentru opinia de valoare.</w:t>
        <w:br/>
        <w:br/>
        <w:t>Abordarea prin cost a indicat o valoare de 178735.07 EUR, rezultată din CIB = 182600.00, Vcp = 16.00 ani, depreciere fizică de 17.27% și CIN = 151071.07. Diferența față de rezultatul prin piață poate indica faptul că metoda costului surprinde mai degrabă costul de înlocuire/reproducere depreciat, în timp ce piața reflectă mai direct comportamentul participanților la tranzacție și ajustările generate de condițiile concrete ale cererii și ofertei. În consecință, pentru prezenta evaluare, rezultatul prin piață a fost considerat mai relevant și a primit ponderea determinantă în reconciliere.</w:t>
        <w:br/>
        <w:br/>
        <w:t>Ținând seama de scopul evaluării, de informațiile de piață disponibile și de adecvarea comparabilului selectat, valoarea finală a proprietății este estimată la 135267.00 EUR. Opinia evaluatorului este că această valoare reprezintă cea mai potrivită estimare a valorii de piață pentru activul evaluat, în condițiile și ipotezele avute în vedere, pentru Banca Comerciala Exemplu S.A..</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 xml:space="preserve">Riscul asociat garanției, analizat în contextul GEV 520 Anexa A5, este apreciat ca fiind moderat, în condițiile în care bunul evaluat are o utilizare rezidențială curentă și se înscrie într-un segment de piață în care lichiditatea este, în principiu, dependentă de nivelul cererii locale și de calitatea amplasamentului. Valoarea de piață reconciliată de 135267.00 EUR, determinată prin abordarea prin piață, și alocarea valorii între terenul de 700 mp și construcția cu Aria utilă de 180 mp și Aria construită desfășurată de 220 mp sugerează că garanția dispune de o bază de valoare relevantă pentru scopul garantării creditului ipotecar, însă performanța acesteia pe durata creditului va depinde de evoluția condițiilor locale de piață. </w:t>
        <w:br/>
        <w:br/>
        <w:t xml:space="preserve">Din perspectiva factorilor relevanți pentru performanța garanției pe perioada creditului, activitatea curentă și tendințele pieței indică o dependență de dinamica tranzacțiilor pentru proprietăți similare și de menținerea atractivității zonei. Cererea anterioară, curentă și viitoare pentru tipul de bun și pentru localizare poate susține vandabilitatea în măsura în care proprietățile comparabile continuă să fie absorbite de piață într-un interval rezonabil, însă datele disponibile nu permit cuantificarea acestei absorbții. Cererea pentru alte utilizări este, în mod uzual, limitată de caracteristicile fizice și de încadrarea urbanistică a terenului și construcției, astfel încât flexibilitatea de conversie a garanției trebuie apreciată prudent, fără a presupune o utilizare alternativă certă. </w:t>
        <w:br/>
        <w:br/>
        <w:t>Impactul evenimentelor previzibile asupra valorii viitoare a garanției poate include variații ale cererii locale, modificări ale condițiilor de finanțare și posibile schimbări ale preferințelor cumpărătorilor, factori care pot influența atât durata de expunere la vânzare, cât și nivelul prețului realizabil. În acest context, lichiditatea poate fi considerată medie, iar vandabilitatea bună, în măsura în care prețul de piață estimat rămâne competitiv față de comparabilele selectate. Gradul de adecvare ca garanție este apreciat ca satisfăcător pentru scopul declarat, având în vedere valoarea de piață determinată, structura valorii între teren și construcție și utilizarea rezidențială curentă, cu mențiunea că menținerea acestui nivel de adecvare este condiționată de evoluția pieței pe durata creditului.</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